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3C670" w14:textId="77777777" w:rsidR="007F3584" w:rsidRDefault="007F3584" w:rsidP="00610471">
      <w:pPr>
        <w:pStyle w:val="Default"/>
        <w:tabs>
          <w:tab w:val="left" w:pos="5387"/>
        </w:tabs>
        <w:jc w:val="both"/>
        <w:rPr>
          <w:iCs/>
        </w:rPr>
      </w:pPr>
    </w:p>
    <w:p w14:paraId="12F2E4ED" w14:textId="77777777" w:rsidR="0095397B" w:rsidRPr="008365EC" w:rsidRDefault="0095397B" w:rsidP="00610471">
      <w:pPr>
        <w:pStyle w:val="Default"/>
        <w:tabs>
          <w:tab w:val="left" w:pos="5387"/>
        </w:tabs>
        <w:jc w:val="both"/>
        <w:rPr>
          <w:iCs/>
        </w:rPr>
      </w:pPr>
    </w:p>
    <w:p w14:paraId="43B6B83B" w14:textId="06B22B81" w:rsidR="00EF6728" w:rsidRDefault="00B74FDD" w:rsidP="00610471">
      <w:pPr>
        <w:pStyle w:val="Default"/>
        <w:tabs>
          <w:tab w:val="left" w:pos="5387"/>
        </w:tabs>
        <w:ind w:right="4528"/>
        <w:jc w:val="both"/>
        <w:rPr>
          <w:i/>
        </w:rPr>
      </w:pPr>
      <w:r w:rsidRPr="00EF6728">
        <w:rPr>
          <w:i/>
        </w:rPr>
        <w:t xml:space="preserve">Par </w:t>
      </w:r>
      <w:r w:rsidR="00EF6728">
        <w:rPr>
          <w:i/>
        </w:rPr>
        <w:t xml:space="preserve">atklāta konkursa </w:t>
      </w:r>
    </w:p>
    <w:p w14:paraId="5BDD3E68" w14:textId="26DE92E9" w:rsidR="00B74FDD" w:rsidRPr="00EF6728" w:rsidRDefault="00EF6728" w:rsidP="00610471">
      <w:pPr>
        <w:pStyle w:val="Default"/>
        <w:tabs>
          <w:tab w:val="left" w:pos="5387"/>
        </w:tabs>
        <w:ind w:right="4528"/>
        <w:jc w:val="both"/>
        <w:rPr>
          <w:i/>
        </w:rPr>
      </w:pPr>
      <w:r>
        <w:rPr>
          <w:i/>
        </w:rPr>
        <w:t>(ID Nr. RS/</w:t>
      </w:r>
      <w:r w:rsidR="00B74FDD" w:rsidRPr="00EF6728">
        <w:rPr>
          <w:i/>
        </w:rPr>
        <w:t>2026/17) nolikuma prasībām</w:t>
      </w:r>
    </w:p>
    <w:p w14:paraId="60CCE50F" w14:textId="77777777" w:rsidR="007F3584" w:rsidRPr="008365EC" w:rsidRDefault="007F3584" w:rsidP="00610471">
      <w:pPr>
        <w:rPr>
          <w:i/>
        </w:rPr>
      </w:pPr>
    </w:p>
    <w:p w14:paraId="2F7C4F3C" w14:textId="3823CEC7" w:rsidR="007F3584" w:rsidRPr="008365EC" w:rsidRDefault="007F3584" w:rsidP="00610471">
      <w:pPr>
        <w:tabs>
          <w:tab w:val="right" w:pos="9355"/>
        </w:tabs>
        <w:ind w:firstLine="426"/>
        <w:jc w:val="both"/>
      </w:pPr>
      <w:r w:rsidRPr="008365EC">
        <w:t>Rīgas pašvaldības sabiedrības ar ierobežotu atbildību „Rīgas satiksme” (turpmāk – Pasūtītājs) Iepirkuma komisija no iespējamā pretendenta ir</w:t>
      </w:r>
      <w:r w:rsidR="00B74FDD" w:rsidRPr="008365EC">
        <w:t xml:space="preserve"> saņēmusi</w:t>
      </w:r>
      <w:r w:rsidRPr="008365EC">
        <w:t xml:space="preserve"> lūgumu sniegt atbildes uz jautājumiem par </w:t>
      </w:r>
      <w:r w:rsidR="00A47A54" w:rsidRPr="008365EC">
        <w:t>iepirkuma procedūras “Autobusu piegāde” (ID Nr. RS 2026/17) (turpmāk – iepirkuma procedūra) nolikuma prasībām.</w:t>
      </w:r>
    </w:p>
    <w:p w14:paraId="2EA0CFC3" w14:textId="77777777" w:rsidR="007F3584" w:rsidRPr="008365EC" w:rsidRDefault="007F3584" w:rsidP="00610471">
      <w:pPr>
        <w:jc w:val="both"/>
      </w:pPr>
    </w:p>
    <w:p w14:paraId="6A4F2C6D" w14:textId="77777777" w:rsidR="007F3584" w:rsidRPr="008365EC" w:rsidRDefault="007F3584" w:rsidP="00610471">
      <w:pPr>
        <w:jc w:val="both"/>
        <w:rPr>
          <w:b/>
          <w:bCs/>
        </w:rPr>
      </w:pPr>
      <w:r w:rsidRPr="008365EC">
        <w:rPr>
          <w:b/>
          <w:bCs/>
        </w:rPr>
        <w:t>1.jautājums:</w:t>
      </w:r>
    </w:p>
    <w:p w14:paraId="66AAC199" w14:textId="77777777" w:rsidR="009136B5" w:rsidRPr="009136B5" w:rsidRDefault="009136B5" w:rsidP="00610471">
      <w:pPr>
        <w:ind w:firstLine="720"/>
        <w:jc w:val="both"/>
      </w:pPr>
      <w:r w:rsidRPr="009136B5">
        <w:t xml:space="preserve">Tehniskās specifikācijas A.8.3. punkts (Ieskrējiena/bremzēšanas intensitāte) paredz, ka transportlīdzekļa paātrinājumam un palēninājumam jābūt vienmērīgi regulējamam, tostarp jābūt iespējai regulēt to maksimālās vērtības. Vienlaikus tajā pašā punktā jau ir noteikti konkrēti minimālie veiktspējas rādītāji - vidējais paātrinājums un palēninājums vismaz 1,2 m/s², rāviens ne vairāk kā 1,5 m/ s² (iespējams tomēr m/s³), paātrinājuma laiks no 0 līdz 60 km/h ne vairāk kā 30 sekundes. </w:t>
      </w:r>
    </w:p>
    <w:p w14:paraId="3FD1F308" w14:textId="77777777" w:rsidR="009136B5" w:rsidRPr="009136B5" w:rsidRDefault="009136B5" w:rsidP="00610471">
      <w:pPr>
        <w:ind w:firstLine="720"/>
        <w:jc w:val="both"/>
      </w:pPr>
      <w:r w:rsidRPr="009136B5">
        <w:t xml:space="preserve">No šī formulējuma nav skaidrs, ko tieši ar regulējamību Pasūtītājs sagaida. Punkta formulējums savukārt pieļauj plašu interpretāciju - sākot no vadītāja iespējas izvēlēties braukšanas režīmus vadītāja panelī, līdz pat brīvai parametru pielāgošanai dažādiem maršrutu posmiem, slīpumiem vai laikapstākļiem. </w:t>
      </w:r>
    </w:p>
    <w:p w14:paraId="6A314D66" w14:textId="74655BAF" w:rsidR="00C80CAD" w:rsidRDefault="009136B5" w:rsidP="00610471">
      <w:pPr>
        <w:ind w:firstLine="720"/>
        <w:jc w:val="both"/>
      </w:pPr>
      <w:r w:rsidRPr="009136B5">
        <w:t>Tādēļ lūdzam Pasūtītāju precizēt, kāda veida regulēšana tiek sagaidīta - vai runa ir par ražotāja diagnostikas vidē veicamu maksimālo vērtību pielāgošanu pieņemšanas -nodošanas un ekspluatācijas laikā, vai par vadītājam pieejamiem braukšanas režīmiem (Eco, Standard u.tml.), vai par cita veida risinājumu. Tāpat lūdzam paskaidrot, kādos ekspluatācijas apstākļos regulēšanas iespējai jābūt pieejamai un vai Pasūtītājs to plāno izmantot dažādos slīpumos vai braukšanas režīmos, jo no atbildes ir atkarīgs gan tehniskā risinājuma apraksts piedāvājumā, gan attiecīgo licenču un piekļuves apjoms, kas iekļaujams finanšu piedāvājumā.</w:t>
      </w:r>
    </w:p>
    <w:p w14:paraId="4E58D146" w14:textId="77777777" w:rsidR="009136B5" w:rsidRPr="009136B5" w:rsidRDefault="009136B5" w:rsidP="00610471">
      <w:pPr>
        <w:ind w:firstLine="720"/>
        <w:jc w:val="both"/>
      </w:pPr>
    </w:p>
    <w:p w14:paraId="54BCF287" w14:textId="504FCE1B" w:rsidR="007F3584" w:rsidRPr="008365EC" w:rsidRDefault="00A466A6" w:rsidP="00610471">
      <w:pPr>
        <w:jc w:val="both"/>
        <w:rPr>
          <w:b/>
          <w:bCs/>
        </w:rPr>
      </w:pPr>
      <w:r w:rsidRPr="008365EC">
        <w:rPr>
          <w:b/>
          <w:bCs/>
        </w:rPr>
        <w:t>1.a</w:t>
      </w:r>
      <w:r w:rsidR="007F3584" w:rsidRPr="008365EC">
        <w:rPr>
          <w:b/>
          <w:bCs/>
        </w:rPr>
        <w:t>tbilde:</w:t>
      </w:r>
    </w:p>
    <w:p w14:paraId="7399D02C" w14:textId="3A10E93A" w:rsidR="00FA4078" w:rsidRPr="00FA4078" w:rsidRDefault="00FA4078" w:rsidP="00610471">
      <w:pPr>
        <w:ind w:firstLine="720"/>
        <w:jc w:val="both"/>
      </w:pPr>
      <w:r>
        <w:t xml:space="preserve">Pasūtītājs skaidro, ka </w:t>
      </w:r>
      <w:r w:rsidRPr="00FA4078">
        <w:t>Tehniskās specifikācijas A.8.3. punktā minētā prasība par paātrinājuma un palēninājuma regulēšanu attiecas uz maksimālo vērtību iestatīšanas iespējām, kas tiek nodrošinātas transportlīdzekļa vadības sistēmās.</w:t>
      </w:r>
    </w:p>
    <w:p w14:paraId="596A69F6" w14:textId="77777777" w:rsidR="00FA4078" w:rsidRPr="00FA4078" w:rsidRDefault="00FA4078" w:rsidP="00610471">
      <w:pPr>
        <w:ind w:firstLine="720"/>
        <w:jc w:val="both"/>
      </w:pPr>
      <w:r w:rsidRPr="00FA4078">
        <w:t>Vienlaikus, prasība par vienmērīgu regulēšanu attiecas uz transportlīdzekļa dinamisko kustību, proti, paātrinājuma un palēninājuma izmaiņām jābūt vienmērīgām un proporcionālām vadītāja darbībām ar akseleratora un bremžu pedāli, nodrošinot atbilstību noteiktajiem komforta un veiktspējas rādītājiem.</w:t>
      </w:r>
    </w:p>
    <w:p w14:paraId="26D0E0AC" w14:textId="7C9E3E0A" w:rsidR="003A01A5" w:rsidRDefault="00FA4078" w:rsidP="00610471">
      <w:pPr>
        <w:ind w:firstLine="720"/>
        <w:jc w:val="both"/>
      </w:pPr>
      <w:r w:rsidRPr="00FA4078">
        <w:t>Netiek prasīta nepārtraukta vai brīva paātrinājuma un palēninājuma parametru pielāgošana transportlīdzekļa ekspluatācijas laikā. Atbilstoši ražotāja risinājumam ir pieļaujami arī standartizēti braukšanas režīmi (piemēram, Eco, Standard u.c.), ja tiek nodrošināta atbilstība tehniskajā specifikācijā noteiktajiem veiktspējas rādītājiem.</w:t>
      </w:r>
    </w:p>
    <w:p w14:paraId="75D0B5EE" w14:textId="77777777" w:rsidR="0095397B" w:rsidRDefault="0095397B" w:rsidP="00610471">
      <w:pPr>
        <w:ind w:firstLine="720"/>
        <w:jc w:val="both"/>
      </w:pPr>
    </w:p>
    <w:p w14:paraId="546D0313" w14:textId="77777777" w:rsidR="0095397B" w:rsidRDefault="0095397B" w:rsidP="00610471">
      <w:pPr>
        <w:ind w:firstLine="720"/>
        <w:jc w:val="both"/>
      </w:pPr>
    </w:p>
    <w:p w14:paraId="496D0949" w14:textId="77777777" w:rsidR="0095397B" w:rsidRPr="00FA4078" w:rsidRDefault="0095397B" w:rsidP="00610471">
      <w:pPr>
        <w:ind w:firstLine="720"/>
        <w:jc w:val="both"/>
      </w:pPr>
    </w:p>
    <w:p w14:paraId="75D5EC2C" w14:textId="7492EDAA" w:rsidR="00A466A6" w:rsidRPr="008365EC" w:rsidRDefault="00A466A6" w:rsidP="00610471">
      <w:pPr>
        <w:jc w:val="both"/>
        <w:rPr>
          <w:b/>
          <w:bCs/>
        </w:rPr>
      </w:pPr>
      <w:r w:rsidRPr="008365EC">
        <w:rPr>
          <w:b/>
          <w:bCs/>
        </w:rPr>
        <w:lastRenderedPageBreak/>
        <w:t>2.jautājums:</w:t>
      </w:r>
    </w:p>
    <w:p w14:paraId="052ED5EB" w14:textId="77777777" w:rsidR="00A240BC" w:rsidRPr="00A240BC" w:rsidRDefault="00A240BC" w:rsidP="00610471">
      <w:pPr>
        <w:ind w:firstLine="720"/>
        <w:jc w:val="both"/>
      </w:pPr>
      <w:r w:rsidRPr="00A240BC">
        <w:t xml:space="preserve">Tehniskās specifikācijas A.12. punkts (Apkope un remonts / Apmācība) paredz, ka Piegādātājs nodrošina Pasūtītāja tehniskā personāla un transportlīdzekļu vadītāju apmācību saskaņā ar D.2. punkta prasībām, lai Pasūtītājs varētu veikt ražotāja noteiktos apkopes un uzturēšanas darbus, nezaudējot garantijas nosacījumus. Vienlaikus E.4. punkts paredz, ka Piegādātājs pilnvaro Pircēju kā autorizētu garantijas servisa partneri, kuram ir tiesības veikt garantijas un defektu novēršanas darbus Piegādātāja vārdā un uz Piegādātāja rēķina. </w:t>
      </w:r>
    </w:p>
    <w:p w14:paraId="6659D9AC" w14:textId="3981913E" w:rsidR="00A240BC" w:rsidRPr="00A240BC" w:rsidRDefault="00A240BC" w:rsidP="00610471">
      <w:pPr>
        <w:ind w:firstLine="720"/>
        <w:jc w:val="both"/>
      </w:pPr>
      <w:r w:rsidRPr="00A240BC">
        <w:t>Tehniskajā specifikācijā nav noteikts, uz cik ilgu laiku autorizācija ir piešķirta un kāda ir Piegādātāja un Pasūtītāja savstarpējā kārtība pēc autorizācijas darbības beigām. Šis ir būtisks jautājums, jo autorizācija ietver ne tikai apmācību, bet arī Piegādātāja</w:t>
      </w:r>
      <w:r>
        <w:t xml:space="preserve"> </w:t>
      </w:r>
      <w:r w:rsidRPr="00A240BC">
        <w:t xml:space="preserve">īpašumā esošu vai abonētu resursu nodošanu Pasūtītāja rīcībā - diagnostikas iekārtas, speciālos instrumentus, programmatūras licences, piekļuvi ražotāja tehniskajām datubāzēm (E.4. punkts). Daļa no šiem resursiem ir periodiski abonējami pakalpojumi vai ražotāja īpašums, kuri pēc garantijas perioda beigām var tikt atsaukti. </w:t>
      </w:r>
    </w:p>
    <w:p w14:paraId="597FEFEB" w14:textId="20009698" w:rsidR="00A240BC" w:rsidRPr="008365EC" w:rsidRDefault="00A240BC" w:rsidP="00610471">
      <w:pPr>
        <w:ind w:firstLine="720"/>
        <w:jc w:val="both"/>
      </w:pPr>
      <w:r w:rsidRPr="00A240BC">
        <w:t>Tādēļ lūdzam Pasūtītāju precizēt, uz kādu termiņu Piegādātājam jānodrošina Pasūtītāja servisa autorizācija - vai tas attiecas tikai uz transportlīdzekļa pamata garantijas periodu (3 gadi vai 210 000 km elektroautobusiem), vai uz visu transportlīdzekļa kalpošanas laiku (12 gadi), vai citu termiņu. Tāpat lūdzam paskaidrot, kādā kārtībā Piegādātājs pēc šī termiņa beigām var atsaukt autorizāciju, savākt atpakaļ savus instrumentus un diagnostikas iekārtas, kā arī pārtraukt programmatūras un datubāzu licenču abonementus. No šīs atbildes ir tieši atkarīgs gan finanšu piedāvājuma 2. pozīcijas aprēķins (aprīkojums un instrumenti), gan tehniskajā piedāvājumā iekļaujamais garantijas izpildes līguma projekts.</w:t>
      </w:r>
    </w:p>
    <w:p w14:paraId="41B2CD94" w14:textId="77777777" w:rsidR="00BE6435" w:rsidRPr="008365EC" w:rsidRDefault="00BE6435" w:rsidP="00610471">
      <w:pPr>
        <w:ind w:firstLine="720"/>
        <w:jc w:val="both"/>
        <w:rPr>
          <w:i/>
          <w:iCs/>
        </w:rPr>
      </w:pPr>
    </w:p>
    <w:p w14:paraId="232A5D4D" w14:textId="77777777" w:rsidR="00E85B8A" w:rsidRPr="008365EC" w:rsidRDefault="00A466A6" w:rsidP="00610471">
      <w:pPr>
        <w:jc w:val="both"/>
        <w:rPr>
          <w:b/>
          <w:bCs/>
        </w:rPr>
      </w:pPr>
      <w:r w:rsidRPr="008365EC">
        <w:rPr>
          <w:b/>
          <w:bCs/>
        </w:rPr>
        <w:t>2.atbilde:</w:t>
      </w:r>
    </w:p>
    <w:p w14:paraId="0FEA243C" w14:textId="77777777" w:rsidR="002D2B27" w:rsidRPr="002D2B27" w:rsidRDefault="002D2B27" w:rsidP="00610471">
      <w:pPr>
        <w:pStyle w:val="Tabulasheader"/>
        <w:ind w:firstLine="720"/>
        <w:jc w:val="both"/>
        <w:rPr>
          <w:rFonts w:ascii="Times New Roman" w:hAnsi="Times New Roman" w:cs="Times New Roman"/>
          <w:b w:val="0"/>
          <w:bCs w:val="0"/>
          <w:sz w:val="24"/>
          <w:szCs w:val="24"/>
          <w:lang w:val="lv-LV"/>
        </w:rPr>
      </w:pPr>
      <w:r w:rsidRPr="002D2B27">
        <w:rPr>
          <w:rFonts w:ascii="Times New Roman" w:hAnsi="Times New Roman" w:cs="Times New Roman"/>
          <w:b w:val="0"/>
          <w:bCs w:val="0"/>
          <w:sz w:val="24"/>
          <w:szCs w:val="24"/>
          <w:lang w:val="lv-LV"/>
        </w:rPr>
        <w:t>Atbilstoši tehniskās specifikācijas E.2 sadaļas “Garantijas termiņi” 2.4. punktam, Piegādātājam jānodrošina piekļuve ar garantijas izpildi saistītajiem resursiem vismaz 10 gadus vai līdz vilces baterijas garantijas termiņa beigām. Līdz ar to Pasūtītāja servisa autorizācija ir attiecināma uz minēto periodu, kurā tiek nodrošināta garantijas izpilde un ar to saistītā tehniskā atbalsta pieejamība.</w:t>
      </w:r>
    </w:p>
    <w:p w14:paraId="79495624" w14:textId="601F11D1" w:rsidR="00934E5B" w:rsidRDefault="002D2B27" w:rsidP="00610471">
      <w:pPr>
        <w:pStyle w:val="Tabulasheader"/>
        <w:spacing w:before="0" w:after="0"/>
        <w:ind w:firstLine="720"/>
        <w:jc w:val="both"/>
        <w:rPr>
          <w:rFonts w:ascii="Times New Roman" w:hAnsi="Times New Roman" w:cs="Times New Roman"/>
          <w:b w:val="0"/>
          <w:bCs w:val="0"/>
          <w:sz w:val="24"/>
          <w:szCs w:val="24"/>
          <w:lang w:val="lv-LV"/>
        </w:rPr>
      </w:pPr>
      <w:r w:rsidRPr="002D2B27">
        <w:rPr>
          <w:rFonts w:ascii="Times New Roman" w:hAnsi="Times New Roman" w:cs="Times New Roman"/>
          <w:b w:val="0"/>
          <w:bCs w:val="0"/>
          <w:sz w:val="24"/>
          <w:szCs w:val="24"/>
          <w:lang w:val="lv-LV"/>
        </w:rPr>
        <w:t>Attiecībā uz speciālajiem instrumentiem un diagnostikas iekārtām atkārtoti norādām, ka tie ir piegādājami un nododami Pasūtītāja īpašumā bez laika ierobežojuma. Savukārt, programmatūras resursi un piekļuve ražotāja datubāzēm tiek nodrošināta vismaz garantijas izpildei nepieciešamajā apjomā un termiņā atbilstoši iepriekš minētajam periodam.</w:t>
      </w:r>
    </w:p>
    <w:p w14:paraId="40AAF8AB" w14:textId="77777777" w:rsidR="004F05F8" w:rsidRDefault="004F05F8" w:rsidP="00EF6728">
      <w:pPr>
        <w:pStyle w:val="Tabulasheader"/>
        <w:spacing w:before="0" w:after="0"/>
        <w:jc w:val="both"/>
        <w:rPr>
          <w:rFonts w:ascii="Times New Roman" w:hAnsi="Times New Roman" w:cs="Times New Roman"/>
          <w:b w:val="0"/>
          <w:bCs w:val="0"/>
          <w:sz w:val="24"/>
          <w:szCs w:val="24"/>
          <w:lang w:val="lv-LV"/>
        </w:rPr>
      </w:pPr>
    </w:p>
    <w:p w14:paraId="119C9D14" w14:textId="77777777" w:rsidR="00EF6728" w:rsidRDefault="00EF6728" w:rsidP="00EF6728">
      <w:pPr>
        <w:pStyle w:val="Tabulasheader"/>
        <w:spacing w:before="0" w:after="0"/>
        <w:jc w:val="both"/>
        <w:rPr>
          <w:rFonts w:ascii="Times New Roman" w:hAnsi="Times New Roman" w:cs="Times New Roman"/>
          <w:b w:val="0"/>
          <w:bCs w:val="0"/>
          <w:sz w:val="24"/>
          <w:szCs w:val="24"/>
          <w:lang w:val="lv-LV"/>
        </w:rPr>
      </w:pPr>
    </w:p>
    <w:p w14:paraId="6E4B22FF" w14:textId="74535BAC" w:rsidR="00A36920" w:rsidRPr="008365EC" w:rsidRDefault="00A36920" w:rsidP="00610471">
      <w:pPr>
        <w:jc w:val="both"/>
        <w:rPr>
          <w:b/>
          <w:bCs/>
        </w:rPr>
      </w:pPr>
      <w:r w:rsidRPr="008365EC">
        <w:rPr>
          <w:b/>
          <w:bCs/>
        </w:rPr>
        <w:t>3.jautājums:</w:t>
      </w:r>
    </w:p>
    <w:p w14:paraId="37F2E7FC" w14:textId="77777777" w:rsidR="00FC6A5F" w:rsidRPr="00FC6A5F" w:rsidRDefault="00FC6A5F" w:rsidP="00610471">
      <w:pPr>
        <w:ind w:firstLine="720"/>
        <w:jc w:val="both"/>
      </w:pPr>
      <w:r w:rsidRPr="00FC6A5F">
        <w:t xml:space="preserve">Tehniskās specifikācijas A.17. punkts (Saskaņojamie elementi) paredz, ka pirms transportlīdzekļu ražošanas uzsākšanas, bet ne vēlāk kā 6 mēnešu laikā pēc līguma stāšanās spēkā, Piegādātājam rakstiski jāsaskaņo ar Pasūtītāju vairāki variējamie izpildījuma un konfigurācijas elementi, tostarp iekšējās apdares un grīdas seguma dizains, pieturēšanās stieņu un sēdvietu izvietojums, sēdekļu apdares materiāli un dizains, lēnās uzlādes pieslēguma (CCS2) izvietojums, kā arī informācijas un sakaru iekārtu tehniskās specifikācijas un izvietojums. Saskaņošanas pienākums papildus parādās B.1.7.2. punktā (grīdas pārklājuma dizains), B.1.7.6. punktā (pieturēšanās stieņu izvietojums) un citās tehniskās specifikācijas vietās. </w:t>
      </w:r>
    </w:p>
    <w:p w14:paraId="7CBA9169" w14:textId="77777777" w:rsidR="00FC6A5F" w:rsidRPr="00FC6A5F" w:rsidRDefault="00FC6A5F" w:rsidP="00610471">
      <w:pPr>
        <w:ind w:firstLine="720"/>
        <w:jc w:val="both"/>
      </w:pPr>
      <w:r w:rsidRPr="00FC6A5F">
        <w:t xml:space="preserve">Šie punkti nenosaka nekādus kritērijus, robežas vai ierobežojumus, pēc kuriem Pasūtītāja izvēle vai prasības saskaņošanas gaitā ir vērtējamas kā pamatotas un pieņemamas. Tas rada vairākas praktiski nozīmīgas problēmas. Pirmkārt, attiecībā uz materiāliem un dizainu — specifikācijā nav noteiktas pieļaujamās materiālu kategorijas, cenu robežas vai funkcionālās prasības. Tas nozīmē, ka Pasūtītājs saskaņošanas gaitā teorētiski varētu pieprasīt materiālus, kas ir tehniski sarežģīti montāžā, reti pieejami vai ievērojami dārgāki par salīdzināmiem tirgū pieejamiem analogiem (piemēram, sēdekļu apdarei zīda audumu, grīdai ozolkoka segumu vai cita </w:t>
      </w:r>
      <w:r w:rsidRPr="00FC6A5F">
        <w:lastRenderedPageBreak/>
        <w:t xml:space="preserve">veida nestandarta risinājumu), un Piegādātājam nebūtu tiesiska pamata atteikties, jo šāds ierobežojums nolikumā nav ietverts. Otrkārt, attiecībā uz pieturēšanās stieņu izvietojumu (B.1.7.6.) - to izvietojums ir saistīts ar transportlīdzekļa konstrukciju, slodzes aprēķiniem un ergonomikas standartiem; Pasūtītāja pieprasīts izvietojums, kas neatbilst šiem ierobežojumiem, var radīt tehnisku konfliktu, kuram šobrīd nav atrisinājuma mehānisma. </w:t>
      </w:r>
    </w:p>
    <w:p w14:paraId="1C697005" w14:textId="77777777" w:rsidR="00FC6A5F" w:rsidRPr="00FC6A5F" w:rsidRDefault="00FC6A5F" w:rsidP="00610471">
      <w:pPr>
        <w:ind w:firstLine="720"/>
        <w:jc w:val="both"/>
      </w:pPr>
      <w:r w:rsidRPr="00FC6A5F">
        <w:t xml:space="preserve">Treškārt, attiecībā uz CCS2 uzlādes pieslēguma izvietojumu - specifikācija pieļauj noteiktus izvietojuma risinājumus, kas izriet no transportlīdzekļa konstrukcijas un drošības prasībām. Ja Pasūtītājs saskaņošanas gaitā pieprasa izvietojumu, kas neatbilst ražotāja konstruktīvajiem risinājumiem, nav skaidrs, vai Piegādātājs to var noraidīt un uz kāda pamata. Ceturtkārt, nolikums neparedz, kas notiek, ja saskaņošana netiek panākta - nav noteikts ne strīdu risināšanas mehānisms, ne samērīgs termiņš Pasūtītāja lēmuma pieņemšanai, ne sekas kavēšanās gadījumā. Tas rada risku, ka Piegādātāja ražošanas uzsākšana var tikt bloķēta no Piegādātāja neatkarīgu apstākļu dēļ. </w:t>
      </w:r>
    </w:p>
    <w:p w14:paraId="0E2B6BF6" w14:textId="578FB935" w:rsidR="008B37D6" w:rsidRPr="008365EC" w:rsidRDefault="00FC6A5F" w:rsidP="00610471">
      <w:pPr>
        <w:ind w:firstLine="720"/>
        <w:jc w:val="both"/>
      </w:pPr>
      <w:r w:rsidRPr="00FC6A5F">
        <w:t xml:space="preserve">Ņemot vērā minēto, lūdzam Pasūtītāju paskaidrot, 1) kādi ir kritēriji vai ierobežojumi, pēc kuriem Pasūtītājs veiks savu izvēli attiecībā uz A.17., B.1.7.2., B.1.7.6. un citos punktos minētajiem saskaņojamajiem elementiem, lai nodrošinātu, ka prasības ir prognozējamas, tehniski izpildāmas un komerciāli samērīgas; 2) vai Piegādātājam ir tiesības noraidīt vai apstrīdēt Pasūtītāja izvēli, ja tā neatbilst transportlīdzekļa tehniskajiem vai konstrukcijas ierobežojumiem vai ir nesamērīgi dārga salīdzinājumā ar standarta tirgus risinājumiem; 3) kāda ir paredzētā kārtība gadījumā, ja puses nevar </w:t>
      </w:r>
      <w:r w:rsidR="00BD4F97" w:rsidRPr="008365EC">
        <w:t xml:space="preserve"> </w:t>
      </w:r>
      <w:r w:rsidRPr="00FC6A5F">
        <w:t>vienoties par kādu no saskaņojamajiem elementiem 6 mēnešu termiņā, un kā šādā gadījumā tiek attiecīgi pielāgots ražošanas un piegādes grafiks.</w:t>
      </w:r>
    </w:p>
    <w:p w14:paraId="21DD0239" w14:textId="77777777" w:rsidR="000476FA" w:rsidRPr="008365EC" w:rsidRDefault="000476FA" w:rsidP="00610471">
      <w:pPr>
        <w:pStyle w:val="ListParagraph"/>
        <w:jc w:val="both"/>
        <w:rPr>
          <w:i/>
          <w:iCs/>
        </w:rPr>
      </w:pPr>
    </w:p>
    <w:p w14:paraId="1932ABBD" w14:textId="77777777" w:rsidR="009F0750" w:rsidRPr="008365EC" w:rsidRDefault="00A36920" w:rsidP="00610471">
      <w:pPr>
        <w:jc w:val="both"/>
        <w:rPr>
          <w:b/>
          <w:bCs/>
        </w:rPr>
      </w:pPr>
      <w:r w:rsidRPr="008365EC">
        <w:rPr>
          <w:b/>
          <w:bCs/>
        </w:rPr>
        <w:t>3.atbilde:</w:t>
      </w:r>
    </w:p>
    <w:p w14:paraId="7D85972A" w14:textId="2C310F0B" w:rsidR="00B9273D" w:rsidRDefault="00B9273D" w:rsidP="00610471">
      <w:pPr>
        <w:ind w:firstLine="720"/>
        <w:jc w:val="both"/>
        <w:rPr>
          <w:b/>
          <w:bCs/>
        </w:rPr>
      </w:pPr>
      <w:r>
        <w:t>Pasūtītājs skaidro, ka a</w:t>
      </w:r>
      <w:r w:rsidRPr="00B9273D">
        <w:t>tbildes uz šiem jautājumiem tika sniegtas</w:t>
      </w:r>
      <w:r>
        <w:t>.</w:t>
      </w:r>
      <w:r w:rsidRPr="00CE50CF">
        <w:rPr>
          <w:b/>
          <w:bCs/>
        </w:rPr>
        <w:t xml:space="preserve"> </w:t>
      </w:r>
      <w:r w:rsidRPr="00B9273D">
        <w:t>Pasūtītājs aicina skatīt 2026.gada 1.jūnijā (sk</w:t>
      </w:r>
      <w:r>
        <w:t>atīt</w:t>
      </w:r>
      <w:r w:rsidRPr="00B9273D">
        <w:t xml:space="preserve"> 6. jautājumu) iepriekš sniegtās un iepirkuma procedūrai pievienotās atbildes uz jautājumiem.</w:t>
      </w:r>
    </w:p>
    <w:p w14:paraId="0B0BFE0C" w14:textId="77777777" w:rsidR="00372B0A" w:rsidRDefault="00372B0A" w:rsidP="00610471">
      <w:pPr>
        <w:ind w:firstLine="720"/>
        <w:jc w:val="both"/>
      </w:pPr>
    </w:p>
    <w:p w14:paraId="3C0A0E7D" w14:textId="77777777" w:rsidR="00565D3A" w:rsidRPr="008365EC" w:rsidRDefault="00565D3A" w:rsidP="00610471">
      <w:pPr>
        <w:ind w:firstLine="720"/>
        <w:jc w:val="both"/>
      </w:pPr>
    </w:p>
    <w:p w14:paraId="1876D142" w14:textId="68244D92" w:rsidR="00423666" w:rsidRPr="008365EC" w:rsidRDefault="00423666" w:rsidP="00610471">
      <w:pPr>
        <w:jc w:val="both"/>
        <w:rPr>
          <w:b/>
          <w:bCs/>
        </w:rPr>
      </w:pPr>
      <w:r w:rsidRPr="008365EC">
        <w:rPr>
          <w:b/>
          <w:bCs/>
        </w:rPr>
        <w:t>4.jautājums:</w:t>
      </w:r>
    </w:p>
    <w:p w14:paraId="738AEC52" w14:textId="77777777" w:rsidR="00FC6A5F" w:rsidRPr="00FC6A5F" w:rsidRDefault="00FC6A5F" w:rsidP="00610471">
      <w:pPr>
        <w:jc w:val="both"/>
        <w:outlineLvl w:val="0"/>
      </w:pPr>
      <w:r w:rsidRPr="00FC6A5F">
        <w:t xml:space="preserve">Tehniskās specifikācijas B.1.8.4. punkts (Vadības pedāļi) cita starpā paredz, ka transportlīdzekļa pedāļi jāmarķē pēc izmēra. Šis formulējums nav viennozīmīgi saprotams. Mūsdienu pilsētas autobusos vadības pedāļi (akselerators, bremze) ir konstruktīvi atšķirīga izmēra un izvietojuma, kas pats par sevi nodrošina, ka vadītājs tos nesajauc, un to izvietojumu un proporcijas regulē transportlīdzekļa tipa apstiprinājuma prasības. </w:t>
      </w:r>
    </w:p>
    <w:p w14:paraId="339909AA" w14:textId="77777777" w:rsidR="00FC6A5F" w:rsidRPr="00FC6A5F" w:rsidRDefault="00FC6A5F" w:rsidP="00610471">
      <w:pPr>
        <w:jc w:val="both"/>
        <w:outlineLvl w:val="0"/>
      </w:pPr>
      <w:r w:rsidRPr="00FC6A5F">
        <w:t xml:space="preserve">Nav skaidrs, vai prasība attiecas uz vizuālu marķējumu uz pedāļu virsmas (piemēram, ar uzrakstu vai simbolu), uz krāsu kodējumu, vai uz kādu citu specifisku risinājumu, kā arī kāds šai prasībai ir mērķis, ja pedāļi jau ir konstruktīvi atšķirīgi un to izvietojumu nosaka tā paša punkta iepriekšējās rindkopas. </w:t>
      </w:r>
    </w:p>
    <w:p w14:paraId="75FA1F19" w14:textId="11148C9D" w:rsidR="00FC6A5F" w:rsidRPr="008365EC" w:rsidRDefault="00FC6A5F" w:rsidP="00610471">
      <w:pPr>
        <w:jc w:val="both"/>
        <w:outlineLvl w:val="0"/>
      </w:pPr>
      <w:r w:rsidRPr="00FC6A5F">
        <w:t>Tādēļ lūdzam Pasūtītāju precizēt, ko tieši ar prasību „pedāļi jāmarķē pēc izmēra” saprot - vai tas ir redakcionāls neprecīzums (iespējams, vārds „izmēra” ir kļūdains), vai tiek sagaidīts konkrēts marķējuma veids, un, ja jā, tad kāds (piktogrammas, krāsas, uzraksti), un kāds ir šādas prasības funkcionālais pamatojums papildus jau noteiktajām konstrukcijas prasībām.</w:t>
      </w:r>
    </w:p>
    <w:p w14:paraId="59983FB0" w14:textId="77777777" w:rsidR="00423666" w:rsidRPr="008365EC" w:rsidRDefault="00423666" w:rsidP="00610471">
      <w:pPr>
        <w:jc w:val="both"/>
        <w:outlineLvl w:val="0"/>
      </w:pPr>
    </w:p>
    <w:p w14:paraId="5E06BD2B" w14:textId="5614296F" w:rsidR="00423666" w:rsidRPr="008365EC" w:rsidRDefault="00423666" w:rsidP="00610471">
      <w:pPr>
        <w:jc w:val="both"/>
        <w:rPr>
          <w:b/>
          <w:bCs/>
        </w:rPr>
      </w:pPr>
      <w:r w:rsidRPr="008365EC">
        <w:rPr>
          <w:b/>
          <w:bCs/>
        </w:rPr>
        <w:t>4.atbilde:</w:t>
      </w:r>
    </w:p>
    <w:p w14:paraId="513753EB" w14:textId="3F63A1DF" w:rsidR="00730621" w:rsidRPr="008365EC" w:rsidRDefault="002858CD" w:rsidP="00610471">
      <w:pPr>
        <w:ind w:firstLine="720"/>
        <w:jc w:val="both"/>
      </w:pPr>
      <w:r w:rsidRPr="002858CD">
        <w:t xml:space="preserve">Pasūtītājs </w:t>
      </w:r>
      <w:r>
        <w:t>skaidro</w:t>
      </w:r>
      <w:r w:rsidRPr="002858CD">
        <w:t>, ka prasība “pedāļi jāmarķē pēc izmēra” nav interpretējama kā obligāts papildu vizuālais marķējums (uzraksti, krāsu kodējums u.tml.). Ar šo prasību tiek paredzēts, ka pedāļu konstruktīvajam izpildījumam (izmēram, formai un izvietojumam) jānodrošina to savstarpēja atšķiramība un nepārprotama identifikācija vadītājam. Papildu marķējums nav obligāts, ja šī prasība tiek nodrošināta ar pedāļu konstrukciju un atbilstību piemērojamajām transportlīdzekļa tipa apstiprinājuma prasībām.</w:t>
      </w:r>
    </w:p>
    <w:p w14:paraId="20A9E6F3" w14:textId="77777777" w:rsidR="00DE602E" w:rsidRDefault="00DE602E" w:rsidP="00610471">
      <w:pPr>
        <w:jc w:val="both"/>
        <w:rPr>
          <w:b/>
          <w:bCs/>
        </w:rPr>
      </w:pPr>
    </w:p>
    <w:p w14:paraId="275A6851" w14:textId="77777777" w:rsidR="002858CD" w:rsidRPr="008365EC" w:rsidRDefault="002858CD" w:rsidP="00610471">
      <w:pPr>
        <w:jc w:val="both"/>
        <w:rPr>
          <w:b/>
          <w:bCs/>
        </w:rPr>
      </w:pPr>
    </w:p>
    <w:p w14:paraId="0C9F1C9F" w14:textId="7DF44FE4" w:rsidR="007532F0" w:rsidRPr="008365EC" w:rsidRDefault="007532F0" w:rsidP="00610471">
      <w:pPr>
        <w:jc w:val="both"/>
        <w:rPr>
          <w:b/>
          <w:bCs/>
        </w:rPr>
      </w:pPr>
      <w:r w:rsidRPr="008365EC">
        <w:rPr>
          <w:b/>
          <w:bCs/>
        </w:rPr>
        <w:lastRenderedPageBreak/>
        <w:t>5.jautājums:</w:t>
      </w:r>
    </w:p>
    <w:p w14:paraId="756510A1" w14:textId="77777777" w:rsidR="00B223A9" w:rsidRPr="00B223A9" w:rsidRDefault="00B223A9" w:rsidP="00610471">
      <w:pPr>
        <w:ind w:firstLine="720"/>
        <w:jc w:val="both"/>
        <w:outlineLvl w:val="0"/>
      </w:pPr>
      <w:r w:rsidRPr="00B223A9">
        <w:t xml:space="preserve">Tehniskās specifikācijas B.1.15.7. punkts (Pilsētas ģerbonis / Pārvadātāja zīmes) paredz, ka transportlīdzekļa priekšā zem vējstikla starp lukturiem jābūt brīvai vietai Rīgas pilsētas ģerbonim, kā arī priekšā, sānos un aizmugurē jābūt brīvai vietai pārvadātāja zīmēm un numuriem, un ka ģerboņa un zīmju izmēri jāsaskaņo ar Pircēju. </w:t>
      </w:r>
    </w:p>
    <w:p w14:paraId="413BEA66" w14:textId="77777777" w:rsidR="00B223A9" w:rsidRPr="00B223A9" w:rsidRDefault="00B223A9" w:rsidP="00610471">
      <w:pPr>
        <w:ind w:firstLine="720"/>
        <w:jc w:val="both"/>
        <w:outlineLvl w:val="0"/>
      </w:pPr>
      <w:r w:rsidRPr="00B223A9">
        <w:t xml:space="preserve">Šī prasība attiecas uz saskaņojamiem elementiem bez noteiktiem izmēru ierobežojumiem. Transportlīdzekļa priekšējās daļas dizains starp lukturiem un zem vējstikla ir konstruktīvi noslēgta zona, kuras izmēri ir ierobežoti ar transportlīdzekļa tipa apstiprinājuma nosacījumiem un ražotāja konstruktīvajiem risinājumiem. Nav noteikts, kādās robežās Pasūtītāja izvēle var atrasties - teorētiski Pasūtītājs varētu pieprasīt ģerboni izmērā, kas pārsniedz pieejamo vietu vai konfliktē ar lukturu un drošības elementu izvietojumu, un Piegādātājam nebūtu tiesiska pamata atteikties. </w:t>
      </w:r>
    </w:p>
    <w:p w14:paraId="5D4AA57E" w14:textId="329C12E9" w:rsidR="00B223A9" w:rsidRPr="008365EC" w:rsidRDefault="00B223A9" w:rsidP="00610471">
      <w:pPr>
        <w:ind w:firstLine="720"/>
        <w:jc w:val="both"/>
        <w:outlineLvl w:val="0"/>
      </w:pPr>
      <w:r w:rsidRPr="00B223A9">
        <w:t>Tādēļ lūdzam Pasūtītāju precizēt ģerboņa un pārvadātāja zīmju maksimālos izmērus vai diapazonu, kurā Pasūtītāja izvēle saskaņošanas gaitā var atrasties, kā arī paskaidrot, vai uz šo saskaņojumu attiecas A.17. punktā minētais 6 mēnešu termiņš pēc līguma stāšanās spēkā. Pretendentam ir nepieciešama skaidrība par šiem izmēriem, lai pareizi sagatavotu transportlīdzekļa priekšējās daļas dizainu un nodrošinātu, ka pieejamā vieta ir saderīga ar Pasūtītāja faktiskajām vēlmēm.</w:t>
      </w:r>
    </w:p>
    <w:p w14:paraId="59467C16" w14:textId="77777777" w:rsidR="00525EB5" w:rsidRPr="008365EC" w:rsidRDefault="00525EB5" w:rsidP="00610471">
      <w:pPr>
        <w:ind w:firstLine="720"/>
        <w:jc w:val="both"/>
        <w:outlineLvl w:val="0"/>
      </w:pPr>
    </w:p>
    <w:p w14:paraId="0CCDDA0F" w14:textId="4E2CBE74" w:rsidR="007532F0" w:rsidRPr="008365EC" w:rsidRDefault="007532F0" w:rsidP="00610471">
      <w:pPr>
        <w:jc w:val="both"/>
        <w:rPr>
          <w:b/>
          <w:bCs/>
        </w:rPr>
      </w:pPr>
      <w:r w:rsidRPr="008365EC">
        <w:rPr>
          <w:b/>
          <w:bCs/>
        </w:rPr>
        <w:t>5.atbilde:</w:t>
      </w:r>
    </w:p>
    <w:p w14:paraId="090EC841" w14:textId="77777777" w:rsidR="00B3501E" w:rsidRDefault="00B3501E" w:rsidP="00610471">
      <w:pPr>
        <w:ind w:firstLine="720"/>
        <w:jc w:val="both"/>
      </w:pPr>
      <w:r>
        <w:t>Pilsētas ģerboņa un pārvadātāja zīmju izmēri ir noteikti un attiecīgi ir 117 × 139 mm (ģerbonis) un 126 × 137 mm (pārvadātāja zīme). Pasūtītājs transportlīdzeklī paredz uzstādīt tieši šādu izmēru zīmes (uzlīmes).</w:t>
      </w:r>
    </w:p>
    <w:p w14:paraId="427799A4" w14:textId="06AA88BC" w:rsidR="000A0105" w:rsidRPr="008365EC" w:rsidRDefault="00B3501E" w:rsidP="00610471">
      <w:pPr>
        <w:ind w:firstLine="720"/>
        <w:jc w:val="both"/>
      </w:pPr>
      <w:r>
        <w:t>Minēto elementu izvietojums tiks saskaņots, ievērojot transportlīdzekļa konstrukcijas īpatnības. Attiecīgais saskaņošanas process tiek veikts saskaņā ar tehniskās specifikācijas A.17. punktā noteikto termiņu.</w:t>
      </w:r>
    </w:p>
    <w:p w14:paraId="2C8CE0CF" w14:textId="77777777" w:rsidR="00B3501E" w:rsidRDefault="00B3501E" w:rsidP="00610471">
      <w:pPr>
        <w:ind w:firstLine="720"/>
        <w:jc w:val="both"/>
      </w:pPr>
    </w:p>
    <w:p w14:paraId="4DA4920D" w14:textId="77777777" w:rsidR="00B223A9" w:rsidRPr="008365EC" w:rsidRDefault="00B223A9" w:rsidP="00610471">
      <w:pPr>
        <w:ind w:firstLine="720"/>
        <w:jc w:val="both"/>
      </w:pPr>
    </w:p>
    <w:p w14:paraId="05F69D1D" w14:textId="294E2AC8" w:rsidR="007532F0" w:rsidRPr="008365EC" w:rsidRDefault="007532F0" w:rsidP="00610471">
      <w:pPr>
        <w:jc w:val="both"/>
        <w:rPr>
          <w:b/>
          <w:bCs/>
        </w:rPr>
      </w:pPr>
      <w:r w:rsidRPr="008365EC">
        <w:rPr>
          <w:b/>
          <w:bCs/>
        </w:rPr>
        <w:t>6.jautājums:</w:t>
      </w:r>
    </w:p>
    <w:p w14:paraId="5F8F82F6" w14:textId="77777777" w:rsidR="00B223A9" w:rsidRPr="00B223A9" w:rsidRDefault="00B223A9" w:rsidP="00610471">
      <w:pPr>
        <w:ind w:firstLine="720"/>
        <w:jc w:val="both"/>
        <w:outlineLvl w:val="0"/>
      </w:pPr>
      <w:r w:rsidRPr="00B223A9">
        <w:t xml:space="preserve">Tehniskās specifikācijas B.4. punkts (Centrālā eļļošanas sistēma) paredz, ka, ja transportlīdzeklis ir aprīkots ar centrālo eļļošanas sistēmu (CES), pretendentam šāds risinājums jāapraksta tehniskajā piedāvājumā. Tālāk punktā uzskaitīti tehniskie nosacījumi, kuriem šādai sistēmai jāatbilst, ja tā ir uzstādīta. </w:t>
      </w:r>
    </w:p>
    <w:p w14:paraId="1F9FF03C" w14:textId="77777777" w:rsidR="00B223A9" w:rsidRPr="00B223A9" w:rsidRDefault="00B223A9" w:rsidP="00610471">
      <w:pPr>
        <w:ind w:firstLine="720"/>
        <w:jc w:val="both"/>
        <w:outlineLvl w:val="0"/>
      </w:pPr>
      <w:r w:rsidRPr="00B223A9">
        <w:t xml:space="preserve">Punkts neprecizē, kāda apjoma un satura apraksts Pasūtītājam ir nepieciešams tehniskajā piedāvājumā. Iespējamie interpretācijas varianti ir ļoti dažādi - sākot no īsa apliecinājuma par sistēmas esamību un atbilstību B.4. punktā uzskaitītajiem nosacījumiem, līdz pat detalizētam sistēmas konstrukcijas, eļļošanas intervālu, smērvielas tipu un vadības bloka funkcionalitātes aprakstam ar shēmām un parametru tabulām. Šī interpretācija būtiski ietekmē tehniskā piedāvājuma sagatavošanas darbietilpību un salīdzināmību starp pretendentiem. </w:t>
      </w:r>
    </w:p>
    <w:p w14:paraId="44331705" w14:textId="38F4D039" w:rsidR="00B223A9" w:rsidRDefault="00B223A9" w:rsidP="00610471">
      <w:pPr>
        <w:ind w:firstLine="720"/>
        <w:jc w:val="both"/>
        <w:outlineLvl w:val="0"/>
      </w:pPr>
      <w:r w:rsidRPr="00B223A9">
        <w:t>Tādēļ lūdzam Pasūtītāju precizēt, kādu informāciju par centrālo eļļošanas sistēmu Pasūtītājs vēlas redzēt tehniskajā piedāvājumā - vai pietiek ar pretendenta apliecinājumu un norādi par atbilstību B.4. punktā uzskaitītajiem nosacījumiem, vai tiek sagaidīts detalizētāks tehniskais apraksts un, ja jā, kādās konkrētās sadaļās. Tas pats jautājums attiecas arī uz citiem tehniskās specifikācijas punktiem, kuros parādās</w:t>
      </w:r>
      <w:r>
        <w:t xml:space="preserve"> </w:t>
      </w:r>
      <w:r w:rsidRPr="00B223A9">
        <w:t>formulējums „pretendentam šāds risinājums jāapraksta tehniskajā piedāvājumā” - vai Pasūtītājs plāno publicēt vienotu tehniskā piedāvājuma formu vai indikatīvu sadaļu sarakstu, kas nodrošinātu salīdzināmus piedāvājumus.</w:t>
      </w:r>
    </w:p>
    <w:p w14:paraId="78856118" w14:textId="77777777" w:rsidR="00F127CF" w:rsidRPr="008365EC" w:rsidRDefault="00F127CF" w:rsidP="00610471">
      <w:pPr>
        <w:jc w:val="both"/>
        <w:outlineLvl w:val="0"/>
      </w:pPr>
    </w:p>
    <w:p w14:paraId="2F2E0ED1" w14:textId="205C4912" w:rsidR="007532F0" w:rsidRPr="008365EC" w:rsidRDefault="007532F0" w:rsidP="00610471">
      <w:pPr>
        <w:jc w:val="both"/>
        <w:rPr>
          <w:b/>
          <w:bCs/>
        </w:rPr>
      </w:pPr>
      <w:r w:rsidRPr="008365EC">
        <w:rPr>
          <w:b/>
          <w:bCs/>
        </w:rPr>
        <w:t>6.atbilde:</w:t>
      </w:r>
    </w:p>
    <w:p w14:paraId="536A6C19" w14:textId="77777777" w:rsidR="003852E2" w:rsidRDefault="003852E2" w:rsidP="00610471">
      <w:pPr>
        <w:ind w:firstLine="720"/>
        <w:jc w:val="both"/>
      </w:pPr>
      <w:r>
        <w:t>Ja transportlīdzeklis ir aprīkots ar centrālo eļļošanas sistēmu (CES), Pretendentam  tehniskajā piedāvājumā jāapliecina šāda risinājuma esamība un atbilstība tehniskās specifikācijas B.4 punktā noteiktajām prasībām. Tehniskā apraksta detalizācijas pakāpe paliek Pretendenta kompetencē, ņemot vērā piedāvātā risinājuma būtību un tehniskās specifikācijas prasības.</w:t>
      </w:r>
    </w:p>
    <w:p w14:paraId="49C02C00" w14:textId="34C1E1BC" w:rsidR="006B7E8D" w:rsidRPr="006B7E8D" w:rsidRDefault="003852E2" w:rsidP="00610471">
      <w:pPr>
        <w:ind w:firstLine="720"/>
        <w:jc w:val="both"/>
      </w:pPr>
      <w:r>
        <w:lastRenderedPageBreak/>
        <w:t>Pasūtītājs neparedz vienotu tehniskā piedāvājuma formu vai detalizācijas līmeni šādiem aprakstiem, tomēr Pretendentam jānodrošina, ka iesniegtā informācija ir pietiekama, lai varētu nepārprotami izvērtēt atbilstību tehniskās specifikācijas prasībām.</w:t>
      </w:r>
    </w:p>
    <w:p w14:paraId="38D27ACF" w14:textId="77777777" w:rsidR="00BA486D" w:rsidRDefault="00BA486D" w:rsidP="00610471">
      <w:pPr>
        <w:ind w:firstLine="720"/>
        <w:jc w:val="both"/>
      </w:pPr>
    </w:p>
    <w:p w14:paraId="64D3B4E7" w14:textId="77777777" w:rsidR="00F127CF" w:rsidRPr="008365EC" w:rsidRDefault="00F127CF" w:rsidP="00610471">
      <w:pPr>
        <w:ind w:firstLine="720"/>
        <w:jc w:val="both"/>
      </w:pPr>
    </w:p>
    <w:p w14:paraId="4434F01B" w14:textId="5AB0C676" w:rsidR="005F1D86" w:rsidRPr="008365EC" w:rsidRDefault="005F1D86" w:rsidP="00610471">
      <w:pPr>
        <w:jc w:val="both"/>
        <w:rPr>
          <w:b/>
          <w:bCs/>
        </w:rPr>
      </w:pPr>
      <w:r w:rsidRPr="008365EC">
        <w:rPr>
          <w:b/>
          <w:bCs/>
        </w:rPr>
        <w:t>7.jautājums:</w:t>
      </w:r>
    </w:p>
    <w:p w14:paraId="6C19513E" w14:textId="77777777" w:rsidR="00F92B28" w:rsidRPr="00F92B28" w:rsidRDefault="00F92B28" w:rsidP="00610471">
      <w:pPr>
        <w:jc w:val="both"/>
      </w:pPr>
      <w:r w:rsidRPr="00F92B28">
        <w:t xml:space="preserve">Tehniskās specifikācijas B.8.7.3. punkts (Braucienu datu reģistrēšana) paredz, ka transportlīdzeklim jābūt aprīkotam ar braucienu reģistrēšanas ierīci, kas reģistrē plašu parametru klāstu - vairāk nekā 30 atsevišķus datu laukus, ietverot transportlīdzekļa GPS koordinātes, ātrumu, bateriju spriegumu, uzlādes un izlādes strāvu, SOC, SOH, atsevišķu bateriju temperatūras, vilces dzinēja vilces un bremzēšanas momentu, braukšanas pedāļa un bremzes pedāļa nospiešanas pakāpi procentos, attālumu līdz vietai, kur sācies ieraksts, kā arī ap 30 papildu loģisko mainīgo stāvokļus (durvis, bremžu pedālis, ABS, ASR, virziena rādītāji, kompresors un citi). Sistēmai jānodrošina informācijas reģistrēšana ar soli vismaz 0,5 sekundes vai 0,5 metri un dati jānosūta tiešsaistē vienotā centrālā telemetrijas datu bāzē, kuru pavada Piegādātāja nodrošināta pārvaldības programmatūra. </w:t>
      </w:r>
    </w:p>
    <w:p w14:paraId="224EA778" w14:textId="77777777" w:rsidR="00F92B28" w:rsidRPr="00F92B28" w:rsidRDefault="00F92B28" w:rsidP="00610471">
      <w:pPr>
        <w:jc w:val="both"/>
      </w:pPr>
      <w:r w:rsidRPr="00F92B28">
        <w:t xml:space="preserve">Šis prasību kopums rada vairākas neskaidrības. Pirmkārt, daļa no uzskaitītajiem parametriem nav saistīta ar sabiedriskā transporta pakalpojuma sniegšanu Rīgā kā tādu - piemēram, attālums līdz vietai, kur sācies ieraksts, vai bremzes pedāļa nospiešanas pakāpe procentos pie 0,5 sekunžu soli ir parametri, kas vairāk raksturīgi ražotāja iekšējiem diagnostikas vai izpētes uzdevumiem, nevis pārvadātāja ekspluatācijas vajadzībām. Šāds parametru kopums apjomā un sastāvā atbilst kāda konkrēta ražotāja telemetrijas platformai, kas var radīt iespaidu par konkrēta tehniskā risinājuma priekšroku. </w:t>
      </w:r>
    </w:p>
    <w:p w14:paraId="3E7B6875" w14:textId="77777777" w:rsidR="00F92B28" w:rsidRPr="00F92B28" w:rsidRDefault="00F92B28" w:rsidP="00610471">
      <w:pPr>
        <w:jc w:val="both"/>
      </w:pPr>
      <w:r w:rsidRPr="00F92B28">
        <w:t xml:space="preserve">Otrkārt, specifikācijā nav skaidri noteikts, kāda tieši sistēma Pasūtītājam ir vajadzīga - vai runa ir par patstāvīgu Piegādātāja telemetrijas platformu ar savu serveri un programmatūru, kas tiek integrēta ar Pasūtītāja IT vidi, vai par sistēmu, kas tikai nodrošina datu plūsmu uz Pasūtītāja jau esošo telemetrijas datu bāzi pēc Pasūtītāja noteiktas saskarnes. Atšķirības starp šiem variantiem ir būtiskas gan no funkcionalitātes, gan no izmaksu viedokļa. </w:t>
      </w:r>
    </w:p>
    <w:p w14:paraId="1F631D62" w14:textId="77777777" w:rsidR="00F92B28" w:rsidRPr="00F92B28" w:rsidRDefault="00F92B28" w:rsidP="00610471">
      <w:pPr>
        <w:jc w:val="both"/>
      </w:pPr>
      <w:r w:rsidRPr="00F92B28">
        <w:t xml:space="preserve">Tādēļ lūdzam Pasūtītāju precizēt, </w:t>
      </w:r>
    </w:p>
    <w:p w14:paraId="386AFA04" w14:textId="77777777" w:rsidR="00F92B28" w:rsidRPr="00F92B28" w:rsidRDefault="00F92B28" w:rsidP="00610471">
      <w:pPr>
        <w:jc w:val="both"/>
      </w:pPr>
      <w:r w:rsidRPr="00F92B28">
        <w:t xml:space="preserve">1) kāda telemetrijas sistēma tiek sagaidīta - patstāvīga Piegādātāja platforma vai datu plūsma uz Pasūtītāja esošo sistēmu un, ja pēdējais, kādā formātā un pa kādu saskarni dati jānosūta; </w:t>
      </w:r>
    </w:p>
    <w:p w14:paraId="3B7D6AF7" w14:textId="7B0634E1" w:rsidR="005155A1" w:rsidRDefault="00F92B28" w:rsidP="00610471">
      <w:pPr>
        <w:jc w:val="both"/>
        <w:rPr>
          <w:b/>
          <w:bCs/>
        </w:rPr>
      </w:pPr>
      <w:r w:rsidRPr="00F92B28">
        <w:t>2) kāds ir B.8.7.3. punktā uzskaitīto parametru funkcionālais pamatojums, jo daļa no tiem šķietami nav nepieciešama sabiedriskā transporta pakalpojuma uzraudzībai un, vai Pasūtītājs apsver iespēju samazināt obligāto parametru sarakstu līdz tiem, kas ir tiešām nepieciešami pakalpojuma sniegšanai.</w:t>
      </w:r>
    </w:p>
    <w:p w14:paraId="75D92BF1" w14:textId="77777777" w:rsidR="00F127CF" w:rsidRPr="008365EC" w:rsidRDefault="00F127CF" w:rsidP="00610471">
      <w:pPr>
        <w:jc w:val="both"/>
        <w:rPr>
          <w:b/>
          <w:bCs/>
        </w:rPr>
      </w:pPr>
    </w:p>
    <w:p w14:paraId="314EFF25" w14:textId="310DBB57" w:rsidR="005F1D86" w:rsidRPr="008365EC" w:rsidRDefault="005F1D86" w:rsidP="00610471">
      <w:pPr>
        <w:jc w:val="both"/>
        <w:rPr>
          <w:b/>
          <w:bCs/>
        </w:rPr>
      </w:pPr>
      <w:r w:rsidRPr="008365EC">
        <w:rPr>
          <w:b/>
          <w:bCs/>
        </w:rPr>
        <w:t>7.atbilde:</w:t>
      </w:r>
    </w:p>
    <w:p w14:paraId="35734017" w14:textId="77777777" w:rsidR="007310C6" w:rsidRDefault="007310C6" w:rsidP="00610471">
      <w:pPr>
        <w:ind w:firstLine="720"/>
        <w:jc w:val="both"/>
      </w:pPr>
      <w:r>
        <w:t>Pasūtītājs sagaida, ka transportlīdzeklis ir aprīkots ar patstāvīgu un funkcionāli  pilnvērtīgu braucienu datu reģistrēšanas un apstrādes sistēmu, kas ietver gan datu iegūšanu, gan to nodošanu un pārvaldību, izmantojot Piegādātāja nodrošinātu telemetrijas platformu vai līdzvērtīgu risinājumu.</w:t>
      </w:r>
    </w:p>
    <w:p w14:paraId="216E8F32" w14:textId="77777777" w:rsidR="007310C6" w:rsidRDefault="007310C6" w:rsidP="00610471">
      <w:pPr>
        <w:ind w:firstLine="720"/>
        <w:jc w:val="both"/>
      </w:pPr>
    </w:p>
    <w:p w14:paraId="297826AA" w14:textId="77777777" w:rsidR="007310C6" w:rsidRDefault="007310C6" w:rsidP="00610471">
      <w:pPr>
        <w:ind w:firstLine="720"/>
        <w:jc w:val="both"/>
      </w:pPr>
      <w:r>
        <w:t>Tehniskajā specifikācijā definētais parametru un signālu saraksts ir balstīts uz Pasūtītāja līdzšinējo ekspluatācijas pieredzi un transportlīdzekļu darbības uzraudzības vajadzībām, ņemot vērā, ka sabiedriskā transporta pakalpojuma sniegšana ietver arī transportlīdzekļu pilnīgu uzturēšanu un remontu. Attiecīgo datu pieejamība nodrošina iespēju analizēt transportlīdzekļu ekspluatācijas režīmus, identificēt kļūmes, novērtēt komponentu darbību un savlaicīgi plānot apkopes un remonta darbus.</w:t>
      </w:r>
    </w:p>
    <w:p w14:paraId="43FF90B0" w14:textId="77777777" w:rsidR="007310C6" w:rsidRDefault="007310C6" w:rsidP="00610471">
      <w:pPr>
        <w:ind w:firstLine="720"/>
        <w:jc w:val="both"/>
      </w:pPr>
      <w:r>
        <w:t>Pasūtītājs uzskata, ka prasībā ietvertais parametru uzskaitījums ir saistāms nevis ar konkrētu ražotāju vai tehnisko risinājumu, bet gan ar nepieciešamo datu kopumu, kas nodrošina pilnvērtīgu transportlīdzekļu ekspluatācijas un uzturēšanas uzraudzību.</w:t>
      </w:r>
    </w:p>
    <w:p w14:paraId="2EFE617E" w14:textId="4B9EF704" w:rsidR="00C634CD" w:rsidRPr="00C634CD" w:rsidRDefault="007310C6" w:rsidP="00610471">
      <w:pPr>
        <w:ind w:firstLine="720"/>
        <w:jc w:val="both"/>
      </w:pPr>
      <w:r>
        <w:lastRenderedPageBreak/>
        <w:t>Līdz ar to, Pasūtītājs neparedz B.8.7.3. punkta prasībā samazināt uzskaitīto parametru apjomu.</w:t>
      </w:r>
    </w:p>
    <w:p w14:paraId="414960C6" w14:textId="77777777" w:rsidR="007310C6" w:rsidRDefault="007310C6" w:rsidP="00610471">
      <w:pPr>
        <w:jc w:val="both"/>
        <w:outlineLvl w:val="0"/>
      </w:pPr>
    </w:p>
    <w:p w14:paraId="5B544F57" w14:textId="77777777" w:rsidR="008B7520" w:rsidRDefault="008B7520" w:rsidP="00610471">
      <w:pPr>
        <w:jc w:val="both"/>
        <w:outlineLvl w:val="0"/>
      </w:pPr>
    </w:p>
    <w:p w14:paraId="70869EED" w14:textId="23F3B598" w:rsidR="00B134A3" w:rsidRPr="008365EC" w:rsidRDefault="00931A18" w:rsidP="00610471">
      <w:pPr>
        <w:jc w:val="both"/>
        <w:rPr>
          <w:b/>
          <w:bCs/>
        </w:rPr>
      </w:pPr>
      <w:r>
        <w:rPr>
          <w:b/>
          <w:bCs/>
        </w:rPr>
        <w:t>8</w:t>
      </w:r>
      <w:r w:rsidR="00B134A3" w:rsidRPr="008365EC">
        <w:rPr>
          <w:b/>
          <w:bCs/>
        </w:rPr>
        <w:t>.jautājums:</w:t>
      </w:r>
    </w:p>
    <w:p w14:paraId="21E86C1A" w14:textId="77777777" w:rsidR="00F92B28" w:rsidRPr="00F92B28" w:rsidRDefault="00F92B28" w:rsidP="00610471">
      <w:pPr>
        <w:jc w:val="both"/>
      </w:pPr>
      <w:r w:rsidRPr="00F92B28">
        <w:t xml:space="preserve">Tehniskās specifikācijas B.8.8. punkts (Vadi un uzgaļi) ietver detalizētu uzskaitījumu ar specifiskām tehniskām prasībām vadu un kabeļu konstrukcijai, izolācijas parametriem, atsaucēm uz konkrētiem standartiem, kā arī detalizētiem marķēšanas un mehāniskās aizsardzības nosacījumiem. </w:t>
      </w:r>
    </w:p>
    <w:p w14:paraId="4D85DF45" w14:textId="6C87EF25" w:rsidR="00B134A3" w:rsidRDefault="00F92B28" w:rsidP="00610471">
      <w:pPr>
        <w:jc w:val="both"/>
      </w:pPr>
      <w:r w:rsidRPr="00F92B28">
        <w:t>Šādu konkrētu vadu un kabeļu prasību iekļaušana iepirkuma tehniskajā specifikācijā rada principiālu iebildumu. Transportlīdzekļa elektroinstalācijas konstrukcija ir ražotāja inženiertehniska kompetence, kas tiek apliecināta ar transportlīdzekļa tipa apstiprinājumu. Eiropas Savienības tipa apstiprinājuma sertifikāts (Certificate of Conformity, CoC), kas izdots saskaņā ar EU tiesību aktiem jau apliecina, ka transportlīdzeklis kopumā un tā sistēmas atbilst Eiropas Savienības drošības, elektromagnētiskās savietojamības un ekspluatācijas prasībām. Atsevišķu kabeļu un vadu konstrukcijas, izolācijas vai marķējuma parametru noteikšana iepirkuma līmenī dublē šo sertifikāciju un nesniedz Pasūtītājam papildu pārliecību par transportlīdzekļa drošību vai kvalitāti.</w:t>
      </w:r>
    </w:p>
    <w:p w14:paraId="4A8706A9" w14:textId="77777777" w:rsidR="00F92B28" w:rsidRPr="00F92B28" w:rsidRDefault="00F92B28" w:rsidP="00610471">
      <w:pPr>
        <w:jc w:val="both"/>
      </w:pPr>
      <w:r w:rsidRPr="00F92B28">
        <w:t xml:space="preserve">Ražotājs konstrukcijas posmā jau izvēlas vadu, izolācijas un savienojuma risinājumus, kas atbilst konkrētā transportlīdzekļa darba spriegumam, slodzei un ekspluatācijas apstākļiem un šo izvēli apliecina tipa apstiprinājuma testēšana. Pasūtītājam un pretendentam šajā konstruktīvajā līmenī nav saimnieciska vai funkcionāla iemesla iejaukties papildus tipa apstiprinājuma prasībām, jo jebkura neatbilstība šajā līmenī liegtu transportlīdzekli reģistrēt ekspluatācijai Eiropas Savienībā. </w:t>
      </w:r>
    </w:p>
    <w:p w14:paraId="730947D7" w14:textId="39176473" w:rsidR="00F92B28" w:rsidRPr="00F92B28" w:rsidRDefault="00F92B28" w:rsidP="00610471">
      <w:pPr>
        <w:jc w:val="both"/>
      </w:pPr>
      <w:r w:rsidRPr="00F92B28">
        <w:t>Tādēļ lūdzam Pasūtītāju apsvērt B.8.8. punkta vienkāršošanu - detalizēto tehnisko prasību aizstāšanu ar funkcionālu prasību, piemēram, ka transportlīdzekļa elektroinstalācijai jāatbilst transportlīdzekļa tipa apstiprinājuma prasībām saskaņā ar Regulu (ES) 2018/858 un attiecīgajiem ANO/EEK noteikumiem un, ka pretendents apliecina šo atbilstību ar CoC sertifikātu. Šāda pieeja saglabā Pasūtītāja interesi par drošu un kvalitatīvu transportlīdzekli, vienlaikus novēršot dublēšanos ar jau obligāti piemērojamām ES tipa apstiprinājuma prasībām un samazinot dokumentu salīdzināšanas darbu apjomu, lieku un limitējošu prasību izvirzīšanu.</w:t>
      </w:r>
    </w:p>
    <w:p w14:paraId="23D34597" w14:textId="77777777" w:rsidR="00B134A3" w:rsidRPr="008365EC" w:rsidRDefault="00B134A3" w:rsidP="00610471">
      <w:pPr>
        <w:jc w:val="both"/>
        <w:rPr>
          <w:b/>
          <w:bCs/>
        </w:rPr>
      </w:pPr>
    </w:p>
    <w:p w14:paraId="7B217E6E" w14:textId="6F7F720C" w:rsidR="00B134A3" w:rsidRPr="008365EC" w:rsidRDefault="00931A18" w:rsidP="00610471">
      <w:pPr>
        <w:jc w:val="both"/>
        <w:rPr>
          <w:b/>
          <w:bCs/>
        </w:rPr>
      </w:pPr>
      <w:r>
        <w:rPr>
          <w:b/>
          <w:bCs/>
        </w:rPr>
        <w:t>8</w:t>
      </w:r>
      <w:r w:rsidR="00B134A3" w:rsidRPr="008365EC">
        <w:rPr>
          <w:b/>
          <w:bCs/>
        </w:rPr>
        <w:t>.atbilde:</w:t>
      </w:r>
    </w:p>
    <w:p w14:paraId="4D674667" w14:textId="77777777" w:rsidR="00CB0E32" w:rsidRDefault="00CB0E32" w:rsidP="00610471">
      <w:pPr>
        <w:ind w:firstLine="720"/>
        <w:jc w:val="both"/>
      </w:pPr>
      <w:r>
        <w:t>Tehniskās specifikācijas B.8.8. punktā noteiktās prasības par vadiem, kabeļiem un to uzstādīšanu ir funkcionālas prasības, kas vērstas uz transportlīdzekļa drošu, uzticamu un ilglaicīgu ekspluatāciju, kā arī uz apkopes un remonta darbu atvieglošanu.</w:t>
      </w:r>
    </w:p>
    <w:p w14:paraId="1FF5F48C" w14:textId="77777777" w:rsidR="00CB0E32" w:rsidRDefault="00CB0E32" w:rsidP="00610471">
      <w:pPr>
        <w:ind w:firstLine="720"/>
        <w:jc w:val="both"/>
      </w:pPr>
      <w:r>
        <w:t>Minētās prasības nedublē transportlīdzekļa tipa apstiprinājuma prasības, bet papildina tās, nosakot praktiskus ekspluatācijas un uzturēšanas aspektus, kas var nebūt pilnībā detalizēti regulēti tipa apstiprinājuma ietvaros (piemēram, vadu aizsardzība pret mehānisku bojājumu, pieejamība apkopei, marķējums, kabeļu izvietojuma organizācija u.c.).</w:t>
      </w:r>
    </w:p>
    <w:p w14:paraId="49C37D16" w14:textId="4FA249CC" w:rsidR="00CB0E32" w:rsidRDefault="00CB0E32" w:rsidP="00610471">
      <w:pPr>
        <w:ind w:firstLine="720"/>
        <w:jc w:val="both"/>
      </w:pPr>
      <w:r>
        <w:t>Pasūtītāja prasības nav vērstas uz konkrēta tehniskā risinājuma vai ražotāja specifiskām konstrukcijām, bet nosaka minimālo funkcionālo un ekspluatācijas kvalitātes līmeni, kas Piegādātājam ir izpildāms neatkarīgi no izvēlētā tehniskā risinājuma.</w:t>
      </w:r>
    </w:p>
    <w:p w14:paraId="3C6C6F0F" w14:textId="58AFB7A2" w:rsidR="00B134A3" w:rsidRDefault="00CB0E32" w:rsidP="00610471">
      <w:pPr>
        <w:ind w:firstLine="720"/>
        <w:jc w:val="both"/>
      </w:pPr>
      <w:r>
        <w:t>Līdz ar to, Pasūtītājs neparedz vienkāršot vai aizstāt B.8.8. punktā noteiktās prasības tikai ar atsauci uz tipa apstiprinājuma atbilstību.</w:t>
      </w:r>
    </w:p>
    <w:p w14:paraId="1C239DDD" w14:textId="77777777" w:rsidR="00CB0E32" w:rsidRPr="00C634CD" w:rsidRDefault="00CB0E32" w:rsidP="00610471">
      <w:pPr>
        <w:ind w:firstLine="720"/>
        <w:jc w:val="both"/>
      </w:pPr>
    </w:p>
    <w:p w14:paraId="384F1F32" w14:textId="77777777" w:rsidR="00E17D97" w:rsidRDefault="00E17D97" w:rsidP="00610471">
      <w:pPr>
        <w:jc w:val="both"/>
        <w:outlineLvl w:val="0"/>
      </w:pPr>
    </w:p>
    <w:p w14:paraId="60828C69" w14:textId="4E1F90DC" w:rsidR="00193BC9" w:rsidRPr="008365EC" w:rsidRDefault="00931A18" w:rsidP="00610471">
      <w:pPr>
        <w:jc w:val="both"/>
        <w:rPr>
          <w:b/>
          <w:bCs/>
        </w:rPr>
      </w:pPr>
      <w:r>
        <w:rPr>
          <w:b/>
          <w:bCs/>
        </w:rPr>
        <w:t>9</w:t>
      </w:r>
      <w:r w:rsidR="00193BC9" w:rsidRPr="008365EC">
        <w:rPr>
          <w:b/>
          <w:bCs/>
        </w:rPr>
        <w:t>.jautājums:</w:t>
      </w:r>
    </w:p>
    <w:p w14:paraId="1310C801" w14:textId="77777777" w:rsidR="007A7C32" w:rsidRPr="007A7C32" w:rsidRDefault="007A7C32" w:rsidP="00610471">
      <w:pPr>
        <w:jc w:val="both"/>
      </w:pPr>
      <w:r w:rsidRPr="007A7C32">
        <w:t xml:space="preserve">Tehniskās specifikācijas B.9.1. punkts (Informācijas un sakaru iekārtas - vispārīgās prasības) paredz, ka transportlīdzeklim jābūt pilnībā sagatavotam Pasūtītāja piegādāto iekārtu - pasažieru informācijas sistēmas (PIS), videonovērošanas sistēmas (CCTV), elektronisko biļešu sistēmas, datu komunikācijas sistēmas un pasažieru skaitīšanas sistēmas - uzstādīšanai un, ka Piegādātājam jānodrošina transportlīdzekļa sistēmu savietojamība ar Pasūtītāja nodrošinātajām iekārtām, ciktāl </w:t>
      </w:r>
      <w:r w:rsidRPr="007A7C32">
        <w:lastRenderedPageBreak/>
        <w:t xml:space="preserve">tas ir saistīts ar Piegādātāja nodrošināto sistēmu integrāciju. Vienlaikus tajā pašā punktā noteikts, ka visi precīzie Pasūtītāja piegādāto iekārtu tehniskie parametri un izvietošanas vietas tiks saskaņoti ar Piegādātāju pirms transportlīdzekļu ražošanas uzsākšanas, bet ne vēlāk kā 6 mēnešu laikā pēc līguma stāšanās spēkā. </w:t>
      </w:r>
    </w:p>
    <w:p w14:paraId="05D589B6" w14:textId="77777777" w:rsidR="007A7C32" w:rsidRPr="007A7C32" w:rsidRDefault="007A7C32" w:rsidP="00610471">
      <w:pPr>
        <w:jc w:val="both"/>
      </w:pPr>
      <w:r w:rsidRPr="007A7C32">
        <w:t xml:space="preserve">Šī struktūra rada principiālu problēmu pretendentam tehniskā un finanšu piedāvājuma sagatavošanas stadijā. Pretendentam jāuzņemas saistība pielāgot transportlīdzekli un nodrošināt savietojamību ar iekārtām, kuru precīzie tehniskie parametri, izmēri, jauda, datu saskarnes un izvietojuma vietas piedāvājuma iesniegšanas brīdī nav zināmas un tiks saskaņotas tikai gadu pēc līguma noslēgšanas. Vienlaikus pretendentam šajā piedāvājuma stadijā jāiekļauj finanšu piedāvājumā visas izmaksas par šo iekārtu integrāciju - kabeļu trases, montāžas vietas, barošanas un datu pieslēgumi, mehāniskie stiprinājumi, kas tieši ir atkarīgi no nezināmajām iekārtu specifikācijām. </w:t>
      </w:r>
    </w:p>
    <w:p w14:paraId="6C10B932" w14:textId="77777777" w:rsidR="007A7C32" w:rsidRPr="007A7C32" w:rsidRDefault="007A7C32" w:rsidP="00610471">
      <w:pPr>
        <w:jc w:val="both"/>
      </w:pPr>
      <w:r w:rsidRPr="007A7C32">
        <w:t xml:space="preserve">Šāda pieeja faktiski apgriež tehnisko loģiku ačgārni - autobuss tiek pielāgots iekārtām, kuras Pasūtītājs vēl tikai izvēlēsies, nevis iekārtas tiek izvēlētas atbilstoši autobusa konstruktīvajiem risinājumiem. Tas rada nevienlīdzīgu risku starp pusēm: jebkāda nesaderība, kas atklājas pēc 6 mēnešu saskaņošanas perioda, finansiāli un termiņa ziņā skar Piegādātāju, lai gan Piegādātājs šīs iekārtas neizvēlas un nepiegādā. </w:t>
      </w:r>
    </w:p>
    <w:p w14:paraId="589DA833" w14:textId="77777777" w:rsidR="007A7C32" w:rsidRPr="007A7C32" w:rsidRDefault="007A7C32" w:rsidP="00610471">
      <w:pPr>
        <w:jc w:val="both"/>
      </w:pPr>
      <w:r w:rsidRPr="007A7C32">
        <w:t xml:space="preserve">Tādēļ lūdzam Pasūtītāju paskaidrot: </w:t>
      </w:r>
    </w:p>
    <w:p w14:paraId="334AA23E" w14:textId="77777777" w:rsidR="007A7C32" w:rsidRPr="007A7C32" w:rsidRDefault="007A7C32" w:rsidP="00610471">
      <w:pPr>
        <w:jc w:val="both"/>
      </w:pPr>
      <w:r w:rsidRPr="007A7C32">
        <w:t xml:space="preserve">1) vai Pasūtītājs var jau iepirkuma stadijā publicēt precīzu pielikumu ar Pasūtītāja paredzēto iekārtu tehniskajām specifikācijām (izmēri, masa, barošanas un datu prasības, montāžas saskarnes), lai pretendents var korekti aprēķināt finanšu piedāvājumu un piedāvāt tehniski pamatotu risinājumu; </w:t>
      </w:r>
    </w:p>
    <w:p w14:paraId="513EE5B6" w14:textId="77777777" w:rsidR="007A7C32" w:rsidRPr="007A7C32" w:rsidRDefault="007A7C32" w:rsidP="00610471">
      <w:pPr>
        <w:jc w:val="both"/>
      </w:pPr>
      <w:r w:rsidRPr="007A7C32">
        <w:t xml:space="preserve">2) kā tiek sadalīts risks un izmaksas gadījumā, ja saskaņošanas gaitā 6 mēnešu termiņā tiek atklāta neatbilstība starp transportlīdzekli un Pasūtītāja izvēlētajām iekārtām, vai šādu izmaksu palielinājumu sedz Piegādātājs, Pasūtītājs, vai tiek piemērots cits risinājums; </w:t>
      </w:r>
    </w:p>
    <w:p w14:paraId="51DE9C11" w14:textId="74FF5201" w:rsidR="00193BC9" w:rsidRPr="007A7C32" w:rsidRDefault="007A7C32" w:rsidP="00610471">
      <w:pPr>
        <w:jc w:val="both"/>
      </w:pPr>
      <w:r w:rsidRPr="007A7C32">
        <w:t>3) vai jau līgumu noslēgušajam Piegādātājam ir tiesības noraidīt Pasūtītāja vēlmi par iekārtas izvietojumu, ja tā nav konstruktīvi savietojama ar transportlīdzekli.</w:t>
      </w:r>
    </w:p>
    <w:p w14:paraId="64161D7A" w14:textId="77777777" w:rsidR="00193BC9" w:rsidRPr="008365EC" w:rsidRDefault="00193BC9" w:rsidP="00610471">
      <w:pPr>
        <w:jc w:val="both"/>
        <w:rPr>
          <w:b/>
          <w:bCs/>
        </w:rPr>
      </w:pPr>
    </w:p>
    <w:p w14:paraId="3F75C157" w14:textId="5D71160D" w:rsidR="00193BC9" w:rsidRPr="008365EC" w:rsidRDefault="00931A18" w:rsidP="00610471">
      <w:pPr>
        <w:jc w:val="both"/>
        <w:rPr>
          <w:b/>
          <w:bCs/>
        </w:rPr>
      </w:pPr>
      <w:r>
        <w:rPr>
          <w:b/>
          <w:bCs/>
        </w:rPr>
        <w:t>9</w:t>
      </w:r>
      <w:r w:rsidR="00193BC9" w:rsidRPr="008365EC">
        <w:rPr>
          <w:b/>
          <w:bCs/>
        </w:rPr>
        <w:t>.atbilde:</w:t>
      </w:r>
    </w:p>
    <w:p w14:paraId="0EE102D9" w14:textId="00343288" w:rsidR="00375F69" w:rsidRPr="008365EC" w:rsidRDefault="00375F69" w:rsidP="00375F69">
      <w:pPr>
        <w:ind w:firstLine="720"/>
        <w:jc w:val="both"/>
      </w:pPr>
      <w:r w:rsidRPr="008365EC">
        <w:t>Pasūtītājs</w:t>
      </w:r>
      <w:r>
        <w:t xml:space="preserve"> informē, ka, lai izvērtētu jautājumu, Pasūtītājam nepieciešams papildu laiks, līdz ar to atbildes uz jautājuma sniegšanu termiņš tiek pagarināts līdz 2026.gada 19.jūnijam.</w:t>
      </w:r>
    </w:p>
    <w:p w14:paraId="3252FD6B" w14:textId="77777777" w:rsidR="00CB0E32" w:rsidRDefault="00CB0E32" w:rsidP="00610471">
      <w:pPr>
        <w:jc w:val="both"/>
        <w:outlineLvl w:val="0"/>
      </w:pPr>
    </w:p>
    <w:p w14:paraId="31E16C63" w14:textId="77777777" w:rsidR="008B7520" w:rsidRDefault="008B7520" w:rsidP="00610471">
      <w:pPr>
        <w:jc w:val="both"/>
        <w:outlineLvl w:val="0"/>
      </w:pPr>
    </w:p>
    <w:p w14:paraId="28767F15" w14:textId="01CBE6B7" w:rsidR="00193BC9" w:rsidRPr="008365EC" w:rsidRDefault="00931A18" w:rsidP="00610471">
      <w:pPr>
        <w:jc w:val="both"/>
        <w:rPr>
          <w:b/>
          <w:bCs/>
        </w:rPr>
      </w:pPr>
      <w:r>
        <w:rPr>
          <w:b/>
          <w:bCs/>
        </w:rPr>
        <w:t>10</w:t>
      </w:r>
      <w:r w:rsidR="00193BC9" w:rsidRPr="008365EC">
        <w:rPr>
          <w:b/>
          <w:bCs/>
        </w:rPr>
        <w:t>.jautājums:</w:t>
      </w:r>
    </w:p>
    <w:p w14:paraId="042F40C7" w14:textId="210EE581" w:rsidR="007B2EEF" w:rsidRPr="007B2EEF" w:rsidRDefault="007A7C32" w:rsidP="00610471">
      <w:pPr>
        <w:jc w:val="both"/>
      </w:pPr>
      <w:r w:rsidRPr="007A7C32">
        <w:t xml:space="preserve">Tehniskās specifikācijas B.9.2.1. punkts (Iekšējie un ārējie displeji) paredz montāžas vietas Pasūtītāja piegādāto TFT un LED displeju uzstādīšanai transportlīdzeklī un cita </w:t>
      </w:r>
      <w:r w:rsidR="007B2EEF" w:rsidRPr="007B2EEF">
        <w:t>starp</w:t>
      </w:r>
      <w:r w:rsidR="007B2EEF" w:rsidRPr="007B2EEF">
        <w:rPr>
          <w:rFonts w:hint="eastAsia"/>
        </w:rPr>
        <w:t>ā</w:t>
      </w:r>
      <w:r w:rsidR="007B2EEF" w:rsidRPr="007B2EEF">
        <w:t xml:space="preserve"> nosaka, ka </w:t>
      </w:r>
      <w:r w:rsidR="007B2EEF" w:rsidRPr="007B2EEF">
        <w:rPr>
          <w:rFonts w:hint="eastAsia"/>
        </w:rPr>
        <w:t>„</w:t>
      </w:r>
      <w:r w:rsidR="007B2EEF" w:rsidRPr="007B2EEF">
        <w:t xml:space="preserve">aizsargstikls ir atsevišķs no priekšējā vējstikla, tad ir jāparedz tā apsilde”. </w:t>
      </w:r>
    </w:p>
    <w:p w14:paraId="38CCB879" w14:textId="77777777" w:rsidR="009753E9" w:rsidRPr="009753E9" w:rsidRDefault="009753E9" w:rsidP="00610471">
      <w:pPr>
        <w:jc w:val="both"/>
      </w:pPr>
      <w:r w:rsidRPr="009753E9">
        <w:t xml:space="preserve">Šī prasība rada divas neskaidrības. Pirmkārt, no formulējuma nav viennozīmīgi saprotams, par kura elementa apsildi runa - vai par paša priekšējā LED displeja korpusa apsildi, par tā aizsargstikla apsildi atsevišķi no displeja, vai par transportlīdzekļa vējstikla papildu apsildes zonu pretī displejam. Otrkārt, ja runa ir par LED displeja vai tā aizsargstikla apsildi, šāda risinājuma tehniskā ieviešana ir displeja ražotāja kompetencē - displeju nodrošina Pasūtītājs (saskaņā ar B.9.2.1. punkta noteikumu) un Piegādātājs piedāvājuma sagatavošanas stadijā vēl nezina, vai un kādā konstrukcijā Pasūtītāja izvēlētajam displejam vispār ir aizsargstikls un vai tas konstruktīvi pieļauj apsildes integrāciju. </w:t>
      </w:r>
    </w:p>
    <w:p w14:paraId="20CDC483" w14:textId="77777777" w:rsidR="009753E9" w:rsidRPr="009753E9" w:rsidRDefault="009753E9" w:rsidP="00610471">
      <w:pPr>
        <w:jc w:val="both"/>
      </w:pPr>
      <w:r w:rsidRPr="009753E9">
        <w:t xml:space="preserve">Tādēļ lūdzam Pasūtītāju precizēt, </w:t>
      </w:r>
    </w:p>
    <w:p w14:paraId="10F8A52B" w14:textId="77777777" w:rsidR="009753E9" w:rsidRPr="009753E9" w:rsidRDefault="009753E9" w:rsidP="00610471">
      <w:pPr>
        <w:jc w:val="both"/>
      </w:pPr>
      <w:r w:rsidRPr="009753E9">
        <w:t xml:space="preserve">1) par kāda elementa apsildi B.9.2.1. punktā ir runa - paša displeja, displeja aizsargstikla vai transportlīdzekļa vējstikla zonas pretī displejam; </w:t>
      </w:r>
    </w:p>
    <w:p w14:paraId="2DE5125A" w14:textId="77777777" w:rsidR="009753E9" w:rsidRPr="009753E9" w:rsidRDefault="009753E9" w:rsidP="00610471">
      <w:pPr>
        <w:jc w:val="both"/>
      </w:pPr>
      <w:r w:rsidRPr="009753E9">
        <w:t xml:space="preserve">2) kura puse atbild par apsildes risinājumu - Pasūtītājs (kas piegādā displeju) vai Piegādātājs (kas piegādā transportlīdzekli); </w:t>
      </w:r>
    </w:p>
    <w:p w14:paraId="15C6651E" w14:textId="47FDD538" w:rsidR="007A7C32" w:rsidRPr="007A7C32" w:rsidRDefault="009753E9" w:rsidP="00610471">
      <w:pPr>
        <w:jc w:val="both"/>
      </w:pPr>
      <w:r w:rsidRPr="009753E9">
        <w:lastRenderedPageBreak/>
        <w:t>3) ja prasība attiecas uz displeja aizsargstiklu un atbildība ir Piegādātājam, kādā veidā tā ir izpildāma piedāvājuma stadijā, ja Pasūtītāja izvēlētais displejs un tā konstrukcija piedāvājuma sagatavošanas brīdī nav zināma.</w:t>
      </w:r>
    </w:p>
    <w:p w14:paraId="4D7356DB" w14:textId="77777777" w:rsidR="00193BC9" w:rsidRDefault="00193BC9" w:rsidP="00610471">
      <w:pPr>
        <w:jc w:val="both"/>
        <w:rPr>
          <w:b/>
          <w:bCs/>
        </w:rPr>
      </w:pPr>
    </w:p>
    <w:p w14:paraId="651E5D53" w14:textId="3D8B6704" w:rsidR="00193BC9" w:rsidRPr="008365EC" w:rsidRDefault="00931A18" w:rsidP="00610471">
      <w:pPr>
        <w:jc w:val="both"/>
        <w:rPr>
          <w:b/>
          <w:bCs/>
        </w:rPr>
      </w:pPr>
      <w:r>
        <w:rPr>
          <w:b/>
          <w:bCs/>
        </w:rPr>
        <w:t>10</w:t>
      </w:r>
      <w:r w:rsidR="00193BC9" w:rsidRPr="008365EC">
        <w:rPr>
          <w:b/>
          <w:bCs/>
        </w:rPr>
        <w:t>.atbilde:</w:t>
      </w:r>
    </w:p>
    <w:p w14:paraId="6B8F0529" w14:textId="77777777" w:rsidR="00375F69" w:rsidRPr="008365EC" w:rsidRDefault="00375F69" w:rsidP="00375F69">
      <w:pPr>
        <w:ind w:firstLine="720"/>
        <w:jc w:val="both"/>
      </w:pPr>
      <w:r w:rsidRPr="008365EC">
        <w:t>Pasūtītājs</w:t>
      </w:r>
      <w:r>
        <w:t xml:space="preserve"> informē, ka, lai izvērtētu jautājumu, Pasūtītājam nepieciešams papildu laiks, līdz ar to atbildes uz jautājuma sniegšanu termiņš tiek pagarināts līdz 2026.gada 19.jūnijam.</w:t>
      </w:r>
    </w:p>
    <w:p w14:paraId="6919D087" w14:textId="77777777" w:rsidR="00193BC9" w:rsidRPr="00C634CD" w:rsidRDefault="00193BC9" w:rsidP="00610471">
      <w:pPr>
        <w:ind w:firstLine="720"/>
        <w:jc w:val="both"/>
      </w:pPr>
    </w:p>
    <w:p w14:paraId="37E3128E" w14:textId="77777777" w:rsidR="008B7520" w:rsidRDefault="008B7520" w:rsidP="00610471">
      <w:pPr>
        <w:jc w:val="both"/>
        <w:outlineLvl w:val="0"/>
      </w:pPr>
    </w:p>
    <w:p w14:paraId="7759E352" w14:textId="3DF33CF1" w:rsidR="00193BC9" w:rsidRPr="008365EC" w:rsidRDefault="00931A18" w:rsidP="00610471">
      <w:pPr>
        <w:jc w:val="both"/>
        <w:rPr>
          <w:b/>
          <w:bCs/>
        </w:rPr>
      </w:pPr>
      <w:r>
        <w:rPr>
          <w:b/>
          <w:bCs/>
        </w:rPr>
        <w:t>11</w:t>
      </w:r>
      <w:r w:rsidR="00193BC9" w:rsidRPr="008365EC">
        <w:rPr>
          <w:b/>
          <w:bCs/>
        </w:rPr>
        <w:t>.jautājums:</w:t>
      </w:r>
    </w:p>
    <w:p w14:paraId="0121B92F" w14:textId="77777777" w:rsidR="009753E9" w:rsidRPr="009753E9" w:rsidRDefault="009753E9" w:rsidP="00610471">
      <w:pPr>
        <w:jc w:val="both"/>
      </w:pPr>
      <w:r w:rsidRPr="009753E9">
        <w:t xml:space="preserve">Tehniskās specifikācijas B.9.4.2. punkts (Video reģistrators) paredz, ka transportlīdzeklī jānodrošina aizsargājama (slēdzama) montāžas vieta video reģistratoram ar minimālajiem izmēriem 400 × 300 × 200 mm un masu līdz 10 kg. Tehniskās specifikācijas B.9.4.3. punkts (Videomonitors) paredz, ka vadītāja kabīnē jānodrošina montāžas vieta videonovērošanas monitoram līdz 15” ekrāna izmērā un masu līdz 10 kg. </w:t>
      </w:r>
    </w:p>
    <w:p w14:paraId="20DEBEFE" w14:textId="05C9F3A1" w:rsidR="00193BC9" w:rsidRPr="009753E9" w:rsidRDefault="009753E9" w:rsidP="00610471">
      <w:pPr>
        <w:jc w:val="both"/>
      </w:pPr>
      <w:r w:rsidRPr="009753E9">
        <w:t>Lūdzam Pasūtītāju precizēt, vai prasība par 10 kg masu un 400 × 300 × 200 mm izmēriem un attiecīgie monitori atbilst Pasūtītāja faktiski izvēlētajam vai plānotajam video reģistratora aprīkojumam vai iespējams radusies kļūda nolikuma sagatavošanā?</w:t>
      </w:r>
    </w:p>
    <w:p w14:paraId="1C782D36" w14:textId="77777777" w:rsidR="009753E9" w:rsidRDefault="009753E9" w:rsidP="00610471">
      <w:pPr>
        <w:jc w:val="both"/>
        <w:rPr>
          <w:b/>
          <w:bCs/>
        </w:rPr>
      </w:pPr>
    </w:p>
    <w:p w14:paraId="1C51D2AB" w14:textId="77777777" w:rsidR="00193BC9" w:rsidRPr="008365EC" w:rsidRDefault="00193BC9" w:rsidP="00610471">
      <w:pPr>
        <w:jc w:val="both"/>
        <w:rPr>
          <w:b/>
          <w:bCs/>
        </w:rPr>
      </w:pPr>
    </w:p>
    <w:p w14:paraId="0A0BAD09" w14:textId="23159E96" w:rsidR="00193BC9" w:rsidRPr="008365EC" w:rsidRDefault="00931A18" w:rsidP="00610471">
      <w:pPr>
        <w:jc w:val="both"/>
        <w:rPr>
          <w:b/>
          <w:bCs/>
        </w:rPr>
      </w:pPr>
      <w:r>
        <w:rPr>
          <w:b/>
          <w:bCs/>
        </w:rPr>
        <w:t>11</w:t>
      </w:r>
      <w:r w:rsidR="00193BC9" w:rsidRPr="008365EC">
        <w:rPr>
          <w:b/>
          <w:bCs/>
        </w:rPr>
        <w:t>.atbilde:</w:t>
      </w:r>
    </w:p>
    <w:p w14:paraId="345D9365" w14:textId="245D5AEB" w:rsidR="0058788E" w:rsidRDefault="0058788E" w:rsidP="00610471">
      <w:pPr>
        <w:ind w:firstLine="720"/>
        <w:jc w:val="both"/>
      </w:pPr>
      <w:r>
        <w:t>Skaidrojam, ka Tehniskās specifikācijas B.9.4.2. un B.9.4.3. punktos ir nošķirtas divas atsevišķas iekārtas – video reģistrators (ierakstīšanas ierīce) un videomonitors. Video reģistrators kā atsevišķa iekārta parasti tiek izvietots slēdzamā iekārtu nodalījumā un ir paredzēts datu uzglabāšanai un apstrādei, savukārt videomonitors tiek uzstādīts vadītāja darba vietā videoattēla attēlošanai.</w:t>
      </w:r>
    </w:p>
    <w:p w14:paraId="1B1D747B" w14:textId="77F5F524" w:rsidR="00193BC9" w:rsidRDefault="0058788E" w:rsidP="00610471">
      <w:pPr>
        <w:ind w:firstLine="720"/>
        <w:jc w:val="both"/>
      </w:pPr>
      <w:r>
        <w:t>Līdz ar to B.9.4.2. punktā noteiktie montāžas vietas izmēri un masas prasības attiecas uz video reģistratora uzstādīšanai paredzēto vietu, nodrošinot pietiekamu telpu dažādu ražotāju risinājumu integrācijai. Savukārt B.9.4.3. punktā noteiktās prasības attiecas uz atsevišķu videomonitoru. Noteiktie parametri ir paredzēti kā minimālās prasības, lai nodrošinātu iespēju uzstādīt Pasūtītāja izvēlēto aprīkojumu.</w:t>
      </w:r>
    </w:p>
    <w:p w14:paraId="5EF5F68D" w14:textId="77777777" w:rsidR="00753E40" w:rsidRPr="00C634CD" w:rsidRDefault="00753E40" w:rsidP="00610471">
      <w:pPr>
        <w:ind w:firstLine="720"/>
        <w:jc w:val="both"/>
      </w:pPr>
    </w:p>
    <w:p w14:paraId="150EE452" w14:textId="77777777" w:rsidR="00193BC9" w:rsidRDefault="00193BC9" w:rsidP="00610471">
      <w:pPr>
        <w:jc w:val="both"/>
        <w:outlineLvl w:val="0"/>
      </w:pPr>
    </w:p>
    <w:p w14:paraId="1AC1D352" w14:textId="514145CB" w:rsidR="00193BC9" w:rsidRPr="008365EC" w:rsidRDefault="00931A18" w:rsidP="00610471">
      <w:pPr>
        <w:jc w:val="both"/>
        <w:rPr>
          <w:b/>
          <w:bCs/>
        </w:rPr>
      </w:pPr>
      <w:r>
        <w:rPr>
          <w:b/>
          <w:bCs/>
        </w:rPr>
        <w:t>12</w:t>
      </w:r>
      <w:r w:rsidR="00193BC9" w:rsidRPr="008365EC">
        <w:rPr>
          <w:b/>
          <w:bCs/>
        </w:rPr>
        <w:t>.jautājums:</w:t>
      </w:r>
    </w:p>
    <w:p w14:paraId="1495625A" w14:textId="77777777" w:rsidR="009753E9" w:rsidRPr="009753E9" w:rsidRDefault="009753E9" w:rsidP="00610471">
      <w:pPr>
        <w:jc w:val="both"/>
      </w:pPr>
      <w:r w:rsidRPr="009753E9">
        <w:t>Tehniskās specifikācijas B.9.9. punkts (Dokumentācija) paredz, ka Piegādātājs nodrošina pilnu instalācijas tehnisko dokumentāciju, tai skaitā elektriskās shēmas, datu tīkla topoloģiju, kabeļu maršrutēšanas plānus, montāžas rasējumus un vadu, kabeļu un drošinātāju sarakstus un, ka dokumentiem jābūt latviešu vai angļu valodā.</w:t>
      </w:r>
    </w:p>
    <w:p w14:paraId="41EACDD8" w14:textId="77777777" w:rsidR="009753E9" w:rsidRPr="009753E9" w:rsidRDefault="009753E9" w:rsidP="00610471">
      <w:pPr>
        <w:jc w:val="both"/>
      </w:pPr>
      <w:r w:rsidRPr="009753E9">
        <w:t>Šī dokumentācija būtībā ir konkrētā transportlīdzekļa instalācijas projekta dokumentācija, kas izriet no Pasūtītāja un Piegādātāja saskaņotā risinājuma par PIS, CCTV un citu Pasūtītāja piegādāto iekārtu izvietojumu transportlīdzeklī. Šis izvietojums un tehniskie risinājumi saskaņā ar B.9.1. punktu tiek saskaņoti tikai 6 mēnešu laikā pēc līguma stāšanās spēkā, kas nozīmē, ka attiecīgo dokumentāciju nav iespējams sagatavot pirms šī saskaņošanas procesa pabeigšanas.</w:t>
      </w:r>
    </w:p>
    <w:p w14:paraId="30D114D3" w14:textId="67E7B0D2" w:rsidR="00193BC9" w:rsidRPr="009753E9" w:rsidRDefault="009753E9" w:rsidP="00610471">
      <w:pPr>
        <w:jc w:val="both"/>
      </w:pPr>
      <w:r w:rsidRPr="009753E9">
        <w:t>Tādēļ lūdzam Pasūtītāju apstiprināt, ka B.9.9. punktā paredzētā dokumentācija nav iesniedzama piedāvājuma sagatavošanas stadijā, bet gan līguma izpildes gaitā - pēc B.9.1. punktā minētās 6 mēnešu saskaņošanas procesa pabeigšanas un pirms transportlīdzekļu ražošanas vai pirmā transportlīdzekļa piegādes.</w:t>
      </w:r>
    </w:p>
    <w:p w14:paraId="6018B0F3" w14:textId="77777777" w:rsidR="00193BC9" w:rsidRPr="008365EC" w:rsidRDefault="00193BC9" w:rsidP="00610471">
      <w:pPr>
        <w:jc w:val="both"/>
        <w:rPr>
          <w:b/>
          <w:bCs/>
        </w:rPr>
      </w:pPr>
    </w:p>
    <w:p w14:paraId="2E49535D" w14:textId="005731A2" w:rsidR="00193BC9" w:rsidRPr="008365EC" w:rsidRDefault="00931A18" w:rsidP="00610471">
      <w:pPr>
        <w:jc w:val="both"/>
        <w:rPr>
          <w:b/>
          <w:bCs/>
        </w:rPr>
      </w:pPr>
      <w:r>
        <w:rPr>
          <w:b/>
          <w:bCs/>
        </w:rPr>
        <w:t>12</w:t>
      </w:r>
      <w:r w:rsidR="00193BC9" w:rsidRPr="008365EC">
        <w:rPr>
          <w:b/>
          <w:bCs/>
        </w:rPr>
        <w:t>.atbilde:</w:t>
      </w:r>
    </w:p>
    <w:p w14:paraId="7369BFDD" w14:textId="28D99C57" w:rsidR="00A46CB4" w:rsidRDefault="00A46CB4" w:rsidP="00610471">
      <w:pPr>
        <w:ind w:firstLine="720"/>
        <w:jc w:val="both"/>
        <w:outlineLvl w:val="0"/>
      </w:pPr>
      <w:r>
        <w:t>Pasūtītājs paskaidro, ka tehniskās specifikācijas B.9.9. punktā paredzētā dokumentācija nav iesniedzama piedāvājuma sagatavošanas stadijā.</w:t>
      </w:r>
    </w:p>
    <w:p w14:paraId="649DF4B6" w14:textId="3AF27D84" w:rsidR="00193BC9" w:rsidRDefault="00A46CB4" w:rsidP="00610471">
      <w:pPr>
        <w:ind w:firstLine="720"/>
        <w:jc w:val="both"/>
        <w:outlineLvl w:val="0"/>
      </w:pPr>
      <w:r>
        <w:lastRenderedPageBreak/>
        <w:t>Minētā dokumentācija ir sagatavojama līguma izpildes gaitā pēc tehniskās specifikācijas B.9.1. punktā noteiktā saskaņošanas procesa pabeigšanas (6 mēnešu laikā pēc līguma stāšanās spēkā) un iesniedzama tehniskās dokumentācijas sastāvā, atbilstoši līguma projekta noteikumiem (ne vēlāk kā 20 darba dienas pirms pirmā transportlīdzekļa piegādes).</w:t>
      </w:r>
    </w:p>
    <w:p w14:paraId="4EDE2EE4" w14:textId="77777777" w:rsidR="003B073D" w:rsidRDefault="003B073D" w:rsidP="00610471">
      <w:pPr>
        <w:jc w:val="both"/>
        <w:outlineLvl w:val="0"/>
      </w:pPr>
    </w:p>
    <w:p w14:paraId="2241CE49" w14:textId="77777777" w:rsidR="00A46CB4" w:rsidRDefault="00A46CB4" w:rsidP="00610471">
      <w:pPr>
        <w:jc w:val="both"/>
        <w:outlineLvl w:val="0"/>
      </w:pPr>
    </w:p>
    <w:p w14:paraId="07EEC426" w14:textId="668C4200" w:rsidR="00193BC9" w:rsidRPr="008365EC" w:rsidRDefault="00931A18" w:rsidP="00610471">
      <w:pPr>
        <w:jc w:val="both"/>
        <w:rPr>
          <w:b/>
          <w:bCs/>
        </w:rPr>
      </w:pPr>
      <w:r>
        <w:rPr>
          <w:b/>
          <w:bCs/>
        </w:rPr>
        <w:t>13</w:t>
      </w:r>
      <w:r w:rsidR="00193BC9" w:rsidRPr="008365EC">
        <w:rPr>
          <w:b/>
          <w:bCs/>
        </w:rPr>
        <w:t>.jautājums:</w:t>
      </w:r>
    </w:p>
    <w:p w14:paraId="1CF08871" w14:textId="77777777" w:rsidR="003B073D" w:rsidRPr="003B073D" w:rsidRDefault="003B073D" w:rsidP="00610471">
      <w:pPr>
        <w:ind w:firstLine="720"/>
        <w:jc w:val="both"/>
      </w:pPr>
      <w:r w:rsidRPr="003B073D">
        <w:t xml:space="preserve">Tehniskās specifikācijas B.9.10. punkts (Testēšana un nodošana) paredz, ka Piegādātājs veic instalācijas funkcionālo testēšanu pirms transportlīdzekļu nodošanas, tostarp barošanas sprieguma pārbaudes, kabeļu nepārtrauktības testus, tīkla komutācijas pārbaudes un montāžas vietu mehāniskās kvalitātes pārbaudi. Punkta noslēgumā Pasūtītājs patur tiesības un Piegādātājam jānodrošina iespēja rūpnīcā veikt visu paredzēto sistēmu iekārtu izmēģinājuma uzstādīšanu un funkcionālo testēšanu uz pirmā transportlīdzekļa pirms tā nodošanas. </w:t>
      </w:r>
    </w:p>
    <w:p w14:paraId="52AF21E7" w14:textId="77777777" w:rsidR="003B073D" w:rsidRPr="003B073D" w:rsidRDefault="003B073D" w:rsidP="00610471">
      <w:pPr>
        <w:ind w:firstLine="720"/>
        <w:jc w:val="both"/>
      </w:pPr>
      <w:r w:rsidRPr="003B073D">
        <w:t xml:space="preserve">Šī prasība rada divus principiālus jautājumus. Pirmkārt, B.9. nodaļas iekārtas - PIS displeji, CCTV kameras, video reģistrators, validatori, datu komunikācijas rūteris u.c. nav transportlīdzekļa ražotāja sēriju ražoti komponenti, bet gan Pasūtītāja piegādātas papildu iekārtas, kuras tehniskajā piedāvājumā vēl pat nav zināmas un, kuru izvēli Pasūtītājs veic ārpus transportlīdzekļa ražotāja kontroles. Otrkārt, iepirkuma struktūra paredz, ka pretendents var būt transportlīdzekļa ražotājs vai piegādātājs, kas nav obligāti bāzēts transportlīdzekļa ražotnē - saskaņā ar nolikuma 17.1.5. un 17.2.5. punktiem pretendents var piedāvāt pieredzes vai tehnisko spēju nodošanu no citas personas, tostarp ražotāja un pati piegāde, instalācija un testēšana var notikt citā vietā nekā ražotne. </w:t>
      </w:r>
    </w:p>
    <w:p w14:paraId="23B4865E" w14:textId="77777777" w:rsidR="003B073D" w:rsidRPr="003B073D" w:rsidRDefault="003B073D" w:rsidP="00610471">
      <w:pPr>
        <w:ind w:firstLine="720"/>
        <w:jc w:val="both"/>
      </w:pPr>
      <w:r w:rsidRPr="003B073D">
        <w:t xml:space="preserve">Šādos apstākļos prasība, ka izmēģinājuma uzstādīšana un funkcionālā testēšana obligāti jānodrošina tieši rūpnīcā var diskriminēt pretendentus, kuri nav paši autobusu ražotāji vai kuru komerciālais modelis paredz aprīkojuma instalāciju un testēšanu ārpus rūpnīcas. </w:t>
      </w:r>
    </w:p>
    <w:p w14:paraId="6860774B" w14:textId="26DE94D6" w:rsidR="00193BC9" w:rsidRPr="00EF6728" w:rsidRDefault="003B073D" w:rsidP="00EF6728">
      <w:pPr>
        <w:ind w:firstLine="720"/>
        <w:jc w:val="both"/>
      </w:pPr>
      <w:r w:rsidRPr="003B073D">
        <w:t>Tādēļ lūdzam Pasūtītāju paskaidrot, kāds ir tehnisks vai funkcionāls iemesls prasībai, ka izmēģinājuma uzstādīšana un funkcionālā testēšana jānodrošina tieši rūpnīcā, un apsvērt iespēju pieļaut šādu testēšanu arī Pasūtītāja vai Piegādātāja norādītā servisa centrā Latvijā, kur ir piekļuve Pasūtītāja piegādātajam aprīkojumam, vai citā Piegādātāja izraudzītā un Pasūtītāja akceptētā vietā.</w:t>
      </w:r>
    </w:p>
    <w:p w14:paraId="57CD5FDF" w14:textId="77777777" w:rsidR="00193BC9" w:rsidRPr="008365EC" w:rsidRDefault="00193BC9" w:rsidP="00610471">
      <w:pPr>
        <w:jc w:val="both"/>
        <w:rPr>
          <w:b/>
          <w:bCs/>
        </w:rPr>
      </w:pPr>
    </w:p>
    <w:p w14:paraId="7CE3CFDD" w14:textId="3DC806A3" w:rsidR="00193BC9" w:rsidRPr="008365EC" w:rsidRDefault="00931A18" w:rsidP="00610471">
      <w:pPr>
        <w:jc w:val="both"/>
        <w:rPr>
          <w:b/>
          <w:bCs/>
        </w:rPr>
      </w:pPr>
      <w:r>
        <w:rPr>
          <w:b/>
          <w:bCs/>
        </w:rPr>
        <w:t>13</w:t>
      </w:r>
      <w:r w:rsidR="00193BC9" w:rsidRPr="008365EC">
        <w:rPr>
          <w:b/>
          <w:bCs/>
        </w:rPr>
        <w:t>.atbilde:</w:t>
      </w:r>
    </w:p>
    <w:p w14:paraId="2AF7AAAF" w14:textId="77777777" w:rsidR="00375F69" w:rsidRPr="008365EC" w:rsidRDefault="00375F69" w:rsidP="00375F69">
      <w:pPr>
        <w:ind w:firstLine="720"/>
        <w:jc w:val="both"/>
      </w:pPr>
      <w:r w:rsidRPr="008365EC">
        <w:t>Pasūtītājs</w:t>
      </w:r>
      <w:r>
        <w:t xml:space="preserve"> informē, ka, lai izvērtētu jautājumu, Pasūtītājam nepieciešams papildu laiks, līdz ar to atbildes uz jautājuma sniegšanu termiņš tiek pagarināts līdz 2026.gada 19.jūnijam.</w:t>
      </w:r>
    </w:p>
    <w:p w14:paraId="36588106" w14:textId="77777777" w:rsidR="000A47E6" w:rsidRDefault="000A47E6" w:rsidP="00610471">
      <w:pPr>
        <w:ind w:firstLine="720"/>
        <w:jc w:val="both"/>
      </w:pPr>
    </w:p>
    <w:p w14:paraId="3C6BCD4C" w14:textId="77777777" w:rsidR="000A47E6" w:rsidRDefault="000A47E6" w:rsidP="00610471">
      <w:pPr>
        <w:ind w:firstLine="720"/>
        <w:jc w:val="both"/>
      </w:pPr>
    </w:p>
    <w:p w14:paraId="41D52098" w14:textId="4743A480" w:rsidR="00193BC9" w:rsidRPr="008365EC" w:rsidRDefault="00931A18" w:rsidP="00610471">
      <w:pPr>
        <w:jc w:val="both"/>
        <w:rPr>
          <w:b/>
          <w:bCs/>
        </w:rPr>
      </w:pPr>
      <w:r>
        <w:rPr>
          <w:b/>
          <w:bCs/>
        </w:rPr>
        <w:t>14</w:t>
      </w:r>
      <w:r w:rsidR="00193BC9" w:rsidRPr="008365EC">
        <w:rPr>
          <w:b/>
          <w:bCs/>
        </w:rPr>
        <w:t>.jautājums:</w:t>
      </w:r>
    </w:p>
    <w:p w14:paraId="40C20C07" w14:textId="77777777" w:rsidR="00C01DAB" w:rsidRPr="00C01DAB" w:rsidRDefault="00C01DAB" w:rsidP="00610471">
      <w:pPr>
        <w:jc w:val="both"/>
      </w:pPr>
      <w:r w:rsidRPr="00C01DAB">
        <w:t>Tehniskās specifikācijas C.1. punkts (Tehniskā apkope) cita starpā paredz, ka „piespiedu kārtā nomaināmajām, dabīgi dilstošajām un neatjaunojamajām detaļām jānokalpo vismaz viens tehniskās apkopes intervāls”.</w:t>
      </w:r>
    </w:p>
    <w:p w14:paraId="6F5430D9" w14:textId="77777777" w:rsidR="00C01DAB" w:rsidRPr="00C01DAB" w:rsidRDefault="00C01DAB" w:rsidP="00610471">
      <w:pPr>
        <w:jc w:val="both"/>
      </w:pPr>
      <w:r w:rsidRPr="00C01DAB">
        <w:t>Šī prasība rada interpretācijas neskaidrību. Daļa transportlīdzekļa dilstošo detaļu kalpošanas laiks nav piesaistīts apkopes intervāliem laika vai nobraukuma nozīmē, bet gan ekspluatācijas intensitātei un apstākļiem. Piemēram, vējstikla tīrītāju slotiņa, ir atkarīgs no vides apstākļiem, laikapstākļiem, lietošanas biežuma, nevis no kalendāra intervāla starp apkopēm vai veiktā nobraukuma. Stingra interpretācija varētu nozīmēt, ka Piegādātājam jāgarantē, ka, piemēram, vējstikla tīrītāju slotiņa nekādos apstākļos nenodilst ātrāk par apkopes intervālu, kas tehniski nav iespējams nodrošināt.</w:t>
      </w:r>
    </w:p>
    <w:p w14:paraId="27084EB7" w14:textId="0BE2D98A" w:rsidR="00193BC9" w:rsidRPr="00C01DAB" w:rsidRDefault="00C01DAB" w:rsidP="00610471">
      <w:pPr>
        <w:jc w:val="both"/>
      </w:pPr>
      <w:r w:rsidRPr="00C01DAB">
        <w:t>Tādēļ lūdzam Pasūtītāju precizēt prasības saturu - vai tā attiecas tikai uz tām detaļām, kuru kalpošanas laiks ir tieši piesaistīts apkopes intervāla parametriem (laikam, nobraukumam) un kuras ir norādītas ražotāja apkopes plānā ar konkrētu kalpošanas resursu. Tas pats jautājums attiecas uz to, kā šāda prasība tiek pārbaudīta un kā tā ietekmē garantijas saistības.</w:t>
      </w:r>
    </w:p>
    <w:p w14:paraId="04C07835" w14:textId="77777777" w:rsidR="00193BC9" w:rsidRDefault="00193BC9" w:rsidP="00610471">
      <w:pPr>
        <w:jc w:val="both"/>
        <w:rPr>
          <w:b/>
          <w:bCs/>
        </w:rPr>
      </w:pPr>
    </w:p>
    <w:p w14:paraId="659F83DD" w14:textId="77777777" w:rsidR="00EF6728" w:rsidRDefault="00EF6728" w:rsidP="00610471">
      <w:pPr>
        <w:jc w:val="both"/>
        <w:rPr>
          <w:b/>
          <w:bCs/>
        </w:rPr>
      </w:pPr>
    </w:p>
    <w:p w14:paraId="1CE7BDFE" w14:textId="77777777" w:rsidR="00EF6728" w:rsidRPr="008365EC" w:rsidRDefault="00EF6728" w:rsidP="00610471">
      <w:pPr>
        <w:jc w:val="both"/>
        <w:rPr>
          <w:b/>
          <w:bCs/>
        </w:rPr>
      </w:pPr>
    </w:p>
    <w:p w14:paraId="66D045CB" w14:textId="72DA3B57" w:rsidR="00193BC9" w:rsidRPr="008365EC" w:rsidRDefault="00931A18" w:rsidP="00610471">
      <w:pPr>
        <w:jc w:val="both"/>
        <w:rPr>
          <w:b/>
          <w:bCs/>
        </w:rPr>
      </w:pPr>
      <w:r>
        <w:rPr>
          <w:b/>
          <w:bCs/>
        </w:rPr>
        <w:lastRenderedPageBreak/>
        <w:t>14</w:t>
      </w:r>
      <w:r w:rsidR="00193BC9" w:rsidRPr="008365EC">
        <w:rPr>
          <w:b/>
          <w:bCs/>
        </w:rPr>
        <w:t>.atbilde:</w:t>
      </w:r>
    </w:p>
    <w:p w14:paraId="59A1084F" w14:textId="77777777" w:rsidR="00A26D83" w:rsidRDefault="00A26D83" w:rsidP="00610471">
      <w:pPr>
        <w:ind w:firstLine="720"/>
        <w:jc w:val="both"/>
      </w:pPr>
      <w:r>
        <w:t>Tehniskās specifikācijas C.1. punktā minētā prasība par detaļu kalpošanas laiku ir attiecināma uz tām detaļām, kuru nomaiņa ir paredzēta ražotāja noteiktajā tehniskās apkopes plānā un kuru ekspluatācijas resurss ir tieši saistīts ar noteiktu apkopes intervālu (laiku vai nobraukumu). Prasība neattiecas uz detaļām, kuru nolietojums ir tieši atkarīgs no ekspluatācijas apstākļiem, lietošanas intensitātes vai ārējās vides ietekmes (piemēram, vējstikla tīrītāju slotiņas u.c.).</w:t>
      </w:r>
    </w:p>
    <w:p w14:paraId="11C8B4B7" w14:textId="77777777" w:rsidR="00A26D83" w:rsidRDefault="00A26D83" w:rsidP="00610471">
      <w:pPr>
        <w:ind w:firstLine="720"/>
        <w:jc w:val="both"/>
      </w:pPr>
      <w:r>
        <w:t>Prasības mērķis ir nodrošināt, ka ražotāja noteiktajā apkopes intervālā plānotās detaļas nodrošina paredzēto ekspluatācijas resursu un nav jānomaina biežāk par attiecīgajā apkopes plānā paredzēto intervālu normālos ekspluatācijas apstākļos.</w:t>
      </w:r>
    </w:p>
    <w:p w14:paraId="61F75777" w14:textId="5BC9872D" w:rsidR="00193BC9" w:rsidRDefault="00A26D83" w:rsidP="00610471">
      <w:pPr>
        <w:ind w:firstLine="720"/>
        <w:jc w:val="both"/>
      </w:pPr>
      <w:r>
        <w:t>Atbilstība šai prasībai tiek vērtēta, balstoties uz ražotāja tehniskās apkopes dokumentāciju un ekspluatācijas nosacījumiem.</w:t>
      </w:r>
    </w:p>
    <w:p w14:paraId="679EF766" w14:textId="77777777" w:rsidR="00A26D83" w:rsidRDefault="00A26D83" w:rsidP="00610471">
      <w:pPr>
        <w:ind w:firstLine="720"/>
        <w:jc w:val="both"/>
      </w:pPr>
    </w:p>
    <w:p w14:paraId="7DC9CD47" w14:textId="77777777" w:rsidR="00193BC9" w:rsidRDefault="00193BC9" w:rsidP="00610471">
      <w:pPr>
        <w:jc w:val="both"/>
        <w:outlineLvl w:val="0"/>
      </w:pPr>
    </w:p>
    <w:p w14:paraId="51790A5A" w14:textId="5CEE1EE6" w:rsidR="00193BC9" w:rsidRPr="008365EC" w:rsidRDefault="00931A18" w:rsidP="00610471">
      <w:pPr>
        <w:jc w:val="both"/>
        <w:rPr>
          <w:b/>
          <w:bCs/>
        </w:rPr>
      </w:pPr>
      <w:r>
        <w:rPr>
          <w:b/>
          <w:bCs/>
        </w:rPr>
        <w:t>15</w:t>
      </w:r>
      <w:r w:rsidR="00193BC9" w:rsidRPr="008365EC">
        <w:rPr>
          <w:b/>
          <w:bCs/>
        </w:rPr>
        <w:t>.jautājums:</w:t>
      </w:r>
    </w:p>
    <w:p w14:paraId="26FF046C" w14:textId="77777777" w:rsidR="00C01DAB" w:rsidRPr="00C01DAB" w:rsidRDefault="00C01DAB" w:rsidP="00610471">
      <w:pPr>
        <w:jc w:val="both"/>
      </w:pPr>
      <w:r w:rsidRPr="00C01DAB">
        <w:t xml:space="preserve">Tehniskās specifikācijas C.2.1. punkts (Rezerves daļas periodiskām apkopēm) paredz, ka Piegādātājam jānodrošina rezerves daļu komplekts, kas paredzēts visu līgumā piegādāto transportlīdzekļu periodisko apkopju veikšanai garantijas periodā un ietver sevī dabīgi dilstošās daļas un patērējamos materiālus, kā arī vienu rezerves riteni. </w:t>
      </w:r>
    </w:p>
    <w:p w14:paraId="263D98D1" w14:textId="20596001" w:rsidR="00193BC9" w:rsidRDefault="00C01DAB" w:rsidP="00610471">
      <w:pPr>
        <w:jc w:val="both"/>
      </w:pPr>
      <w:r w:rsidRPr="00C01DAB">
        <w:t>Šī prasība rada divas neskaidrības. Pirmkārt, no formulējuma nav skaidrs, vai paredzēts viens komplekts uz visu līgumā iekļauto autobusu partiju (60 autobusi), vai pa vienam komplektam katram atsevišķam autobusam. Atšķirība starp šiem variantiem ir būtiska gan finanšu piedāvājuma cenā (daudzkārtīga komplekta atšķirība), gan loģistikā. Otrkārt, formulējumā minētais „garantijas periods” nav viennozīmīgs - tehniskās specifikācijas E. sadaļā ir vairāki paralēli garantijas periodi: transportlīdzekļa pamata garantija (3 gadi vai 210 000 km), vilces akumulatoru garantija (10 gadi, SOH ≥ 70%), virsbūves pretkorozijas garantija (10 gadi), diagnostikas programmatūras un servisa datu garantija (10 gadi). Pievienojoties tam, A.15. punkts paredz transportlīdzekļa projektēto kalpošanas laiku vismaz 12 gadi vai balstoties uz iespēju iegūt papildus punktus vērtēšanas kritērijos faktiski piedāvātā garantija (piemēram 5 gadi).</w:t>
      </w:r>
    </w:p>
    <w:p w14:paraId="23EC2638" w14:textId="35E2E42A" w:rsidR="00C01DAB" w:rsidRPr="00C01DAB" w:rsidRDefault="00C01DAB" w:rsidP="00610471">
      <w:pPr>
        <w:jc w:val="both"/>
      </w:pPr>
      <w:r w:rsidRPr="00C01DAB">
        <w:t>Tādēļ lūdzam Pasūtītāju precizēt, 1) vai prasītais rezerves daļu komplekts ir viens kopējais komplekts visai līgumā piegādātajai transportlīdzekļu partijai (60 autobusi), vai pa vienam komplektam katram autobusam atsevišķi; 2) uz kuru garantijas periodu (pamata garantijas 3 gadi vai 210 000 km, vilces akumulatoru 10 gadi, vai cits) attiecas šī rezerves daļu komplekta nodrošināšanas prasība. No šīm atbildēm ir tieši atkarīgs finanšu piedāvājuma 3. pozīcijas (rezerves daļu komplekts apkopēm) aprēķins un piedāvājuma salīdzināmība starp pretendentiem.</w:t>
      </w:r>
    </w:p>
    <w:p w14:paraId="241C41AD" w14:textId="77777777" w:rsidR="00193BC9" w:rsidRPr="008365EC" w:rsidRDefault="00193BC9" w:rsidP="00610471">
      <w:pPr>
        <w:jc w:val="both"/>
        <w:rPr>
          <w:b/>
          <w:bCs/>
        </w:rPr>
      </w:pPr>
    </w:p>
    <w:p w14:paraId="6B1042B7" w14:textId="6BC8D647" w:rsidR="00193BC9" w:rsidRPr="008365EC" w:rsidRDefault="00931A18" w:rsidP="00610471">
      <w:pPr>
        <w:jc w:val="both"/>
        <w:rPr>
          <w:b/>
          <w:bCs/>
        </w:rPr>
      </w:pPr>
      <w:r>
        <w:rPr>
          <w:b/>
          <w:bCs/>
        </w:rPr>
        <w:t>15</w:t>
      </w:r>
      <w:r w:rsidR="00193BC9" w:rsidRPr="008365EC">
        <w:rPr>
          <w:b/>
          <w:bCs/>
        </w:rPr>
        <w:t>.atbilde:</w:t>
      </w:r>
    </w:p>
    <w:p w14:paraId="18C09405" w14:textId="77777777" w:rsidR="00375F69" w:rsidRPr="008365EC" w:rsidRDefault="00375F69" w:rsidP="00375F69">
      <w:pPr>
        <w:ind w:firstLine="720"/>
        <w:jc w:val="both"/>
      </w:pPr>
      <w:r w:rsidRPr="008365EC">
        <w:t>Pasūtītājs</w:t>
      </w:r>
      <w:r>
        <w:t xml:space="preserve"> informē, ka, lai izvērtētu jautājumu, Pasūtītājam nepieciešams papildu laiks, līdz ar to atbildes uz jautājuma sniegšanu termiņš tiek pagarināts līdz 2026.gada 19.jūnijam.</w:t>
      </w:r>
    </w:p>
    <w:p w14:paraId="50E10C59" w14:textId="77777777" w:rsidR="00B519F3" w:rsidRDefault="00B519F3" w:rsidP="00610471">
      <w:pPr>
        <w:ind w:firstLine="720"/>
        <w:jc w:val="both"/>
      </w:pPr>
    </w:p>
    <w:p w14:paraId="3C1374EA" w14:textId="77777777" w:rsidR="00193BC9" w:rsidRDefault="00193BC9" w:rsidP="00610471">
      <w:pPr>
        <w:jc w:val="both"/>
        <w:outlineLvl w:val="0"/>
      </w:pPr>
    </w:p>
    <w:p w14:paraId="1996C30F" w14:textId="0D122E40" w:rsidR="00193BC9" w:rsidRPr="008365EC" w:rsidRDefault="00931A18" w:rsidP="00610471">
      <w:pPr>
        <w:jc w:val="both"/>
        <w:rPr>
          <w:b/>
          <w:bCs/>
        </w:rPr>
      </w:pPr>
      <w:r>
        <w:rPr>
          <w:b/>
          <w:bCs/>
        </w:rPr>
        <w:t>16</w:t>
      </w:r>
      <w:r w:rsidR="00193BC9" w:rsidRPr="008365EC">
        <w:rPr>
          <w:b/>
          <w:bCs/>
        </w:rPr>
        <w:t>.jautājums:</w:t>
      </w:r>
    </w:p>
    <w:p w14:paraId="2C35D965" w14:textId="77777777" w:rsidR="00C01DAB" w:rsidRPr="00C01DAB" w:rsidRDefault="00C01DAB" w:rsidP="00610471">
      <w:pPr>
        <w:jc w:val="both"/>
      </w:pPr>
      <w:r w:rsidRPr="00C01DAB">
        <w:t xml:space="preserve">Tehniskās specifikācijas C.2.2. punkts (Rezerves daļu apgrozāmais fonds) paredz, ka pretendents tehniskajā piedāvājumā iesniedz apgrozāmajam fondam paredzēto rezerves daļu sarakstu, norādot pilnu piegādājamo detaļu uzskaitījumu, kataloga numurus un cenu informāciju. </w:t>
      </w:r>
    </w:p>
    <w:p w14:paraId="28E1C638" w14:textId="77777777" w:rsidR="00C01DAB" w:rsidRPr="00C01DAB" w:rsidRDefault="00C01DAB" w:rsidP="00610471">
      <w:pPr>
        <w:jc w:val="both"/>
      </w:pPr>
      <w:r w:rsidRPr="00C01DAB">
        <w:t xml:space="preserve">Termina „cenu informācija” saturs no formulējuma nav viennozīmīgi saprotams. Iespējamie interpretācijas varianti būtiski atšķiras pēc satura un finansiālā riska pretendentam - vai runa ir par konkrētu detaļas vienības cenu apgrozāmā fonda piegādes brīdī, par cenu, ko Piegādātājs garantē uzturēt arī pēc apgrozāmā fonda iztērēšanas (papildu pasūtījumos), vai par cenu indeksāciju un dinamiku visā transportlīdzekļa kalpošanas laikā un saistībām kādas pasūtītājs apņemās uzrādot šo dinamiku. </w:t>
      </w:r>
    </w:p>
    <w:p w14:paraId="787E139A" w14:textId="77777777" w:rsidR="00C01DAB" w:rsidRPr="00C01DAB" w:rsidRDefault="00C01DAB" w:rsidP="00610471">
      <w:pPr>
        <w:jc w:val="both"/>
      </w:pPr>
      <w:r w:rsidRPr="00C01DAB">
        <w:t xml:space="preserve">Atšķirības starp šiem interpretācijas variantiem ir būtiskas. Vienkāršas vienības cenas norādīšana piegādes brīdī ir tehnisks dokuments. Cenas garantija uz papildu pasūtījumiem nākotnē ir </w:t>
      </w:r>
      <w:r w:rsidRPr="00C01DAB">
        <w:lastRenderedPageBreak/>
        <w:t xml:space="preserve">komerciāla saistība, kas tieši ietekmē finanšu piedāvājuma vērtēšanu un Piegādātāja riska pārvaldību, jo nākotnē rezerves daļu izmaksas ir atkarīgas no izejmateriālu cenu izmaiņām, valūtas kursiem, ražotāja sortimenta izmaiņām un citiem ārējiem faktoriem. </w:t>
      </w:r>
    </w:p>
    <w:p w14:paraId="17C3032B" w14:textId="77777777" w:rsidR="00C01DAB" w:rsidRPr="00C01DAB" w:rsidRDefault="00C01DAB" w:rsidP="00610471">
      <w:pPr>
        <w:jc w:val="both"/>
      </w:pPr>
      <w:r w:rsidRPr="00C01DAB">
        <w:t xml:space="preserve">Tādēļ lūdzam Pasūtītāju precizēt, kāda tieši cenu informācija C.2.2. punkta izpratnē jāiesniedz tehniskajā piedāvājumā – </w:t>
      </w:r>
    </w:p>
    <w:p w14:paraId="0C8F5BDD" w14:textId="2557D739" w:rsidR="00193BC9" w:rsidRPr="00C01DAB" w:rsidRDefault="00C01DAB" w:rsidP="00610471">
      <w:pPr>
        <w:jc w:val="both"/>
      </w:pPr>
      <w:r w:rsidRPr="00C01DAB">
        <w:t>1) vai pietiek ar konkrētu vienības cenu apgrozāmā fonda piegādes brīdī? 2) vai jānorāda arī cenu indeksācijas un dinamikas mehānisms, 3) vai uzrādītās cenas konkrētajām detaļām Piegādātājam jānodrošina arī pēc rezerves daļu apgrozāmā fonda iztērēšanas papildu pasūtījumos un, ja jā, uz kādu laika periodu un ar kādiem indeksācijas nosacījumiem? Šī precizēšana ir nepieciešama, lai pretendenti varētu sagatavot savstarpēji salīdzināmus piedāvājumus un Pasūtītājs saņemtu skaidri saprotamus komerciālos nosacījumus.</w:t>
      </w:r>
    </w:p>
    <w:p w14:paraId="72C3ECD2" w14:textId="77777777" w:rsidR="00193BC9" w:rsidRPr="008365EC" w:rsidRDefault="00193BC9" w:rsidP="00610471">
      <w:pPr>
        <w:jc w:val="both"/>
        <w:rPr>
          <w:b/>
          <w:bCs/>
        </w:rPr>
      </w:pPr>
    </w:p>
    <w:p w14:paraId="616135B0" w14:textId="146BC703" w:rsidR="00193BC9" w:rsidRPr="008365EC" w:rsidRDefault="00931A18" w:rsidP="00610471">
      <w:pPr>
        <w:jc w:val="both"/>
        <w:rPr>
          <w:b/>
          <w:bCs/>
        </w:rPr>
      </w:pPr>
      <w:r>
        <w:rPr>
          <w:b/>
          <w:bCs/>
        </w:rPr>
        <w:t>16</w:t>
      </w:r>
      <w:r w:rsidR="00193BC9" w:rsidRPr="008365EC">
        <w:rPr>
          <w:b/>
          <w:bCs/>
        </w:rPr>
        <w:t>.atbilde:</w:t>
      </w:r>
    </w:p>
    <w:p w14:paraId="5BCEBC61" w14:textId="77777777" w:rsidR="00375F69" w:rsidRPr="008365EC" w:rsidRDefault="00375F69" w:rsidP="00375F69">
      <w:pPr>
        <w:ind w:firstLine="720"/>
        <w:jc w:val="both"/>
      </w:pPr>
      <w:r w:rsidRPr="008365EC">
        <w:t>Pasūtītājs</w:t>
      </w:r>
      <w:r>
        <w:t xml:space="preserve"> informē, ka, lai izvērtētu jautājumu, Pasūtītājam nepieciešams papildu laiks, līdz ar to atbildes uz jautājuma sniegšanu termiņš tiek pagarināts līdz 2026.gada 19.jūnijam.</w:t>
      </w:r>
    </w:p>
    <w:p w14:paraId="720CCB51" w14:textId="77777777" w:rsidR="00E80D98" w:rsidRPr="00C634CD" w:rsidRDefault="00E80D98" w:rsidP="00610471">
      <w:pPr>
        <w:ind w:firstLine="720"/>
        <w:jc w:val="both"/>
      </w:pPr>
    </w:p>
    <w:p w14:paraId="53B4DD13" w14:textId="77777777" w:rsidR="00994B21" w:rsidRDefault="00994B21" w:rsidP="00610471">
      <w:pPr>
        <w:jc w:val="both"/>
        <w:outlineLvl w:val="0"/>
      </w:pPr>
    </w:p>
    <w:p w14:paraId="0937543B" w14:textId="05BE7A30" w:rsidR="00193BC9" w:rsidRPr="008365EC" w:rsidRDefault="00931A18" w:rsidP="00610471">
      <w:pPr>
        <w:jc w:val="both"/>
        <w:rPr>
          <w:b/>
          <w:bCs/>
        </w:rPr>
      </w:pPr>
      <w:r>
        <w:rPr>
          <w:b/>
          <w:bCs/>
        </w:rPr>
        <w:t>1</w:t>
      </w:r>
      <w:r w:rsidR="00193BC9" w:rsidRPr="008365EC">
        <w:rPr>
          <w:b/>
          <w:bCs/>
        </w:rPr>
        <w:t>7.jautājums:</w:t>
      </w:r>
    </w:p>
    <w:p w14:paraId="4DD6376E" w14:textId="77777777" w:rsidR="00372B0A" w:rsidRPr="00372B0A" w:rsidRDefault="00372B0A" w:rsidP="00610471">
      <w:pPr>
        <w:jc w:val="both"/>
      </w:pPr>
      <w:r w:rsidRPr="00372B0A">
        <w:t xml:space="preserve">Tehniskās specifikācijas A.6. punkts paredz, ka transportlīdzeklim jānodrošina ne mazāk kā 130 km nobraucamais attālums arī pie atlikušā vilces baterijas stāvokļa (SOH) ne mazāka par 70%. E.2. punkts paredz vilces akumulatoru baterijas garantiju 10 gadi ar SOH ≥ 70%, savukārt A.15. punkts paredz transportlīdzekļa projektēto kalpošanas laiku vismaz 12 gadi. </w:t>
      </w:r>
    </w:p>
    <w:p w14:paraId="676F413E" w14:textId="2E194D81" w:rsidR="00193BC9" w:rsidRPr="00372B0A" w:rsidRDefault="00372B0A" w:rsidP="00610471">
      <w:pPr>
        <w:jc w:val="both"/>
      </w:pPr>
      <w:r w:rsidRPr="00372B0A">
        <w:t>Lūdzam Pasūtītāju apstiprināt, uz kuru no šiem termiņiem attiecas SOH ≥ 70% prasība - vai uz vilces akumulatoru baterijas garantijas periodu (10 gadi), vai uz transportlīdzekļa projektēto kalpošanas laiku (12 gadi).</w:t>
      </w:r>
    </w:p>
    <w:p w14:paraId="3226E062" w14:textId="77777777" w:rsidR="00193BC9" w:rsidRPr="008365EC" w:rsidRDefault="00193BC9" w:rsidP="00610471">
      <w:pPr>
        <w:jc w:val="both"/>
        <w:rPr>
          <w:b/>
          <w:bCs/>
        </w:rPr>
      </w:pPr>
    </w:p>
    <w:p w14:paraId="187AE8EB" w14:textId="77622A79" w:rsidR="00193BC9" w:rsidRPr="008365EC" w:rsidRDefault="00931A18" w:rsidP="00610471">
      <w:pPr>
        <w:jc w:val="both"/>
        <w:rPr>
          <w:b/>
          <w:bCs/>
        </w:rPr>
      </w:pPr>
      <w:r>
        <w:rPr>
          <w:b/>
          <w:bCs/>
        </w:rPr>
        <w:t>1</w:t>
      </w:r>
      <w:r w:rsidR="00193BC9" w:rsidRPr="008365EC">
        <w:rPr>
          <w:b/>
          <w:bCs/>
        </w:rPr>
        <w:t>7.atbilde:</w:t>
      </w:r>
    </w:p>
    <w:p w14:paraId="237D86E6" w14:textId="05ABE86F" w:rsidR="004A66C9" w:rsidRDefault="004A66C9" w:rsidP="00610471">
      <w:pPr>
        <w:ind w:firstLine="720"/>
        <w:jc w:val="both"/>
      </w:pPr>
      <w:r>
        <w:t>Pasūtītājs skaidro, ka prasība par vilces baterijas stāvokli (SOH ≥ 70%) attiecas uz vilces akumulatoru baterijas garantijas periodu, kas noteikts tehniskās specifikācijas E.2. punktā (vismaz 10 gadi).</w:t>
      </w:r>
    </w:p>
    <w:p w14:paraId="21ACF8BA" w14:textId="77777777" w:rsidR="004A66C9" w:rsidRDefault="004A66C9" w:rsidP="00610471">
      <w:pPr>
        <w:ind w:firstLine="720"/>
        <w:jc w:val="both"/>
      </w:pPr>
      <w:r>
        <w:t>Attiecīgi, tehniskās specifikācijas A.6. punktā noteiktā prasība par minimālo nobraucamo attālumu, pie attiecīgā SOH līmeņa, ir interpretējama kopsakarā ar vilces baterijas garantijas periodu.</w:t>
      </w:r>
    </w:p>
    <w:p w14:paraId="29105E5D" w14:textId="03CEC2E1" w:rsidR="00193BC9" w:rsidRPr="00C634CD" w:rsidRDefault="004A66C9" w:rsidP="00610471">
      <w:pPr>
        <w:ind w:firstLine="720"/>
        <w:jc w:val="both"/>
      </w:pPr>
      <w:r>
        <w:t>Transportlīdzekļa projektētais kalpošanas laiks (A.14. punkts) netiek saistīts ar prasību nodrošināt noteiktu SOH līmeni.</w:t>
      </w:r>
    </w:p>
    <w:p w14:paraId="45061AE7" w14:textId="77777777" w:rsidR="004A66C9" w:rsidRDefault="004A66C9" w:rsidP="00610471">
      <w:pPr>
        <w:jc w:val="both"/>
        <w:outlineLvl w:val="0"/>
      </w:pPr>
    </w:p>
    <w:p w14:paraId="228CAC71" w14:textId="77777777" w:rsidR="004A66C9" w:rsidRDefault="004A66C9" w:rsidP="00610471">
      <w:pPr>
        <w:jc w:val="both"/>
        <w:outlineLvl w:val="0"/>
      </w:pPr>
    </w:p>
    <w:p w14:paraId="67989379" w14:textId="7D611C82" w:rsidR="00193BC9" w:rsidRPr="008365EC" w:rsidRDefault="00931A18" w:rsidP="00610471">
      <w:pPr>
        <w:jc w:val="both"/>
        <w:rPr>
          <w:b/>
          <w:bCs/>
        </w:rPr>
      </w:pPr>
      <w:r>
        <w:rPr>
          <w:b/>
          <w:bCs/>
        </w:rPr>
        <w:t>18</w:t>
      </w:r>
      <w:r w:rsidR="00193BC9" w:rsidRPr="008365EC">
        <w:rPr>
          <w:b/>
          <w:bCs/>
        </w:rPr>
        <w:t>.jautājums:</w:t>
      </w:r>
    </w:p>
    <w:p w14:paraId="6AD82FC5" w14:textId="77777777" w:rsidR="00372B0A" w:rsidRPr="00372B0A" w:rsidRDefault="00372B0A" w:rsidP="00610471">
      <w:pPr>
        <w:jc w:val="both"/>
      </w:pPr>
      <w:r w:rsidRPr="00372B0A">
        <w:t xml:space="preserve">Tehniskās specifikācijas E.3. punkts (Defektu diagnostika un novēršana) paredz, ka Piegādātājs 48 (četrdesmit astoņu) stundu laikā pēc Pasūtītāja pieteikuma saņemšanas izskata un akceptē vai noraida garantijas reklamāciju. No formulējuma izriet, ka runa ir par kalendārajām stundām, kuras tiek skaitītas nepārtraukti no pieteikuma saņemšanas brīža, neatkarīgi no nedēļas dienas vai diennakts laika. </w:t>
      </w:r>
    </w:p>
    <w:p w14:paraId="7935108B" w14:textId="77777777" w:rsidR="00372B0A" w:rsidRPr="00372B0A" w:rsidRDefault="00372B0A" w:rsidP="00610471">
      <w:pPr>
        <w:jc w:val="both"/>
      </w:pPr>
      <w:r w:rsidRPr="00372B0A">
        <w:t>Šis termiņš ir nesamērīgs un faktiski neizpildāms vairākos praktiskos scenārijos. Pirmkārt, tehniskās specifikācijas pati E. sadaļa (Garantijas izpildes nosacījumi) E.4. punktā skaidri nosaka, ka Piegādātājs nodrošina ražotāja tehnisko atbalstu darba dienās 08:00–17:00 EET (UTC+02:00). Tas nozīmē, ka Piegādātājam ekspluatācijas</w:t>
      </w:r>
      <w:r>
        <w:t xml:space="preserve"> </w:t>
      </w:r>
      <w:r w:rsidRPr="00372B0A">
        <w:t xml:space="preserve">līguma izpratnē pašam Pasūtītājam nav paredzēts pienākums sniegt tehnisko atbalstu nedēļas nogalēs, oficiālajās svētku dienās vai ārpus norādītā darba laika. </w:t>
      </w:r>
    </w:p>
    <w:p w14:paraId="03C8A9A6" w14:textId="77777777" w:rsidR="00372B0A" w:rsidRPr="00372B0A" w:rsidRDefault="00372B0A" w:rsidP="00610471">
      <w:pPr>
        <w:jc w:val="both"/>
      </w:pPr>
      <w:r w:rsidRPr="00372B0A">
        <w:t xml:space="preserve">Šie divi tās pašas sadaļas punkti veido tiešu iekšēju pretrunu. Praktiski tas nozīmē, piemēram, šādus scenārijus: ja Pasūtītāja pieteikums tiek nosūtīts piektdienas vakarā plkst. 17:01, 48 kalendāro stundu termiņš beidzas svētdien plkst. 17:01 - laikā, kad Piegādātāja tehniskā atbalsta </w:t>
      </w:r>
      <w:r w:rsidRPr="00372B0A">
        <w:lastRenderedPageBreak/>
        <w:t xml:space="preserve">dienests saskaņā ar E.4. punktu nav pieejams un nedēļas laikā nav strādājis nevienu darba stundu, lai reklamāciju varētu izskatīt. Vēl izteiktāks piemērs - pieteikums, kas saņemts 21. decembrī 2029. gadā plkst. 19:30 pirms Ziemassvētku brīvdienām, kad nākamās valsts noteiktās darba dienas ir tikai 27.12.2029. Šādā gadījumā 48 stundu termiņš pilnībā paiet ārpus jebkura darba laika, un Piegādātājs objektīvi nespēj veikt reklamācijas tehnisko izskatīšanu šajā periodā. </w:t>
      </w:r>
    </w:p>
    <w:p w14:paraId="373A7B32" w14:textId="4420F03D" w:rsidR="00193BC9" w:rsidRDefault="00372B0A" w:rsidP="00610471">
      <w:pPr>
        <w:jc w:val="both"/>
      </w:pPr>
      <w:r w:rsidRPr="00372B0A">
        <w:t>Tādēļ lūdzam Pasūtītāju saskaņot E.3. punktā noteikto reklamācijas izskatīšanas termiņu ar Piegādātāja faktiski paredzēto darba laiku, kas noteikts E.4. punktā. Konkrēti lūdzam aizstāt formulējumu „48 (četrdesmit astoņu) stundu laikā” ar „2 (divu) darba dienu laikā” vai funkcionāli līdzvērtīgu formulējumu, kas termiņu sasaista ar darba dienām un Piegādātāja paredzēto darba laiku. Šāda redakcija saglabā Pasūtītāja vēlmi pēc ātras reklamācijas apstrādes, vienlaikus padarot prasību objektīvi izpildāmu un savstarpēji saskaņotu ar pārējām E. sadaļas prasībām.</w:t>
      </w:r>
    </w:p>
    <w:p w14:paraId="445EED46" w14:textId="77777777" w:rsidR="00372B0A" w:rsidRDefault="00372B0A" w:rsidP="00610471">
      <w:pPr>
        <w:jc w:val="both"/>
      </w:pPr>
    </w:p>
    <w:p w14:paraId="444ECDA4" w14:textId="5128CB54" w:rsidR="00193BC9" w:rsidRPr="008365EC" w:rsidRDefault="00931A18" w:rsidP="00610471">
      <w:pPr>
        <w:jc w:val="both"/>
        <w:rPr>
          <w:b/>
          <w:bCs/>
        </w:rPr>
      </w:pPr>
      <w:r>
        <w:rPr>
          <w:b/>
          <w:bCs/>
        </w:rPr>
        <w:t>18</w:t>
      </w:r>
      <w:r w:rsidR="00193BC9" w:rsidRPr="008365EC">
        <w:rPr>
          <w:b/>
          <w:bCs/>
        </w:rPr>
        <w:t>.atbilde:</w:t>
      </w:r>
    </w:p>
    <w:p w14:paraId="39F3BF7A" w14:textId="32270C50" w:rsidR="007C306E" w:rsidRPr="008365EC" w:rsidRDefault="007C306E" w:rsidP="007C306E">
      <w:pPr>
        <w:ind w:firstLine="720"/>
        <w:jc w:val="both"/>
      </w:pPr>
      <w:r w:rsidRPr="008365EC">
        <w:t>Pasūtītājs</w:t>
      </w:r>
      <w:r>
        <w:t xml:space="preserve"> informē, ka, lai izvērtētu jautājumu, Pasūtītājam nepieciešams papildu laiks, līdz ar to atbildes uz jautājuma sniegšanu termiņš tiek pagarināt</w:t>
      </w:r>
      <w:r w:rsidR="00375F69">
        <w:t>s</w:t>
      </w:r>
      <w:r>
        <w:t xml:space="preserve"> līdz 2026.gada 19.jūnijam.</w:t>
      </w:r>
    </w:p>
    <w:p w14:paraId="0A534795" w14:textId="77777777" w:rsidR="00372B0A" w:rsidRDefault="00372B0A" w:rsidP="00610471">
      <w:pPr>
        <w:ind w:firstLine="720"/>
        <w:jc w:val="both"/>
      </w:pPr>
    </w:p>
    <w:p w14:paraId="3B16E613" w14:textId="77777777" w:rsidR="00372B0A" w:rsidRPr="00C634CD" w:rsidRDefault="00372B0A" w:rsidP="00610471">
      <w:pPr>
        <w:ind w:firstLine="720"/>
        <w:jc w:val="both"/>
      </w:pPr>
    </w:p>
    <w:p w14:paraId="171158D3" w14:textId="35565563" w:rsidR="00193BC9" w:rsidRPr="008365EC" w:rsidRDefault="00931A18" w:rsidP="00610471">
      <w:pPr>
        <w:jc w:val="both"/>
        <w:rPr>
          <w:b/>
          <w:bCs/>
        </w:rPr>
      </w:pPr>
      <w:r>
        <w:rPr>
          <w:b/>
          <w:bCs/>
        </w:rPr>
        <w:t>19</w:t>
      </w:r>
      <w:r w:rsidR="00193BC9" w:rsidRPr="008365EC">
        <w:rPr>
          <w:b/>
          <w:bCs/>
        </w:rPr>
        <w:t>.jautājums:</w:t>
      </w:r>
    </w:p>
    <w:p w14:paraId="12086936" w14:textId="77777777" w:rsidR="00595C63" w:rsidRPr="00595C63" w:rsidRDefault="00595C63" w:rsidP="00610471">
      <w:pPr>
        <w:jc w:val="both"/>
      </w:pPr>
      <w:r w:rsidRPr="00595C63">
        <w:t>Nolikuma 7.8.1.1. un 7.8.1.2. punkts regulē līguma izpildes nodrošinājuma apjomu, spēkā esamības termiņu un attiecināmās Finanšu piedāvājuma pozīcijas. Šo punktu teksta formulējums ir ļoti sarežģīts un grūti uztverams - vienā teikumā tiek apvienoti vairāki procentuālie aprēķini, atsauces uz dažādām Finanšu piedāvājuma pozīcijām (3., 4., 5. pozīcija pa daļām un 2., 6., 7., 8. pozīcija atsevišķi), kā arī nosacījumi par garantijas spēkā esamības termiņu, kas piesaistīts pēdējam autobusa piegādes datumam plus viens mēnesis.</w:t>
      </w:r>
    </w:p>
    <w:p w14:paraId="67B8FDCD" w14:textId="77777777" w:rsidR="00595C63" w:rsidRPr="00595C63" w:rsidRDefault="00595C63" w:rsidP="00610471">
      <w:pPr>
        <w:jc w:val="both"/>
      </w:pPr>
      <w:r w:rsidRPr="00595C63">
        <w:t>Lai pretendentiem un garantijas devējiem (bankām vai apdrošināšanas sabiedrībām) būtu vienota un nepārprotama izpratne par to, kā precīzi aprēķināt līguma izpildes nodrošinājuma apjomu, noteikt tā spēkā esamības termiņu un izsniegšanas datumu, lūdzam Pasūtītāju, izmantojot zemāk norādītos hipotētiskos paraugcenu skaitļus, sniegt skaidrojumu un detalizētus aprēķinus, parādot, kādā apmērā un uz kādu spēkā esamības termiņu konkrētajā piemērā līguma izpildes nodrošinājums būtu jāiesniedz katrā no iepirkuma daļām, ja iepirkuma piedāvājumi tiek iesniegti 2026. gada 1 jūlijā.</w:t>
      </w:r>
    </w:p>
    <w:p w14:paraId="1FE5318F" w14:textId="3EEDA2B9" w:rsidR="00193BC9" w:rsidRDefault="00595C63" w:rsidP="00610471">
      <w:pPr>
        <w:jc w:val="both"/>
        <w:rPr>
          <w:b/>
          <w:bCs/>
        </w:rPr>
      </w:pPr>
      <w:r w:rsidRPr="00EE1E88">
        <w:rPr>
          <w:b/>
          <w:bCs/>
        </w:rPr>
        <w:t>Paraugcenas — Iepirkuma priekšmeta 1. daļa (elektroautobusi):</w:t>
      </w:r>
    </w:p>
    <w:tbl>
      <w:tblPr>
        <w:tblStyle w:val="TableGrid"/>
        <w:tblW w:w="0" w:type="auto"/>
        <w:tblLook w:val="04A0" w:firstRow="1" w:lastRow="0" w:firstColumn="1" w:lastColumn="0" w:noHBand="0" w:noVBand="1"/>
      </w:tblPr>
      <w:tblGrid>
        <w:gridCol w:w="988"/>
        <w:gridCol w:w="2746"/>
        <w:gridCol w:w="1868"/>
        <w:gridCol w:w="1868"/>
        <w:gridCol w:w="1868"/>
      </w:tblGrid>
      <w:tr w:rsidR="00291CB1" w14:paraId="54DDB7C0" w14:textId="77777777" w:rsidTr="00291CB1">
        <w:tc>
          <w:tcPr>
            <w:tcW w:w="988" w:type="dxa"/>
          </w:tcPr>
          <w:p w14:paraId="78FEAD7A" w14:textId="2B80347B" w:rsidR="00291CB1" w:rsidRDefault="00291CB1" w:rsidP="00610471">
            <w:pPr>
              <w:jc w:val="both"/>
              <w:rPr>
                <w:b/>
                <w:bCs/>
              </w:rPr>
            </w:pPr>
            <w:r>
              <w:rPr>
                <w:b/>
                <w:bCs/>
              </w:rPr>
              <w:t>Nr.</w:t>
            </w:r>
          </w:p>
        </w:tc>
        <w:tc>
          <w:tcPr>
            <w:tcW w:w="2746" w:type="dxa"/>
          </w:tcPr>
          <w:p w14:paraId="5D52244B" w14:textId="3B49B008" w:rsidR="00291CB1" w:rsidRDefault="00291CB1" w:rsidP="00610471">
            <w:pPr>
              <w:jc w:val="both"/>
              <w:rPr>
                <w:b/>
                <w:bCs/>
              </w:rPr>
            </w:pPr>
            <w:r>
              <w:rPr>
                <w:b/>
                <w:bCs/>
              </w:rPr>
              <w:t>Nosaukums</w:t>
            </w:r>
          </w:p>
        </w:tc>
        <w:tc>
          <w:tcPr>
            <w:tcW w:w="1868" w:type="dxa"/>
          </w:tcPr>
          <w:p w14:paraId="33473E91" w14:textId="35D92AEF" w:rsidR="00291CB1" w:rsidRDefault="00291CB1" w:rsidP="00610471">
            <w:pPr>
              <w:jc w:val="both"/>
              <w:rPr>
                <w:b/>
                <w:bCs/>
              </w:rPr>
            </w:pPr>
            <w:r>
              <w:rPr>
                <w:b/>
                <w:bCs/>
              </w:rPr>
              <w:t>Daudzums</w:t>
            </w:r>
          </w:p>
        </w:tc>
        <w:tc>
          <w:tcPr>
            <w:tcW w:w="1868" w:type="dxa"/>
          </w:tcPr>
          <w:p w14:paraId="4F381B0A" w14:textId="5C7851B5" w:rsidR="00291CB1" w:rsidRPr="00291CB1" w:rsidRDefault="00291CB1" w:rsidP="00610471">
            <w:pPr>
              <w:pStyle w:val="Default"/>
              <w:jc w:val="both"/>
              <w:rPr>
                <w:sz w:val="23"/>
                <w:szCs w:val="23"/>
              </w:rPr>
            </w:pPr>
            <w:r>
              <w:rPr>
                <w:b/>
                <w:bCs/>
                <w:sz w:val="23"/>
                <w:szCs w:val="23"/>
              </w:rPr>
              <w:t xml:space="preserve">Vienības cena, EUR bez PVN </w:t>
            </w:r>
          </w:p>
        </w:tc>
        <w:tc>
          <w:tcPr>
            <w:tcW w:w="1868" w:type="dxa"/>
          </w:tcPr>
          <w:p w14:paraId="36722AB8" w14:textId="44B91D59" w:rsidR="00291CB1" w:rsidRPr="00291CB1" w:rsidRDefault="00291CB1" w:rsidP="00610471">
            <w:pPr>
              <w:pStyle w:val="Default"/>
              <w:jc w:val="both"/>
              <w:rPr>
                <w:sz w:val="23"/>
                <w:szCs w:val="23"/>
              </w:rPr>
            </w:pPr>
            <w:r>
              <w:rPr>
                <w:b/>
                <w:bCs/>
                <w:sz w:val="23"/>
                <w:szCs w:val="23"/>
              </w:rPr>
              <w:t xml:space="preserve">Kopējā cena, EUR bez PVN </w:t>
            </w:r>
          </w:p>
        </w:tc>
      </w:tr>
      <w:tr w:rsidR="00FC0601" w14:paraId="76DBC61B" w14:textId="77777777" w:rsidTr="0087586F">
        <w:tc>
          <w:tcPr>
            <w:tcW w:w="988" w:type="dxa"/>
          </w:tcPr>
          <w:p w14:paraId="58DF1199" w14:textId="486FFE06" w:rsidR="00FC0601" w:rsidRDefault="00FC0601" w:rsidP="00610471">
            <w:pPr>
              <w:jc w:val="both"/>
              <w:rPr>
                <w:b/>
                <w:bCs/>
              </w:rPr>
            </w:pPr>
            <w:r>
              <w:rPr>
                <w:b/>
                <w:bCs/>
              </w:rPr>
              <w:t>1.</w:t>
            </w:r>
          </w:p>
        </w:tc>
        <w:tc>
          <w:tcPr>
            <w:tcW w:w="2746" w:type="dxa"/>
          </w:tcPr>
          <w:p w14:paraId="00B2F40D" w14:textId="634CE2BE" w:rsidR="00FC0601" w:rsidRPr="00FC0601" w:rsidRDefault="00FC0601" w:rsidP="00610471">
            <w:pPr>
              <w:pStyle w:val="Default"/>
              <w:jc w:val="both"/>
              <w:rPr>
                <w:sz w:val="23"/>
                <w:szCs w:val="23"/>
              </w:rPr>
            </w:pPr>
            <w:r>
              <w:rPr>
                <w:sz w:val="23"/>
                <w:szCs w:val="23"/>
              </w:rPr>
              <w:t xml:space="preserve">Autobusu piegāde (60 elektroautobusi) </w:t>
            </w:r>
          </w:p>
        </w:tc>
        <w:tc>
          <w:tcPr>
            <w:tcW w:w="1868" w:type="dxa"/>
            <w:vAlign w:val="center"/>
          </w:tcPr>
          <w:p w14:paraId="6C49458D" w14:textId="418037E5" w:rsidR="00FC0601" w:rsidRDefault="00FC0601" w:rsidP="00610471">
            <w:pPr>
              <w:rPr>
                <w:b/>
                <w:bCs/>
              </w:rPr>
            </w:pPr>
            <w:r>
              <w:rPr>
                <w:sz w:val="23"/>
                <w:szCs w:val="23"/>
              </w:rPr>
              <w:t xml:space="preserve">60 </w:t>
            </w:r>
          </w:p>
        </w:tc>
        <w:tc>
          <w:tcPr>
            <w:tcW w:w="1868" w:type="dxa"/>
            <w:vAlign w:val="center"/>
          </w:tcPr>
          <w:p w14:paraId="51FE2038" w14:textId="6EED317E" w:rsidR="00FC0601" w:rsidRDefault="00FC0601" w:rsidP="00610471">
            <w:pPr>
              <w:rPr>
                <w:b/>
                <w:bCs/>
              </w:rPr>
            </w:pPr>
            <w:r>
              <w:rPr>
                <w:sz w:val="23"/>
                <w:szCs w:val="23"/>
              </w:rPr>
              <w:t xml:space="preserve">900 000 </w:t>
            </w:r>
          </w:p>
        </w:tc>
        <w:tc>
          <w:tcPr>
            <w:tcW w:w="1868" w:type="dxa"/>
            <w:vAlign w:val="center"/>
          </w:tcPr>
          <w:p w14:paraId="1D26DC3D" w14:textId="1C909ECB" w:rsidR="00FC0601" w:rsidRDefault="00FC0601" w:rsidP="00610471">
            <w:pPr>
              <w:rPr>
                <w:b/>
                <w:bCs/>
              </w:rPr>
            </w:pPr>
            <w:r>
              <w:rPr>
                <w:sz w:val="23"/>
                <w:szCs w:val="23"/>
              </w:rPr>
              <w:t xml:space="preserve">54 000 000 </w:t>
            </w:r>
          </w:p>
        </w:tc>
      </w:tr>
      <w:tr w:rsidR="00FC0601" w14:paraId="423A2FA1" w14:textId="77777777" w:rsidTr="0087586F">
        <w:tc>
          <w:tcPr>
            <w:tcW w:w="988" w:type="dxa"/>
          </w:tcPr>
          <w:p w14:paraId="684BF19E" w14:textId="0A3FFCA6" w:rsidR="00FC0601" w:rsidRDefault="00FC0601" w:rsidP="00610471">
            <w:pPr>
              <w:jc w:val="both"/>
              <w:rPr>
                <w:b/>
                <w:bCs/>
              </w:rPr>
            </w:pPr>
            <w:r>
              <w:rPr>
                <w:b/>
                <w:bCs/>
              </w:rPr>
              <w:t>2.</w:t>
            </w:r>
          </w:p>
        </w:tc>
        <w:tc>
          <w:tcPr>
            <w:tcW w:w="2746" w:type="dxa"/>
          </w:tcPr>
          <w:p w14:paraId="44812552" w14:textId="2E20ED5A" w:rsidR="00FC0601" w:rsidRPr="00FC0601" w:rsidRDefault="00FC0601" w:rsidP="00610471">
            <w:pPr>
              <w:pStyle w:val="Default"/>
              <w:jc w:val="both"/>
              <w:rPr>
                <w:sz w:val="23"/>
                <w:szCs w:val="23"/>
              </w:rPr>
            </w:pPr>
            <w:r>
              <w:rPr>
                <w:sz w:val="23"/>
                <w:szCs w:val="23"/>
              </w:rPr>
              <w:t xml:space="preserve">Speciālie instrumenti un diagnostikas aprīkojums </w:t>
            </w:r>
          </w:p>
        </w:tc>
        <w:tc>
          <w:tcPr>
            <w:tcW w:w="1868" w:type="dxa"/>
            <w:vAlign w:val="center"/>
          </w:tcPr>
          <w:p w14:paraId="29819C59" w14:textId="5E28B0EE" w:rsidR="00FC0601" w:rsidRDefault="00FC0601" w:rsidP="00610471">
            <w:pPr>
              <w:rPr>
                <w:b/>
                <w:bCs/>
              </w:rPr>
            </w:pPr>
            <w:r>
              <w:rPr>
                <w:sz w:val="23"/>
                <w:szCs w:val="23"/>
              </w:rPr>
              <w:t xml:space="preserve">X </w:t>
            </w:r>
          </w:p>
        </w:tc>
        <w:tc>
          <w:tcPr>
            <w:tcW w:w="1868" w:type="dxa"/>
            <w:vAlign w:val="center"/>
          </w:tcPr>
          <w:p w14:paraId="6C57C8D6" w14:textId="5A189019" w:rsidR="00FC0601" w:rsidRDefault="00FC0601" w:rsidP="00610471">
            <w:pPr>
              <w:rPr>
                <w:b/>
                <w:bCs/>
              </w:rPr>
            </w:pPr>
            <w:r>
              <w:rPr>
                <w:sz w:val="23"/>
                <w:szCs w:val="23"/>
              </w:rPr>
              <w:t xml:space="preserve">X </w:t>
            </w:r>
          </w:p>
        </w:tc>
        <w:tc>
          <w:tcPr>
            <w:tcW w:w="1868" w:type="dxa"/>
            <w:vAlign w:val="center"/>
          </w:tcPr>
          <w:p w14:paraId="7EC0B705" w14:textId="7B5CEFA9" w:rsidR="00FC0601" w:rsidRDefault="00FC0601" w:rsidP="00610471">
            <w:pPr>
              <w:rPr>
                <w:b/>
                <w:bCs/>
              </w:rPr>
            </w:pPr>
            <w:r>
              <w:rPr>
                <w:sz w:val="23"/>
                <w:szCs w:val="23"/>
              </w:rPr>
              <w:t xml:space="preserve">1 800 000 </w:t>
            </w:r>
          </w:p>
        </w:tc>
      </w:tr>
      <w:tr w:rsidR="00FC0601" w14:paraId="3B6D50ED" w14:textId="77777777" w:rsidTr="0087586F">
        <w:tc>
          <w:tcPr>
            <w:tcW w:w="988" w:type="dxa"/>
          </w:tcPr>
          <w:p w14:paraId="4D421438" w14:textId="56C42628" w:rsidR="00FC0601" w:rsidRDefault="00FC0601" w:rsidP="00610471">
            <w:pPr>
              <w:jc w:val="both"/>
              <w:rPr>
                <w:b/>
                <w:bCs/>
              </w:rPr>
            </w:pPr>
            <w:r>
              <w:rPr>
                <w:b/>
                <w:bCs/>
              </w:rPr>
              <w:t>3.</w:t>
            </w:r>
          </w:p>
        </w:tc>
        <w:tc>
          <w:tcPr>
            <w:tcW w:w="2746" w:type="dxa"/>
          </w:tcPr>
          <w:p w14:paraId="7B0E9549" w14:textId="451A4899" w:rsidR="00FC0601" w:rsidRPr="00FC0601" w:rsidRDefault="00FC0601" w:rsidP="00610471">
            <w:pPr>
              <w:pStyle w:val="Default"/>
              <w:jc w:val="both"/>
              <w:rPr>
                <w:sz w:val="23"/>
                <w:szCs w:val="23"/>
              </w:rPr>
            </w:pPr>
            <w:r>
              <w:rPr>
                <w:sz w:val="23"/>
                <w:szCs w:val="23"/>
              </w:rPr>
              <w:t xml:space="preserve">Rezerves daļas un materiāli periodiskajām apkopēm (60 transportlīdzekļiem) </w:t>
            </w:r>
          </w:p>
        </w:tc>
        <w:tc>
          <w:tcPr>
            <w:tcW w:w="1868" w:type="dxa"/>
            <w:vAlign w:val="center"/>
          </w:tcPr>
          <w:p w14:paraId="798215C4" w14:textId="02EC537B" w:rsidR="00FC0601" w:rsidRDefault="00FC0601" w:rsidP="00610471">
            <w:pPr>
              <w:rPr>
                <w:b/>
                <w:bCs/>
              </w:rPr>
            </w:pPr>
            <w:r>
              <w:rPr>
                <w:sz w:val="23"/>
                <w:szCs w:val="23"/>
              </w:rPr>
              <w:t xml:space="preserve">60 </w:t>
            </w:r>
          </w:p>
        </w:tc>
        <w:tc>
          <w:tcPr>
            <w:tcW w:w="1868" w:type="dxa"/>
            <w:vAlign w:val="center"/>
          </w:tcPr>
          <w:p w14:paraId="0E89F0F9" w14:textId="3F4B4051" w:rsidR="00FC0601" w:rsidRDefault="00FC0601" w:rsidP="00610471">
            <w:pPr>
              <w:rPr>
                <w:b/>
                <w:bCs/>
              </w:rPr>
            </w:pPr>
            <w:r>
              <w:rPr>
                <w:sz w:val="23"/>
                <w:szCs w:val="23"/>
              </w:rPr>
              <w:t xml:space="preserve">50 000 </w:t>
            </w:r>
          </w:p>
        </w:tc>
        <w:tc>
          <w:tcPr>
            <w:tcW w:w="1868" w:type="dxa"/>
            <w:vAlign w:val="center"/>
          </w:tcPr>
          <w:p w14:paraId="5CEE422B" w14:textId="44EF4AD4" w:rsidR="00FC0601" w:rsidRDefault="00FC0601" w:rsidP="00610471">
            <w:pPr>
              <w:rPr>
                <w:b/>
                <w:bCs/>
              </w:rPr>
            </w:pPr>
            <w:r>
              <w:rPr>
                <w:sz w:val="23"/>
                <w:szCs w:val="23"/>
              </w:rPr>
              <w:t xml:space="preserve">3 000 000 </w:t>
            </w:r>
          </w:p>
        </w:tc>
      </w:tr>
      <w:tr w:rsidR="00FC0601" w14:paraId="763C28CE" w14:textId="77777777" w:rsidTr="0087586F">
        <w:tc>
          <w:tcPr>
            <w:tcW w:w="988" w:type="dxa"/>
          </w:tcPr>
          <w:p w14:paraId="6BC65DC0" w14:textId="0A99F394" w:rsidR="00FC0601" w:rsidRDefault="00FC0601" w:rsidP="00610471">
            <w:pPr>
              <w:jc w:val="both"/>
              <w:rPr>
                <w:b/>
                <w:bCs/>
              </w:rPr>
            </w:pPr>
            <w:r>
              <w:rPr>
                <w:b/>
                <w:bCs/>
              </w:rPr>
              <w:t>4.</w:t>
            </w:r>
          </w:p>
        </w:tc>
        <w:tc>
          <w:tcPr>
            <w:tcW w:w="2746" w:type="dxa"/>
          </w:tcPr>
          <w:p w14:paraId="34077DCB" w14:textId="6E3B5884" w:rsidR="00FC0601" w:rsidRPr="00FC0601" w:rsidRDefault="00FC0601" w:rsidP="00610471">
            <w:pPr>
              <w:pStyle w:val="Default"/>
              <w:jc w:val="both"/>
              <w:rPr>
                <w:sz w:val="23"/>
                <w:szCs w:val="23"/>
              </w:rPr>
            </w:pPr>
            <w:r>
              <w:rPr>
                <w:sz w:val="23"/>
                <w:szCs w:val="23"/>
              </w:rPr>
              <w:t xml:space="preserve">Rezerves daļas un materiāli periodiskajām apkopēm (90 transportlīdzekļiem) </w:t>
            </w:r>
          </w:p>
        </w:tc>
        <w:tc>
          <w:tcPr>
            <w:tcW w:w="1868" w:type="dxa"/>
            <w:vAlign w:val="center"/>
          </w:tcPr>
          <w:p w14:paraId="1E71B615" w14:textId="5692A41B" w:rsidR="00FC0601" w:rsidRDefault="00FC0601" w:rsidP="00610471">
            <w:pPr>
              <w:rPr>
                <w:b/>
                <w:bCs/>
              </w:rPr>
            </w:pPr>
            <w:r>
              <w:rPr>
                <w:sz w:val="23"/>
                <w:szCs w:val="23"/>
              </w:rPr>
              <w:t xml:space="preserve">90 </w:t>
            </w:r>
          </w:p>
        </w:tc>
        <w:tc>
          <w:tcPr>
            <w:tcW w:w="1868" w:type="dxa"/>
            <w:vAlign w:val="center"/>
          </w:tcPr>
          <w:p w14:paraId="0B62F53C" w14:textId="52AE7A2C" w:rsidR="00FC0601" w:rsidRDefault="00FC0601" w:rsidP="00610471">
            <w:pPr>
              <w:rPr>
                <w:b/>
                <w:bCs/>
              </w:rPr>
            </w:pPr>
            <w:r>
              <w:rPr>
                <w:sz w:val="23"/>
                <w:szCs w:val="23"/>
              </w:rPr>
              <w:t xml:space="preserve">50 000 </w:t>
            </w:r>
          </w:p>
        </w:tc>
        <w:tc>
          <w:tcPr>
            <w:tcW w:w="1868" w:type="dxa"/>
            <w:vAlign w:val="center"/>
          </w:tcPr>
          <w:p w14:paraId="6E66BBB6" w14:textId="0A91C613" w:rsidR="00FC0601" w:rsidRDefault="00FC0601" w:rsidP="00610471">
            <w:pPr>
              <w:rPr>
                <w:b/>
                <w:bCs/>
              </w:rPr>
            </w:pPr>
            <w:r>
              <w:rPr>
                <w:sz w:val="23"/>
                <w:szCs w:val="23"/>
              </w:rPr>
              <w:t xml:space="preserve">4 500 000 </w:t>
            </w:r>
          </w:p>
        </w:tc>
      </w:tr>
      <w:tr w:rsidR="00FC0601" w14:paraId="6E04AB1A" w14:textId="77777777" w:rsidTr="0087586F">
        <w:tc>
          <w:tcPr>
            <w:tcW w:w="988" w:type="dxa"/>
          </w:tcPr>
          <w:p w14:paraId="7CF6520E" w14:textId="6DEA131F" w:rsidR="00FC0601" w:rsidRDefault="00FC0601" w:rsidP="00610471">
            <w:pPr>
              <w:jc w:val="both"/>
              <w:rPr>
                <w:b/>
                <w:bCs/>
              </w:rPr>
            </w:pPr>
            <w:r>
              <w:rPr>
                <w:b/>
                <w:bCs/>
              </w:rPr>
              <w:t>5.</w:t>
            </w:r>
          </w:p>
        </w:tc>
        <w:tc>
          <w:tcPr>
            <w:tcW w:w="2746" w:type="dxa"/>
          </w:tcPr>
          <w:p w14:paraId="10B6E098" w14:textId="2AC71712" w:rsidR="00FC0601" w:rsidRPr="00FC0601" w:rsidRDefault="00FC0601" w:rsidP="00610471">
            <w:pPr>
              <w:pStyle w:val="Default"/>
              <w:jc w:val="both"/>
              <w:rPr>
                <w:sz w:val="23"/>
                <w:szCs w:val="23"/>
              </w:rPr>
            </w:pPr>
            <w:r>
              <w:rPr>
                <w:sz w:val="23"/>
                <w:szCs w:val="23"/>
              </w:rPr>
              <w:t xml:space="preserve">Rezerves daļu apgrozāmais fonds </w:t>
            </w:r>
          </w:p>
        </w:tc>
        <w:tc>
          <w:tcPr>
            <w:tcW w:w="1868" w:type="dxa"/>
            <w:vAlign w:val="center"/>
          </w:tcPr>
          <w:p w14:paraId="52D2E449" w14:textId="73ACE9F4" w:rsidR="00FC0601" w:rsidRDefault="00FC0601" w:rsidP="00610471">
            <w:pPr>
              <w:rPr>
                <w:b/>
                <w:bCs/>
              </w:rPr>
            </w:pPr>
            <w:r>
              <w:rPr>
                <w:sz w:val="23"/>
                <w:szCs w:val="23"/>
              </w:rPr>
              <w:t xml:space="preserve">X </w:t>
            </w:r>
          </w:p>
        </w:tc>
        <w:tc>
          <w:tcPr>
            <w:tcW w:w="1868" w:type="dxa"/>
            <w:vAlign w:val="center"/>
          </w:tcPr>
          <w:p w14:paraId="7F8C9FC7" w14:textId="4B982775" w:rsidR="00FC0601" w:rsidRDefault="00FC0601" w:rsidP="00610471">
            <w:pPr>
              <w:rPr>
                <w:b/>
                <w:bCs/>
              </w:rPr>
            </w:pPr>
            <w:r>
              <w:rPr>
                <w:sz w:val="23"/>
                <w:szCs w:val="23"/>
              </w:rPr>
              <w:t xml:space="preserve">X </w:t>
            </w:r>
          </w:p>
        </w:tc>
        <w:tc>
          <w:tcPr>
            <w:tcW w:w="1868" w:type="dxa"/>
            <w:vAlign w:val="center"/>
          </w:tcPr>
          <w:p w14:paraId="50DA9EA3" w14:textId="272E8A0C" w:rsidR="00FC0601" w:rsidRDefault="00FC0601" w:rsidP="00610471">
            <w:pPr>
              <w:rPr>
                <w:b/>
                <w:bCs/>
              </w:rPr>
            </w:pPr>
            <w:r>
              <w:rPr>
                <w:sz w:val="23"/>
                <w:szCs w:val="23"/>
              </w:rPr>
              <w:t xml:space="preserve">90 000 </w:t>
            </w:r>
          </w:p>
        </w:tc>
      </w:tr>
      <w:tr w:rsidR="0087586F" w14:paraId="52F9ADA0" w14:textId="77777777" w:rsidTr="0087586F">
        <w:tc>
          <w:tcPr>
            <w:tcW w:w="988" w:type="dxa"/>
          </w:tcPr>
          <w:p w14:paraId="0D2FC125" w14:textId="57BBCFA6" w:rsidR="0087586F" w:rsidRDefault="0087586F" w:rsidP="00610471">
            <w:pPr>
              <w:jc w:val="both"/>
              <w:rPr>
                <w:b/>
                <w:bCs/>
              </w:rPr>
            </w:pPr>
            <w:r>
              <w:rPr>
                <w:b/>
                <w:bCs/>
              </w:rPr>
              <w:t>6.</w:t>
            </w:r>
          </w:p>
        </w:tc>
        <w:tc>
          <w:tcPr>
            <w:tcW w:w="2746" w:type="dxa"/>
          </w:tcPr>
          <w:p w14:paraId="7C115206" w14:textId="17962C3D" w:rsidR="0087586F" w:rsidRPr="00FC0601" w:rsidRDefault="0087586F" w:rsidP="00610471">
            <w:pPr>
              <w:pStyle w:val="Default"/>
              <w:jc w:val="both"/>
              <w:rPr>
                <w:sz w:val="23"/>
                <w:szCs w:val="23"/>
              </w:rPr>
            </w:pPr>
            <w:r>
              <w:rPr>
                <w:sz w:val="23"/>
                <w:szCs w:val="23"/>
              </w:rPr>
              <w:t xml:space="preserve">Tehniskā dokumentācija </w:t>
            </w:r>
          </w:p>
        </w:tc>
        <w:tc>
          <w:tcPr>
            <w:tcW w:w="1868" w:type="dxa"/>
            <w:vAlign w:val="center"/>
          </w:tcPr>
          <w:p w14:paraId="3F84A91D" w14:textId="0547BE71" w:rsidR="0087586F" w:rsidRDefault="0087586F" w:rsidP="00610471">
            <w:pPr>
              <w:rPr>
                <w:b/>
                <w:bCs/>
              </w:rPr>
            </w:pPr>
            <w:r>
              <w:rPr>
                <w:sz w:val="23"/>
                <w:szCs w:val="23"/>
              </w:rPr>
              <w:t xml:space="preserve">X </w:t>
            </w:r>
          </w:p>
        </w:tc>
        <w:tc>
          <w:tcPr>
            <w:tcW w:w="1868" w:type="dxa"/>
            <w:vAlign w:val="center"/>
          </w:tcPr>
          <w:p w14:paraId="5F589DF7" w14:textId="2C61B2F1" w:rsidR="0087586F" w:rsidRDefault="0087586F" w:rsidP="00610471">
            <w:pPr>
              <w:rPr>
                <w:b/>
                <w:bCs/>
              </w:rPr>
            </w:pPr>
            <w:r>
              <w:rPr>
                <w:sz w:val="23"/>
                <w:szCs w:val="23"/>
              </w:rPr>
              <w:t xml:space="preserve">X </w:t>
            </w:r>
          </w:p>
        </w:tc>
        <w:tc>
          <w:tcPr>
            <w:tcW w:w="1868" w:type="dxa"/>
            <w:vAlign w:val="center"/>
          </w:tcPr>
          <w:p w14:paraId="65B1042A" w14:textId="3B1AA2BD" w:rsidR="0087586F" w:rsidRDefault="0087586F" w:rsidP="00610471">
            <w:pPr>
              <w:rPr>
                <w:b/>
                <w:bCs/>
              </w:rPr>
            </w:pPr>
            <w:r>
              <w:rPr>
                <w:sz w:val="23"/>
                <w:szCs w:val="23"/>
              </w:rPr>
              <w:t xml:space="preserve">125 000 </w:t>
            </w:r>
          </w:p>
        </w:tc>
      </w:tr>
      <w:tr w:rsidR="0087586F" w14:paraId="2156C9CB" w14:textId="77777777" w:rsidTr="0087586F">
        <w:tc>
          <w:tcPr>
            <w:tcW w:w="988" w:type="dxa"/>
          </w:tcPr>
          <w:p w14:paraId="4F86C251" w14:textId="10ADA7F2" w:rsidR="0087586F" w:rsidRDefault="0087586F" w:rsidP="00610471">
            <w:pPr>
              <w:jc w:val="both"/>
              <w:rPr>
                <w:b/>
                <w:bCs/>
              </w:rPr>
            </w:pPr>
            <w:r>
              <w:rPr>
                <w:b/>
                <w:bCs/>
              </w:rPr>
              <w:t>7.</w:t>
            </w:r>
          </w:p>
        </w:tc>
        <w:tc>
          <w:tcPr>
            <w:tcW w:w="2746" w:type="dxa"/>
          </w:tcPr>
          <w:p w14:paraId="7FD98C8A" w14:textId="62170F05" w:rsidR="0087586F" w:rsidRPr="00FC0601" w:rsidRDefault="0087586F" w:rsidP="00610471">
            <w:pPr>
              <w:pStyle w:val="Default"/>
              <w:jc w:val="both"/>
              <w:rPr>
                <w:sz w:val="23"/>
                <w:szCs w:val="23"/>
              </w:rPr>
            </w:pPr>
            <w:r>
              <w:rPr>
                <w:sz w:val="23"/>
                <w:szCs w:val="23"/>
              </w:rPr>
              <w:t xml:space="preserve">Apmācība Pasūtītāja tehniskajam personālam </w:t>
            </w:r>
          </w:p>
        </w:tc>
        <w:tc>
          <w:tcPr>
            <w:tcW w:w="1868" w:type="dxa"/>
            <w:vAlign w:val="center"/>
          </w:tcPr>
          <w:p w14:paraId="57F198A5" w14:textId="1636B62F" w:rsidR="0087586F" w:rsidRDefault="0087586F" w:rsidP="00610471">
            <w:pPr>
              <w:rPr>
                <w:b/>
                <w:bCs/>
              </w:rPr>
            </w:pPr>
            <w:r>
              <w:rPr>
                <w:sz w:val="23"/>
                <w:szCs w:val="23"/>
              </w:rPr>
              <w:t xml:space="preserve">X </w:t>
            </w:r>
          </w:p>
        </w:tc>
        <w:tc>
          <w:tcPr>
            <w:tcW w:w="1868" w:type="dxa"/>
            <w:vAlign w:val="center"/>
          </w:tcPr>
          <w:p w14:paraId="6A79DE5C" w14:textId="4BF7E1B8" w:rsidR="0087586F" w:rsidRDefault="0087586F" w:rsidP="00610471">
            <w:pPr>
              <w:rPr>
                <w:b/>
                <w:bCs/>
              </w:rPr>
            </w:pPr>
            <w:r>
              <w:rPr>
                <w:sz w:val="23"/>
                <w:szCs w:val="23"/>
              </w:rPr>
              <w:t xml:space="preserve">X </w:t>
            </w:r>
          </w:p>
        </w:tc>
        <w:tc>
          <w:tcPr>
            <w:tcW w:w="1868" w:type="dxa"/>
            <w:vAlign w:val="center"/>
          </w:tcPr>
          <w:p w14:paraId="60546941" w14:textId="7F9B35F8" w:rsidR="0087586F" w:rsidRDefault="0087586F" w:rsidP="00610471">
            <w:pPr>
              <w:rPr>
                <w:b/>
                <w:bCs/>
              </w:rPr>
            </w:pPr>
            <w:r>
              <w:rPr>
                <w:sz w:val="23"/>
                <w:szCs w:val="23"/>
              </w:rPr>
              <w:t xml:space="preserve">210 000 </w:t>
            </w:r>
          </w:p>
        </w:tc>
      </w:tr>
      <w:tr w:rsidR="0087586F" w14:paraId="531B4B12" w14:textId="77777777" w:rsidTr="0087586F">
        <w:tc>
          <w:tcPr>
            <w:tcW w:w="988" w:type="dxa"/>
          </w:tcPr>
          <w:p w14:paraId="198828CC" w14:textId="29DE9DB6" w:rsidR="0087586F" w:rsidRDefault="0087586F" w:rsidP="00610471">
            <w:pPr>
              <w:jc w:val="both"/>
              <w:rPr>
                <w:b/>
                <w:bCs/>
              </w:rPr>
            </w:pPr>
            <w:r>
              <w:rPr>
                <w:b/>
                <w:bCs/>
              </w:rPr>
              <w:t>8.</w:t>
            </w:r>
          </w:p>
        </w:tc>
        <w:tc>
          <w:tcPr>
            <w:tcW w:w="2746" w:type="dxa"/>
          </w:tcPr>
          <w:p w14:paraId="1791C87E" w14:textId="1628679D" w:rsidR="0087586F" w:rsidRPr="00FC0601" w:rsidRDefault="0087586F" w:rsidP="00610471">
            <w:pPr>
              <w:pStyle w:val="Default"/>
              <w:jc w:val="both"/>
              <w:rPr>
                <w:sz w:val="23"/>
                <w:szCs w:val="23"/>
              </w:rPr>
            </w:pPr>
            <w:r>
              <w:rPr>
                <w:sz w:val="23"/>
                <w:szCs w:val="23"/>
              </w:rPr>
              <w:t xml:space="preserve">Apmācība Pasūtītāja autovadītājiem </w:t>
            </w:r>
          </w:p>
        </w:tc>
        <w:tc>
          <w:tcPr>
            <w:tcW w:w="1868" w:type="dxa"/>
            <w:vAlign w:val="center"/>
          </w:tcPr>
          <w:p w14:paraId="4EC54DF5" w14:textId="59869DC9" w:rsidR="0087586F" w:rsidRDefault="0087586F" w:rsidP="00610471">
            <w:pPr>
              <w:rPr>
                <w:b/>
                <w:bCs/>
              </w:rPr>
            </w:pPr>
            <w:r>
              <w:rPr>
                <w:sz w:val="23"/>
                <w:szCs w:val="23"/>
              </w:rPr>
              <w:t xml:space="preserve">X </w:t>
            </w:r>
          </w:p>
        </w:tc>
        <w:tc>
          <w:tcPr>
            <w:tcW w:w="1868" w:type="dxa"/>
            <w:vAlign w:val="center"/>
          </w:tcPr>
          <w:p w14:paraId="024C9516" w14:textId="1C602048" w:rsidR="0087586F" w:rsidRDefault="0087586F" w:rsidP="00610471">
            <w:pPr>
              <w:rPr>
                <w:b/>
                <w:bCs/>
              </w:rPr>
            </w:pPr>
            <w:r>
              <w:rPr>
                <w:sz w:val="23"/>
                <w:szCs w:val="23"/>
              </w:rPr>
              <w:t xml:space="preserve">X </w:t>
            </w:r>
          </w:p>
        </w:tc>
        <w:tc>
          <w:tcPr>
            <w:tcW w:w="1868" w:type="dxa"/>
            <w:vAlign w:val="center"/>
          </w:tcPr>
          <w:p w14:paraId="4F0021BE" w14:textId="2EC33217" w:rsidR="0087586F" w:rsidRDefault="0087586F" w:rsidP="00610471">
            <w:pPr>
              <w:rPr>
                <w:b/>
                <w:bCs/>
              </w:rPr>
            </w:pPr>
            <w:r>
              <w:rPr>
                <w:sz w:val="23"/>
                <w:szCs w:val="23"/>
              </w:rPr>
              <w:t xml:space="preserve">250 000 </w:t>
            </w:r>
          </w:p>
        </w:tc>
      </w:tr>
      <w:tr w:rsidR="00291CB1" w14:paraId="21A49739" w14:textId="77777777" w:rsidTr="0087586F">
        <w:tc>
          <w:tcPr>
            <w:tcW w:w="988" w:type="dxa"/>
          </w:tcPr>
          <w:p w14:paraId="591BC23C" w14:textId="6478A1E4" w:rsidR="00291CB1" w:rsidRDefault="00291CB1" w:rsidP="00610471">
            <w:pPr>
              <w:jc w:val="both"/>
              <w:rPr>
                <w:b/>
                <w:bCs/>
              </w:rPr>
            </w:pPr>
          </w:p>
        </w:tc>
        <w:tc>
          <w:tcPr>
            <w:tcW w:w="2746" w:type="dxa"/>
          </w:tcPr>
          <w:p w14:paraId="18F769B1" w14:textId="685DE5C4" w:rsidR="00291CB1" w:rsidRPr="00FC0601" w:rsidRDefault="00FC0601" w:rsidP="00610471">
            <w:pPr>
              <w:pStyle w:val="Default"/>
              <w:jc w:val="both"/>
              <w:rPr>
                <w:sz w:val="23"/>
                <w:szCs w:val="23"/>
              </w:rPr>
            </w:pPr>
            <w:r>
              <w:rPr>
                <w:sz w:val="23"/>
                <w:szCs w:val="23"/>
              </w:rPr>
              <w:t xml:space="preserve">Kopsumma (EUR bez PVN): </w:t>
            </w:r>
          </w:p>
        </w:tc>
        <w:tc>
          <w:tcPr>
            <w:tcW w:w="1868" w:type="dxa"/>
            <w:vAlign w:val="center"/>
          </w:tcPr>
          <w:p w14:paraId="669E625F" w14:textId="77777777" w:rsidR="00291CB1" w:rsidRDefault="00291CB1" w:rsidP="00610471">
            <w:pPr>
              <w:rPr>
                <w:b/>
                <w:bCs/>
              </w:rPr>
            </w:pPr>
          </w:p>
        </w:tc>
        <w:tc>
          <w:tcPr>
            <w:tcW w:w="1868" w:type="dxa"/>
            <w:vAlign w:val="center"/>
          </w:tcPr>
          <w:p w14:paraId="6530C3C1" w14:textId="77777777" w:rsidR="00291CB1" w:rsidRDefault="00291CB1" w:rsidP="00610471">
            <w:pPr>
              <w:rPr>
                <w:b/>
                <w:bCs/>
              </w:rPr>
            </w:pPr>
          </w:p>
        </w:tc>
        <w:tc>
          <w:tcPr>
            <w:tcW w:w="1868" w:type="dxa"/>
            <w:vAlign w:val="center"/>
          </w:tcPr>
          <w:p w14:paraId="1AD2BCE0" w14:textId="638A1FA8" w:rsidR="00291CB1" w:rsidRPr="0087586F" w:rsidRDefault="0087586F" w:rsidP="00610471">
            <w:pPr>
              <w:pStyle w:val="Default"/>
              <w:rPr>
                <w:sz w:val="23"/>
                <w:szCs w:val="23"/>
              </w:rPr>
            </w:pPr>
            <w:r>
              <w:rPr>
                <w:sz w:val="23"/>
                <w:szCs w:val="23"/>
              </w:rPr>
              <w:t xml:space="preserve">63 975 000 </w:t>
            </w:r>
          </w:p>
        </w:tc>
      </w:tr>
    </w:tbl>
    <w:p w14:paraId="0032AE7F" w14:textId="77777777" w:rsidR="00291CB1" w:rsidRDefault="00291CB1" w:rsidP="00610471">
      <w:pPr>
        <w:jc w:val="both"/>
        <w:rPr>
          <w:b/>
          <w:bCs/>
        </w:rPr>
      </w:pPr>
    </w:p>
    <w:p w14:paraId="223670C7" w14:textId="77777777" w:rsidR="00EE1E88" w:rsidRPr="00EE1E88" w:rsidRDefault="00EE1E88" w:rsidP="00610471">
      <w:pPr>
        <w:jc w:val="both"/>
      </w:pPr>
      <w:r w:rsidRPr="00EE1E88">
        <w:t xml:space="preserve">Pieņemam, ka pēdējā autobusa piegādes datums saskaņā ar Piegādes grafiku 1. daļā ir 31.03.2028 ja netiek izmantota opcija un 31.07.2028 ja tiek izmantota papildu opcija, piemēram, par 45 elektroautobusiem. Opcija izmantota 11.10.2027. </w:t>
      </w:r>
    </w:p>
    <w:p w14:paraId="3F56BEE1" w14:textId="1D9145A8" w:rsidR="00EE1E88" w:rsidRDefault="00EE1E88" w:rsidP="00610471">
      <w:pPr>
        <w:jc w:val="both"/>
        <w:rPr>
          <w:b/>
          <w:bCs/>
        </w:rPr>
      </w:pPr>
      <w:r w:rsidRPr="00EE1E88">
        <w:rPr>
          <w:b/>
          <w:bCs/>
        </w:rPr>
        <w:t>Paraugcenas — Iepirkuma priekšmeta 2. daļa (dīzeļautobusi):</w:t>
      </w:r>
    </w:p>
    <w:tbl>
      <w:tblPr>
        <w:tblStyle w:val="TableGrid"/>
        <w:tblW w:w="0" w:type="auto"/>
        <w:tblLook w:val="04A0" w:firstRow="1" w:lastRow="0" w:firstColumn="1" w:lastColumn="0" w:noHBand="0" w:noVBand="1"/>
      </w:tblPr>
      <w:tblGrid>
        <w:gridCol w:w="988"/>
        <w:gridCol w:w="2746"/>
        <w:gridCol w:w="1868"/>
        <w:gridCol w:w="1868"/>
        <w:gridCol w:w="1868"/>
      </w:tblGrid>
      <w:tr w:rsidR="00847FAC" w14:paraId="7C75A13A" w14:textId="77777777" w:rsidTr="00956FA5">
        <w:tc>
          <w:tcPr>
            <w:tcW w:w="988" w:type="dxa"/>
          </w:tcPr>
          <w:p w14:paraId="292B4413" w14:textId="77777777" w:rsidR="00847FAC" w:rsidRDefault="00847FAC" w:rsidP="00610471">
            <w:pPr>
              <w:jc w:val="both"/>
              <w:rPr>
                <w:b/>
                <w:bCs/>
              </w:rPr>
            </w:pPr>
            <w:r>
              <w:rPr>
                <w:b/>
                <w:bCs/>
              </w:rPr>
              <w:t>Nr.</w:t>
            </w:r>
          </w:p>
        </w:tc>
        <w:tc>
          <w:tcPr>
            <w:tcW w:w="2746" w:type="dxa"/>
          </w:tcPr>
          <w:p w14:paraId="7BDF525C" w14:textId="77777777" w:rsidR="00847FAC" w:rsidRDefault="00847FAC" w:rsidP="00610471">
            <w:pPr>
              <w:jc w:val="both"/>
              <w:rPr>
                <w:b/>
                <w:bCs/>
              </w:rPr>
            </w:pPr>
            <w:r>
              <w:rPr>
                <w:b/>
                <w:bCs/>
              </w:rPr>
              <w:t>Nosaukums</w:t>
            </w:r>
          </w:p>
        </w:tc>
        <w:tc>
          <w:tcPr>
            <w:tcW w:w="1868" w:type="dxa"/>
          </w:tcPr>
          <w:p w14:paraId="41677BDF" w14:textId="77777777" w:rsidR="00847FAC" w:rsidRDefault="00847FAC" w:rsidP="00610471">
            <w:pPr>
              <w:jc w:val="both"/>
              <w:rPr>
                <w:b/>
                <w:bCs/>
              </w:rPr>
            </w:pPr>
            <w:r>
              <w:rPr>
                <w:b/>
                <w:bCs/>
              </w:rPr>
              <w:t>Daudzums</w:t>
            </w:r>
          </w:p>
        </w:tc>
        <w:tc>
          <w:tcPr>
            <w:tcW w:w="1868" w:type="dxa"/>
          </w:tcPr>
          <w:p w14:paraId="3A07FBF2" w14:textId="77777777" w:rsidR="00847FAC" w:rsidRPr="00291CB1" w:rsidRDefault="00847FAC" w:rsidP="00610471">
            <w:pPr>
              <w:pStyle w:val="Default"/>
              <w:jc w:val="both"/>
              <w:rPr>
                <w:sz w:val="23"/>
                <w:szCs w:val="23"/>
              </w:rPr>
            </w:pPr>
            <w:r>
              <w:rPr>
                <w:b/>
                <w:bCs/>
                <w:sz w:val="23"/>
                <w:szCs w:val="23"/>
              </w:rPr>
              <w:t xml:space="preserve">Vienības cena, EUR bez PVN </w:t>
            </w:r>
          </w:p>
        </w:tc>
        <w:tc>
          <w:tcPr>
            <w:tcW w:w="1868" w:type="dxa"/>
          </w:tcPr>
          <w:p w14:paraId="5F5935E6" w14:textId="77777777" w:rsidR="00847FAC" w:rsidRPr="00291CB1" w:rsidRDefault="00847FAC" w:rsidP="00610471">
            <w:pPr>
              <w:pStyle w:val="Default"/>
              <w:jc w:val="both"/>
              <w:rPr>
                <w:sz w:val="23"/>
                <w:szCs w:val="23"/>
              </w:rPr>
            </w:pPr>
            <w:r>
              <w:rPr>
                <w:b/>
                <w:bCs/>
                <w:sz w:val="23"/>
                <w:szCs w:val="23"/>
              </w:rPr>
              <w:t xml:space="preserve">Kopējā cena, EUR bez PVN </w:t>
            </w:r>
          </w:p>
        </w:tc>
      </w:tr>
      <w:tr w:rsidR="00B613B8" w14:paraId="16C602B2" w14:textId="77777777" w:rsidTr="00312E97">
        <w:tc>
          <w:tcPr>
            <w:tcW w:w="988" w:type="dxa"/>
          </w:tcPr>
          <w:p w14:paraId="47B724C2" w14:textId="77777777" w:rsidR="00B613B8" w:rsidRDefault="00B613B8" w:rsidP="00610471">
            <w:pPr>
              <w:jc w:val="both"/>
              <w:rPr>
                <w:b/>
                <w:bCs/>
              </w:rPr>
            </w:pPr>
            <w:r>
              <w:rPr>
                <w:b/>
                <w:bCs/>
              </w:rPr>
              <w:t>1.</w:t>
            </w:r>
          </w:p>
        </w:tc>
        <w:tc>
          <w:tcPr>
            <w:tcW w:w="2746" w:type="dxa"/>
          </w:tcPr>
          <w:p w14:paraId="5809F586" w14:textId="0EADC59A" w:rsidR="00B613B8" w:rsidRPr="00FC0601" w:rsidRDefault="00B613B8" w:rsidP="00610471">
            <w:pPr>
              <w:pStyle w:val="Default"/>
              <w:jc w:val="both"/>
              <w:rPr>
                <w:sz w:val="23"/>
                <w:szCs w:val="23"/>
              </w:rPr>
            </w:pPr>
            <w:r>
              <w:rPr>
                <w:sz w:val="23"/>
                <w:szCs w:val="23"/>
              </w:rPr>
              <w:t xml:space="preserve">Autobusu piegāde (60 dīzeļautobusi) </w:t>
            </w:r>
          </w:p>
        </w:tc>
        <w:tc>
          <w:tcPr>
            <w:tcW w:w="1868" w:type="dxa"/>
          </w:tcPr>
          <w:p w14:paraId="111D07B9" w14:textId="3B825340" w:rsidR="00B613B8" w:rsidRDefault="00B613B8" w:rsidP="00610471">
            <w:pPr>
              <w:rPr>
                <w:b/>
                <w:bCs/>
              </w:rPr>
            </w:pPr>
            <w:r>
              <w:rPr>
                <w:sz w:val="23"/>
                <w:szCs w:val="23"/>
              </w:rPr>
              <w:t xml:space="preserve">60 </w:t>
            </w:r>
          </w:p>
        </w:tc>
        <w:tc>
          <w:tcPr>
            <w:tcW w:w="1868" w:type="dxa"/>
          </w:tcPr>
          <w:p w14:paraId="21BE0938" w14:textId="11C0A1D5" w:rsidR="00B613B8" w:rsidRDefault="00B613B8" w:rsidP="00610471">
            <w:pPr>
              <w:rPr>
                <w:b/>
                <w:bCs/>
              </w:rPr>
            </w:pPr>
            <w:r>
              <w:rPr>
                <w:sz w:val="23"/>
                <w:szCs w:val="23"/>
              </w:rPr>
              <w:t xml:space="preserve">500 000 </w:t>
            </w:r>
          </w:p>
        </w:tc>
        <w:tc>
          <w:tcPr>
            <w:tcW w:w="1868" w:type="dxa"/>
          </w:tcPr>
          <w:p w14:paraId="127467FD" w14:textId="260D2B38" w:rsidR="00B613B8" w:rsidRDefault="00B613B8" w:rsidP="00610471">
            <w:pPr>
              <w:rPr>
                <w:b/>
                <w:bCs/>
              </w:rPr>
            </w:pPr>
            <w:r>
              <w:rPr>
                <w:sz w:val="23"/>
                <w:szCs w:val="23"/>
              </w:rPr>
              <w:t xml:space="preserve">30 000 000 </w:t>
            </w:r>
          </w:p>
        </w:tc>
      </w:tr>
      <w:tr w:rsidR="00B613B8" w14:paraId="01403E54" w14:textId="77777777" w:rsidTr="00014D39">
        <w:tc>
          <w:tcPr>
            <w:tcW w:w="988" w:type="dxa"/>
          </w:tcPr>
          <w:p w14:paraId="45621977" w14:textId="77777777" w:rsidR="00B613B8" w:rsidRDefault="00B613B8" w:rsidP="00610471">
            <w:pPr>
              <w:jc w:val="both"/>
              <w:rPr>
                <w:b/>
                <w:bCs/>
              </w:rPr>
            </w:pPr>
            <w:r>
              <w:rPr>
                <w:b/>
                <w:bCs/>
              </w:rPr>
              <w:t>2.</w:t>
            </w:r>
          </w:p>
        </w:tc>
        <w:tc>
          <w:tcPr>
            <w:tcW w:w="2746" w:type="dxa"/>
          </w:tcPr>
          <w:p w14:paraId="5F77C9EA" w14:textId="375AA357" w:rsidR="00B613B8" w:rsidRPr="00FC0601" w:rsidRDefault="00B613B8" w:rsidP="00610471">
            <w:pPr>
              <w:pStyle w:val="Default"/>
              <w:jc w:val="both"/>
              <w:rPr>
                <w:sz w:val="23"/>
                <w:szCs w:val="23"/>
              </w:rPr>
            </w:pPr>
            <w:r>
              <w:rPr>
                <w:sz w:val="23"/>
                <w:szCs w:val="23"/>
              </w:rPr>
              <w:t xml:space="preserve">Speciālie instrumenti un diagnostikas aprīkojums </w:t>
            </w:r>
          </w:p>
        </w:tc>
        <w:tc>
          <w:tcPr>
            <w:tcW w:w="1868" w:type="dxa"/>
          </w:tcPr>
          <w:p w14:paraId="1189EE20" w14:textId="2B39052B" w:rsidR="00B613B8" w:rsidRDefault="00B613B8" w:rsidP="00610471">
            <w:pPr>
              <w:rPr>
                <w:b/>
                <w:bCs/>
              </w:rPr>
            </w:pPr>
            <w:r>
              <w:rPr>
                <w:sz w:val="23"/>
                <w:szCs w:val="23"/>
              </w:rPr>
              <w:t xml:space="preserve">X </w:t>
            </w:r>
          </w:p>
        </w:tc>
        <w:tc>
          <w:tcPr>
            <w:tcW w:w="1868" w:type="dxa"/>
          </w:tcPr>
          <w:p w14:paraId="73810C7A" w14:textId="4587FDD0" w:rsidR="00B613B8" w:rsidRDefault="00B613B8" w:rsidP="00610471">
            <w:pPr>
              <w:rPr>
                <w:b/>
                <w:bCs/>
              </w:rPr>
            </w:pPr>
            <w:r>
              <w:rPr>
                <w:sz w:val="23"/>
                <w:szCs w:val="23"/>
              </w:rPr>
              <w:t xml:space="preserve">X </w:t>
            </w:r>
          </w:p>
        </w:tc>
        <w:tc>
          <w:tcPr>
            <w:tcW w:w="1868" w:type="dxa"/>
            <w:vAlign w:val="center"/>
          </w:tcPr>
          <w:p w14:paraId="38C88FC5" w14:textId="1D6ED07C" w:rsidR="00B613B8" w:rsidRDefault="00B613B8" w:rsidP="00610471">
            <w:pPr>
              <w:rPr>
                <w:b/>
                <w:bCs/>
              </w:rPr>
            </w:pPr>
          </w:p>
        </w:tc>
      </w:tr>
      <w:tr w:rsidR="00B613B8" w14:paraId="67830CED" w14:textId="77777777" w:rsidTr="00213C5C">
        <w:tc>
          <w:tcPr>
            <w:tcW w:w="988" w:type="dxa"/>
          </w:tcPr>
          <w:p w14:paraId="18A3D41D" w14:textId="77777777" w:rsidR="00B613B8" w:rsidRDefault="00B613B8" w:rsidP="00610471">
            <w:pPr>
              <w:jc w:val="both"/>
              <w:rPr>
                <w:b/>
                <w:bCs/>
              </w:rPr>
            </w:pPr>
            <w:r>
              <w:rPr>
                <w:b/>
                <w:bCs/>
              </w:rPr>
              <w:t>3.</w:t>
            </w:r>
          </w:p>
        </w:tc>
        <w:tc>
          <w:tcPr>
            <w:tcW w:w="2746" w:type="dxa"/>
          </w:tcPr>
          <w:p w14:paraId="600D2DD5" w14:textId="5F52F598" w:rsidR="00B613B8" w:rsidRPr="00FC0601" w:rsidRDefault="00B613B8" w:rsidP="00610471">
            <w:pPr>
              <w:pStyle w:val="Default"/>
              <w:jc w:val="both"/>
              <w:rPr>
                <w:sz w:val="23"/>
                <w:szCs w:val="23"/>
              </w:rPr>
            </w:pPr>
            <w:r>
              <w:rPr>
                <w:sz w:val="23"/>
                <w:szCs w:val="23"/>
              </w:rPr>
              <w:t xml:space="preserve">Rezerves daļas un materiāli periodiskajām apkopēm (60 transportlīdzekļiem) </w:t>
            </w:r>
          </w:p>
        </w:tc>
        <w:tc>
          <w:tcPr>
            <w:tcW w:w="1868" w:type="dxa"/>
          </w:tcPr>
          <w:p w14:paraId="74A42CCA" w14:textId="0CA4B864" w:rsidR="00B613B8" w:rsidRDefault="00B613B8" w:rsidP="00610471">
            <w:pPr>
              <w:rPr>
                <w:b/>
                <w:bCs/>
              </w:rPr>
            </w:pPr>
            <w:r>
              <w:rPr>
                <w:sz w:val="23"/>
                <w:szCs w:val="23"/>
              </w:rPr>
              <w:t xml:space="preserve">60 </w:t>
            </w:r>
          </w:p>
        </w:tc>
        <w:tc>
          <w:tcPr>
            <w:tcW w:w="1868" w:type="dxa"/>
          </w:tcPr>
          <w:p w14:paraId="595732D3" w14:textId="26428495" w:rsidR="00B613B8" w:rsidRDefault="00B613B8" w:rsidP="00610471">
            <w:pPr>
              <w:rPr>
                <w:b/>
                <w:bCs/>
              </w:rPr>
            </w:pPr>
            <w:r>
              <w:rPr>
                <w:sz w:val="23"/>
                <w:szCs w:val="23"/>
              </w:rPr>
              <w:t xml:space="preserve">70 000 </w:t>
            </w:r>
          </w:p>
        </w:tc>
        <w:tc>
          <w:tcPr>
            <w:tcW w:w="1868" w:type="dxa"/>
          </w:tcPr>
          <w:p w14:paraId="0145A2CC" w14:textId="60E52111" w:rsidR="00B613B8" w:rsidRDefault="00B613B8" w:rsidP="00610471">
            <w:pPr>
              <w:rPr>
                <w:b/>
                <w:bCs/>
              </w:rPr>
            </w:pPr>
            <w:r>
              <w:rPr>
                <w:sz w:val="23"/>
                <w:szCs w:val="23"/>
              </w:rPr>
              <w:t xml:space="preserve">4 200 000 </w:t>
            </w:r>
          </w:p>
        </w:tc>
      </w:tr>
      <w:tr w:rsidR="00B613B8" w14:paraId="012ACEE5" w14:textId="77777777" w:rsidTr="00DA52CE">
        <w:tc>
          <w:tcPr>
            <w:tcW w:w="988" w:type="dxa"/>
          </w:tcPr>
          <w:p w14:paraId="2993CF5E" w14:textId="77777777" w:rsidR="00B613B8" w:rsidRDefault="00B613B8" w:rsidP="00610471">
            <w:pPr>
              <w:jc w:val="both"/>
              <w:rPr>
                <w:b/>
                <w:bCs/>
              </w:rPr>
            </w:pPr>
            <w:r>
              <w:rPr>
                <w:b/>
                <w:bCs/>
              </w:rPr>
              <w:t>4.</w:t>
            </w:r>
          </w:p>
        </w:tc>
        <w:tc>
          <w:tcPr>
            <w:tcW w:w="2746" w:type="dxa"/>
          </w:tcPr>
          <w:p w14:paraId="26872457" w14:textId="01F1D6DE" w:rsidR="00B613B8" w:rsidRPr="00FC0601" w:rsidRDefault="00B613B8" w:rsidP="00610471">
            <w:pPr>
              <w:pStyle w:val="Default"/>
              <w:jc w:val="both"/>
              <w:rPr>
                <w:sz w:val="23"/>
                <w:szCs w:val="23"/>
              </w:rPr>
            </w:pPr>
            <w:r>
              <w:rPr>
                <w:sz w:val="23"/>
                <w:szCs w:val="23"/>
              </w:rPr>
              <w:t xml:space="preserve">Rezerves daļu apgrozāmais fonds </w:t>
            </w:r>
          </w:p>
        </w:tc>
        <w:tc>
          <w:tcPr>
            <w:tcW w:w="1868" w:type="dxa"/>
          </w:tcPr>
          <w:p w14:paraId="2989D341" w14:textId="35CCC0B1" w:rsidR="00B613B8" w:rsidRDefault="00B613B8" w:rsidP="00610471">
            <w:pPr>
              <w:rPr>
                <w:b/>
                <w:bCs/>
              </w:rPr>
            </w:pPr>
            <w:r>
              <w:rPr>
                <w:sz w:val="23"/>
                <w:szCs w:val="23"/>
              </w:rPr>
              <w:t xml:space="preserve">X </w:t>
            </w:r>
          </w:p>
        </w:tc>
        <w:tc>
          <w:tcPr>
            <w:tcW w:w="1868" w:type="dxa"/>
          </w:tcPr>
          <w:p w14:paraId="277A408D" w14:textId="0B090911" w:rsidR="00B613B8" w:rsidRDefault="00B613B8" w:rsidP="00610471">
            <w:pPr>
              <w:rPr>
                <w:b/>
                <w:bCs/>
              </w:rPr>
            </w:pPr>
            <w:r>
              <w:rPr>
                <w:sz w:val="23"/>
                <w:szCs w:val="23"/>
              </w:rPr>
              <w:t xml:space="preserve">X </w:t>
            </w:r>
          </w:p>
        </w:tc>
        <w:tc>
          <w:tcPr>
            <w:tcW w:w="1868" w:type="dxa"/>
          </w:tcPr>
          <w:p w14:paraId="180B3632" w14:textId="74AD9595" w:rsidR="00B613B8" w:rsidRDefault="00B613B8" w:rsidP="00610471">
            <w:pPr>
              <w:rPr>
                <w:b/>
                <w:bCs/>
              </w:rPr>
            </w:pPr>
            <w:r>
              <w:rPr>
                <w:sz w:val="23"/>
                <w:szCs w:val="23"/>
              </w:rPr>
              <w:t xml:space="preserve">320 000 </w:t>
            </w:r>
          </w:p>
        </w:tc>
      </w:tr>
      <w:tr w:rsidR="00B613B8" w14:paraId="4BB7083E" w14:textId="77777777" w:rsidTr="004F3EA6">
        <w:tc>
          <w:tcPr>
            <w:tcW w:w="988" w:type="dxa"/>
          </w:tcPr>
          <w:p w14:paraId="624FD98B" w14:textId="77777777" w:rsidR="00B613B8" w:rsidRDefault="00B613B8" w:rsidP="00610471">
            <w:pPr>
              <w:jc w:val="both"/>
              <w:rPr>
                <w:b/>
                <w:bCs/>
              </w:rPr>
            </w:pPr>
            <w:r>
              <w:rPr>
                <w:b/>
                <w:bCs/>
              </w:rPr>
              <w:t>5.</w:t>
            </w:r>
          </w:p>
        </w:tc>
        <w:tc>
          <w:tcPr>
            <w:tcW w:w="2746" w:type="dxa"/>
          </w:tcPr>
          <w:p w14:paraId="2C5985BC" w14:textId="2281178B" w:rsidR="00B613B8" w:rsidRPr="00FC0601" w:rsidRDefault="00B613B8" w:rsidP="00610471">
            <w:pPr>
              <w:pStyle w:val="Default"/>
              <w:jc w:val="both"/>
              <w:rPr>
                <w:sz w:val="23"/>
                <w:szCs w:val="23"/>
              </w:rPr>
            </w:pPr>
            <w:r>
              <w:rPr>
                <w:sz w:val="23"/>
                <w:szCs w:val="23"/>
              </w:rPr>
              <w:t xml:space="preserve">Tehniskā dokumentācija </w:t>
            </w:r>
          </w:p>
        </w:tc>
        <w:tc>
          <w:tcPr>
            <w:tcW w:w="1868" w:type="dxa"/>
          </w:tcPr>
          <w:p w14:paraId="016C533E" w14:textId="4D70E871" w:rsidR="00B613B8" w:rsidRDefault="00B613B8" w:rsidP="00610471">
            <w:pPr>
              <w:rPr>
                <w:b/>
                <w:bCs/>
              </w:rPr>
            </w:pPr>
            <w:r>
              <w:rPr>
                <w:sz w:val="23"/>
                <w:szCs w:val="23"/>
              </w:rPr>
              <w:t xml:space="preserve">X </w:t>
            </w:r>
          </w:p>
        </w:tc>
        <w:tc>
          <w:tcPr>
            <w:tcW w:w="1868" w:type="dxa"/>
          </w:tcPr>
          <w:p w14:paraId="33C2321D" w14:textId="7F9212AF" w:rsidR="00B613B8" w:rsidRDefault="00B613B8" w:rsidP="00610471">
            <w:pPr>
              <w:rPr>
                <w:b/>
                <w:bCs/>
              </w:rPr>
            </w:pPr>
            <w:r>
              <w:rPr>
                <w:sz w:val="23"/>
                <w:szCs w:val="23"/>
              </w:rPr>
              <w:t xml:space="preserve">X </w:t>
            </w:r>
          </w:p>
        </w:tc>
        <w:tc>
          <w:tcPr>
            <w:tcW w:w="1868" w:type="dxa"/>
          </w:tcPr>
          <w:p w14:paraId="3C094C0B" w14:textId="21E3C966" w:rsidR="00B613B8" w:rsidRDefault="00B613B8" w:rsidP="00610471">
            <w:pPr>
              <w:rPr>
                <w:b/>
                <w:bCs/>
              </w:rPr>
            </w:pPr>
            <w:r>
              <w:rPr>
                <w:sz w:val="23"/>
                <w:szCs w:val="23"/>
              </w:rPr>
              <w:t xml:space="preserve">190 000 </w:t>
            </w:r>
          </w:p>
        </w:tc>
      </w:tr>
      <w:tr w:rsidR="00B613B8" w14:paraId="779B4D4A" w14:textId="77777777" w:rsidTr="00B41F07">
        <w:tc>
          <w:tcPr>
            <w:tcW w:w="988" w:type="dxa"/>
          </w:tcPr>
          <w:p w14:paraId="47C40432" w14:textId="77777777" w:rsidR="00B613B8" w:rsidRDefault="00B613B8" w:rsidP="00610471">
            <w:pPr>
              <w:jc w:val="both"/>
              <w:rPr>
                <w:b/>
                <w:bCs/>
              </w:rPr>
            </w:pPr>
            <w:r>
              <w:rPr>
                <w:b/>
                <w:bCs/>
              </w:rPr>
              <w:t>6.</w:t>
            </w:r>
          </w:p>
        </w:tc>
        <w:tc>
          <w:tcPr>
            <w:tcW w:w="2746" w:type="dxa"/>
          </w:tcPr>
          <w:p w14:paraId="45E1CB8E" w14:textId="16B1754C" w:rsidR="00B613B8" w:rsidRPr="00FC0601" w:rsidRDefault="00B613B8" w:rsidP="00610471">
            <w:pPr>
              <w:pStyle w:val="Default"/>
              <w:jc w:val="both"/>
              <w:rPr>
                <w:sz w:val="23"/>
                <w:szCs w:val="23"/>
              </w:rPr>
            </w:pPr>
            <w:r>
              <w:rPr>
                <w:sz w:val="23"/>
                <w:szCs w:val="23"/>
              </w:rPr>
              <w:t xml:space="preserve">Apmācība Pasūtītāja tehniskajam personālam </w:t>
            </w:r>
          </w:p>
        </w:tc>
        <w:tc>
          <w:tcPr>
            <w:tcW w:w="1868" w:type="dxa"/>
          </w:tcPr>
          <w:p w14:paraId="024AD4D1" w14:textId="30ED8F9F" w:rsidR="00B613B8" w:rsidRDefault="00B613B8" w:rsidP="00610471">
            <w:pPr>
              <w:rPr>
                <w:b/>
                <w:bCs/>
              </w:rPr>
            </w:pPr>
            <w:r>
              <w:rPr>
                <w:sz w:val="23"/>
                <w:szCs w:val="23"/>
              </w:rPr>
              <w:t xml:space="preserve">X </w:t>
            </w:r>
          </w:p>
        </w:tc>
        <w:tc>
          <w:tcPr>
            <w:tcW w:w="1868" w:type="dxa"/>
          </w:tcPr>
          <w:p w14:paraId="0BD2FB52" w14:textId="24AB8448" w:rsidR="00B613B8" w:rsidRDefault="00B613B8" w:rsidP="00610471">
            <w:pPr>
              <w:rPr>
                <w:b/>
                <w:bCs/>
              </w:rPr>
            </w:pPr>
            <w:r>
              <w:rPr>
                <w:sz w:val="23"/>
                <w:szCs w:val="23"/>
              </w:rPr>
              <w:t xml:space="preserve">X </w:t>
            </w:r>
          </w:p>
        </w:tc>
        <w:tc>
          <w:tcPr>
            <w:tcW w:w="1868" w:type="dxa"/>
          </w:tcPr>
          <w:p w14:paraId="38001E68" w14:textId="62FE7680" w:rsidR="00B613B8" w:rsidRDefault="00B613B8" w:rsidP="00610471">
            <w:pPr>
              <w:rPr>
                <w:b/>
                <w:bCs/>
              </w:rPr>
            </w:pPr>
            <w:r>
              <w:rPr>
                <w:sz w:val="23"/>
                <w:szCs w:val="23"/>
              </w:rPr>
              <w:t xml:space="preserve">175 000 </w:t>
            </w:r>
          </w:p>
        </w:tc>
      </w:tr>
      <w:tr w:rsidR="00616469" w14:paraId="1D4329E4" w14:textId="77777777" w:rsidTr="00CD4B10">
        <w:tc>
          <w:tcPr>
            <w:tcW w:w="988" w:type="dxa"/>
          </w:tcPr>
          <w:p w14:paraId="1BF118C8" w14:textId="77777777" w:rsidR="00616469" w:rsidRDefault="00616469" w:rsidP="00610471">
            <w:pPr>
              <w:jc w:val="both"/>
              <w:rPr>
                <w:b/>
                <w:bCs/>
              </w:rPr>
            </w:pPr>
            <w:r>
              <w:rPr>
                <w:b/>
                <w:bCs/>
              </w:rPr>
              <w:t>7.</w:t>
            </w:r>
          </w:p>
        </w:tc>
        <w:tc>
          <w:tcPr>
            <w:tcW w:w="2746" w:type="dxa"/>
          </w:tcPr>
          <w:p w14:paraId="0B505EBE" w14:textId="63023F91" w:rsidR="00616469" w:rsidRPr="00FC0601" w:rsidRDefault="00616469" w:rsidP="00610471">
            <w:pPr>
              <w:pStyle w:val="Default"/>
              <w:jc w:val="both"/>
              <w:rPr>
                <w:sz w:val="23"/>
                <w:szCs w:val="23"/>
              </w:rPr>
            </w:pPr>
            <w:r>
              <w:rPr>
                <w:sz w:val="23"/>
                <w:szCs w:val="23"/>
              </w:rPr>
              <w:t xml:space="preserve">Apmācība Pasūtītāja autovadītājiem </w:t>
            </w:r>
          </w:p>
        </w:tc>
        <w:tc>
          <w:tcPr>
            <w:tcW w:w="1868" w:type="dxa"/>
          </w:tcPr>
          <w:p w14:paraId="254F4756" w14:textId="684D878C" w:rsidR="00616469" w:rsidRDefault="00616469" w:rsidP="00610471">
            <w:pPr>
              <w:rPr>
                <w:b/>
                <w:bCs/>
              </w:rPr>
            </w:pPr>
            <w:r>
              <w:rPr>
                <w:sz w:val="23"/>
                <w:szCs w:val="23"/>
              </w:rPr>
              <w:t xml:space="preserve">X </w:t>
            </w:r>
          </w:p>
        </w:tc>
        <w:tc>
          <w:tcPr>
            <w:tcW w:w="1868" w:type="dxa"/>
          </w:tcPr>
          <w:p w14:paraId="6D707D70" w14:textId="0155F8F4" w:rsidR="00616469" w:rsidRDefault="00616469" w:rsidP="00610471">
            <w:pPr>
              <w:rPr>
                <w:b/>
                <w:bCs/>
              </w:rPr>
            </w:pPr>
            <w:r>
              <w:rPr>
                <w:sz w:val="23"/>
                <w:szCs w:val="23"/>
              </w:rPr>
              <w:t xml:space="preserve">X </w:t>
            </w:r>
          </w:p>
        </w:tc>
        <w:tc>
          <w:tcPr>
            <w:tcW w:w="1868" w:type="dxa"/>
          </w:tcPr>
          <w:p w14:paraId="0F8931AB" w14:textId="5A3C5C1D" w:rsidR="00616469" w:rsidRDefault="00616469" w:rsidP="00610471">
            <w:pPr>
              <w:rPr>
                <w:b/>
                <w:bCs/>
              </w:rPr>
            </w:pPr>
            <w:r>
              <w:rPr>
                <w:sz w:val="23"/>
                <w:szCs w:val="23"/>
              </w:rPr>
              <w:t xml:space="preserve">265 000 </w:t>
            </w:r>
          </w:p>
        </w:tc>
      </w:tr>
      <w:tr w:rsidR="00847FAC" w14:paraId="7070A625" w14:textId="77777777" w:rsidTr="00956FA5">
        <w:tc>
          <w:tcPr>
            <w:tcW w:w="988" w:type="dxa"/>
          </w:tcPr>
          <w:p w14:paraId="0EE21D30" w14:textId="77777777" w:rsidR="00847FAC" w:rsidRDefault="00847FAC" w:rsidP="00610471">
            <w:pPr>
              <w:jc w:val="both"/>
              <w:rPr>
                <w:b/>
                <w:bCs/>
              </w:rPr>
            </w:pPr>
          </w:p>
        </w:tc>
        <w:tc>
          <w:tcPr>
            <w:tcW w:w="2746" w:type="dxa"/>
          </w:tcPr>
          <w:p w14:paraId="138665AD" w14:textId="77777777" w:rsidR="00847FAC" w:rsidRPr="00FC0601" w:rsidRDefault="00847FAC" w:rsidP="00610471">
            <w:pPr>
              <w:pStyle w:val="Default"/>
              <w:jc w:val="both"/>
              <w:rPr>
                <w:sz w:val="23"/>
                <w:szCs w:val="23"/>
              </w:rPr>
            </w:pPr>
            <w:r>
              <w:rPr>
                <w:sz w:val="23"/>
                <w:szCs w:val="23"/>
              </w:rPr>
              <w:t xml:space="preserve">Kopsumma (EUR bez PVN): </w:t>
            </w:r>
          </w:p>
        </w:tc>
        <w:tc>
          <w:tcPr>
            <w:tcW w:w="1868" w:type="dxa"/>
            <w:vAlign w:val="center"/>
          </w:tcPr>
          <w:p w14:paraId="25F749E8" w14:textId="77777777" w:rsidR="00847FAC" w:rsidRDefault="00847FAC" w:rsidP="00610471">
            <w:pPr>
              <w:rPr>
                <w:b/>
                <w:bCs/>
              </w:rPr>
            </w:pPr>
          </w:p>
        </w:tc>
        <w:tc>
          <w:tcPr>
            <w:tcW w:w="1868" w:type="dxa"/>
            <w:vAlign w:val="center"/>
          </w:tcPr>
          <w:p w14:paraId="1ADB1BA1" w14:textId="77777777" w:rsidR="00847FAC" w:rsidRDefault="00847FAC" w:rsidP="00610471">
            <w:pPr>
              <w:rPr>
                <w:b/>
                <w:bCs/>
              </w:rPr>
            </w:pPr>
          </w:p>
        </w:tc>
        <w:tc>
          <w:tcPr>
            <w:tcW w:w="1868" w:type="dxa"/>
            <w:vAlign w:val="center"/>
          </w:tcPr>
          <w:p w14:paraId="62BFBADD" w14:textId="5E9656A6" w:rsidR="00847FAC" w:rsidRPr="0087586F" w:rsidRDefault="00616469" w:rsidP="00610471">
            <w:pPr>
              <w:pStyle w:val="Default"/>
              <w:rPr>
                <w:sz w:val="23"/>
                <w:szCs w:val="23"/>
              </w:rPr>
            </w:pPr>
            <w:r>
              <w:rPr>
                <w:sz w:val="23"/>
                <w:szCs w:val="23"/>
              </w:rPr>
              <w:t xml:space="preserve">35 150 000 </w:t>
            </w:r>
          </w:p>
        </w:tc>
      </w:tr>
    </w:tbl>
    <w:p w14:paraId="6D852D64" w14:textId="77777777" w:rsidR="00847FAC" w:rsidRDefault="00847FAC" w:rsidP="00610471">
      <w:pPr>
        <w:jc w:val="both"/>
        <w:rPr>
          <w:b/>
          <w:bCs/>
        </w:rPr>
      </w:pPr>
    </w:p>
    <w:p w14:paraId="130B5C3E" w14:textId="77777777" w:rsidR="003C665B" w:rsidRPr="003C665B" w:rsidRDefault="003C665B" w:rsidP="00610471">
      <w:pPr>
        <w:jc w:val="both"/>
      </w:pPr>
      <w:r w:rsidRPr="003C665B">
        <w:t xml:space="preserve">Pieņemam, ka pēdējā autobusa piegādes datums saskaņā ar Piegādes grafiku 2. daļā ir 30.11.2027. </w:t>
      </w:r>
    </w:p>
    <w:p w14:paraId="4F4EC9C8" w14:textId="77777777" w:rsidR="003C6218" w:rsidRDefault="003C6218" w:rsidP="00610471">
      <w:pPr>
        <w:jc w:val="both"/>
      </w:pPr>
    </w:p>
    <w:p w14:paraId="5707D235" w14:textId="32B4708E" w:rsidR="003C665B" w:rsidRPr="003C665B" w:rsidRDefault="003C665B" w:rsidP="00610471">
      <w:pPr>
        <w:jc w:val="both"/>
      </w:pPr>
      <w:r w:rsidRPr="003C665B">
        <w:t>Pamatojoties uz augstāk norādītajām paraugcenām, lūdzam Pasūtītāju ar skaidrojumiem un soli pa solim aprēķiniem parādīt: 1) kādā kopējā summā līguma izpildes nodrošinājums jāiesniedz katrā iepirkuma daļā; 2) kuras tieši Finanšu piedāvājuma pozīcijas un kādā apmērā tiek iekļautas šajā summā un kā tās aprēķinātas; 3) uz kādu konkrētu datumu (spēkā esamības termiņu) garantija ir izsniedzama. Lūgto piemēru aprēķini nodrošinās vienlīdzīgu izpratni starp pretendentiem un atvieglos garantijas devēju (banku un apdrošināšanas sabiedrību) attiecīgās garantijas formas sagatavošanu, jo no šī aprēķina precizitātes ir tieši atkarīga piedāvājuma kopējā cena un garantijas izsniegšanas iespējamība.</w:t>
      </w:r>
    </w:p>
    <w:p w14:paraId="5AE584BA" w14:textId="77777777" w:rsidR="003C665B" w:rsidRDefault="003C665B" w:rsidP="00610471">
      <w:pPr>
        <w:jc w:val="both"/>
        <w:rPr>
          <w:b/>
          <w:bCs/>
        </w:rPr>
      </w:pPr>
    </w:p>
    <w:p w14:paraId="5B8BA397" w14:textId="7DE58524" w:rsidR="00193BC9" w:rsidRPr="008365EC" w:rsidRDefault="00931A18" w:rsidP="00610471">
      <w:pPr>
        <w:jc w:val="both"/>
        <w:rPr>
          <w:b/>
          <w:bCs/>
        </w:rPr>
      </w:pPr>
      <w:r>
        <w:rPr>
          <w:b/>
          <w:bCs/>
        </w:rPr>
        <w:t>19</w:t>
      </w:r>
      <w:r w:rsidR="00193BC9" w:rsidRPr="008365EC">
        <w:rPr>
          <w:b/>
          <w:bCs/>
        </w:rPr>
        <w:t>.atbilde:</w:t>
      </w:r>
    </w:p>
    <w:p w14:paraId="43B54B45" w14:textId="372EE8A0" w:rsidR="00C83F42" w:rsidRPr="00C83F42" w:rsidRDefault="00C83F42" w:rsidP="00610471">
      <w:pPr>
        <w:ind w:firstLine="720"/>
        <w:jc w:val="both"/>
      </w:pPr>
      <w:r w:rsidRPr="00C83F42">
        <w:t xml:space="preserve">Pasūtītājs skaidro, ka līguma izpildes nodrošinājuma </w:t>
      </w:r>
      <w:r w:rsidR="00B07D67">
        <w:t>nosacījumi noteikti</w:t>
      </w:r>
      <w:r w:rsidR="00A8692B">
        <w:t xml:space="preserve"> iepirkuma procedūras Nolikuma</w:t>
      </w:r>
      <w:r w:rsidR="000316A6">
        <w:t xml:space="preserve"> 6.1.pielikumā</w:t>
      </w:r>
      <w:r w:rsidR="00100167">
        <w:t xml:space="preserve"> (iepirkuma priekšmeta 1.daļa) un 6.2.pielikumā (iepirkuma priekšmeta 2.daļai)</w:t>
      </w:r>
      <w:r w:rsidR="000316A6">
        <w:t xml:space="preserve"> pievienot</w:t>
      </w:r>
      <w:r w:rsidR="00B07D67">
        <w:t>o</w:t>
      </w:r>
      <w:r w:rsidR="000316A6">
        <w:t xml:space="preserve"> </w:t>
      </w:r>
      <w:r w:rsidR="00B07D67">
        <w:t xml:space="preserve">Līgumu projektu </w:t>
      </w:r>
      <w:r w:rsidR="00566466">
        <w:t>5.</w:t>
      </w:r>
      <w:r w:rsidR="00B07D67" w:rsidDel="00B07D67">
        <w:t xml:space="preserve"> </w:t>
      </w:r>
      <w:r w:rsidR="003F4543">
        <w:t>punkt</w:t>
      </w:r>
      <w:r w:rsidR="00B07D67">
        <w:t xml:space="preserve">ā. Nolikuma 7.8.punkts tiks dzēsts. Lūdzam skatīt grozījumus, </w:t>
      </w:r>
      <w:r w:rsidR="00B07D67" w:rsidRPr="00B07D67">
        <w:t>kas publicēti www.eis.gov.lv un www.rigassatiksme.lv</w:t>
      </w:r>
      <w:r w:rsidR="00B07D67">
        <w:t xml:space="preserve">. </w:t>
      </w:r>
      <w:r w:rsidRPr="00C83F42">
        <w:t xml:space="preserve"> </w:t>
      </w:r>
    </w:p>
    <w:p w14:paraId="73062414" w14:textId="77777777" w:rsidR="00994B21" w:rsidRDefault="00994B21" w:rsidP="00610471">
      <w:pPr>
        <w:ind w:firstLine="720"/>
        <w:jc w:val="both"/>
        <w:rPr>
          <w:b/>
          <w:bCs/>
        </w:rPr>
      </w:pPr>
    </w:p>
    <w:p w14:paraId="0220ABF0" w14:textId="77777777" w:rsidR="00994B21" w:rsidRDefault="00994B21" w:rsidP="00610471">
      <w:pPr>
        <w:ind w:firstLine="720"/>
        <w:jc w:val="both"/>
        <w:rPr>
          <w:b/>
          <w:bCs/>
        </w:rPr>
      </w:pPr>
    </w:p>
    <w:p w14:paraId="66C7BB9B" w14:textId="4BBAB98C" w:rsidR="00193BC9" w:rsidRPr="008365EC" w:rsidRDefault="00931A18" w:rsidP="00610471">
      <w:pPr>
        <w:jc w:val="both"/>
        <w:rPr>
          <w:b/>
          <w:bCs/>
        </w:rPr>
      </w:pPr>
      <w:r>
        <w:rPr>
          <w:b/>
          <w:bCs/>
        </w:rPr>
        <w:t>20</w:t>
      </w:r>
      <w:r w:rsidR="00193BC9" w:rsidRPr="008365EC">
        <w:rPr>
          <w:b/>
          <w:bCs/>
        </w:rPr>
        <w:t>.jautājums:</w:t>
      </w:r>
    </w:p>
    <w:p w14:paraId="68407A05" w14:textId="77777777" w:rsidR="00201545" w:rsidRPr="00201545" w:rsidRDefault="00201545" w:rsidP="00610471">
      <w:pPr>
        <w:jc w:val="both"/>
      </w:pPr>
      <w:r w:rsidRPr="00201545">
        <w:t xml:space="preserve">Nolikuma 15.2. punkts paredz, ka, ja pretendents iesniedz piedāvājumu attiecībā uz iepirkuma priekšmeta 1. vai 2. daļu, pretendenta minimālais gada finanšu (neto) apgrozījums pēdējo trīs noslēgto finanšu gadu laikā nav bijis mazāks par 30 000 000 eiro, un 15.3. punkts attiecīgi nosaka 60 000 000 eiro abām daļām. Formulējums „minimālais gada finanšu apgrozījums pēdējo trīs noslēgto finanšu gadu laikā” pieļauj divas atšķirīgas interpretācijas. </w:t>
      </w:r>
    </w:p>
    <w:p w14:paraId="0C95FEB1" w14:textId="77777777" w:rsidR="00201545" w:rsidRPr="00201545" w:rsidRDefault="00201545" w:rsidP="00610471">
      <w:pPr>
        <w:jc w:val="both"/>
      </w:pPr>
      <w:r w:rsidRPr="00201545">
        <w:t xml:space="preserve">Pirmais interpretācijas variants - prasība, lai apgrozījums katrā no pēdējiem trīs gadiem atsevišķi nav bijis mazāks par 30 vai 60 miljoniem eiro, kas nozīmē, ka katru gadu pretendentam ir jāatbilst sliekšņa prasībai. Otrais interpretācijas variants - prasība, lai pēdējo trīs gadu summārais apgrozījums kopā nav bijis mazāks par 30 vai 60 miljoniem eiro, kas nozīmē, ka vienā vai vairākos gados apgrozījums var būt mazāks, ja vidējais līmenis atbilst slieksnim. </w:t>
      </w:r>
    </w:p>
    <w:p w14:paraId="00374CC6" w14:textId="715893DB" w:rsidR="00193BC9" w:rsidRPr="00201545" w:rsidRDefault="00201545" w:rsidP="00610471">
      <w:pPr>
        <w:jc w:val="both"/>
      </w:pPr>
      <w:r w:rsidRPr="00201545">
        <w:lastRenderedPageBreak/>
        <w:t>Atšķirības starp šīm interpretācijām ir būtiskas pretendentu loka noteikšanā. Tādēļ lūdzam Pasūtītāju precizēt, kura no interpretācijām ir piemērojama - vai apgrozījuma prasība jāizpilda katrā no pēdējiem trim noslēgtajiem finanšu gadiem atsevišķi, vai pietiek ar to, ka pēdējo trīs gadu summārais apgrozījums sasniedz attiecīgo slieksni?</w:t>
      </w:r>
    </w:p>
    <w:p w14:paraId="6488EC1E" w14:textId="77777777" w:rsidR="00193BC9" w:rsidRPr="008365EC" w:rsidRDefault="00193BC9" w:rsidP="00610471">
      <w:pPr>
        <w:jc w:val="both"/>
        <w:rPr>
          <w:b/>
          <w:bCs/>
        </w:rPr>
      </w:pPr>
    </w:p>
    <w:p w14:paraId="73D730D6" w14:textId="0AB413E2" w:rsidR="00193BC9" w:rsidRPr="008365EC" w:rsidRDefault="00931A18" w:rsidP="00610471">
      <w:pPr>
        <w:jc w:val="both"/>
        <w:rPr>
          <w:b/>
          <w:bCs/>
        </w:rPr>
      </w:pPr>
      <w:r>
        <w:rPr>
          <w:b/>
          <w:bCs/>
        </w:rPr>
        <w:t>20</w:t>
      </w:r>
      <w:r w:rsidR="00193BC9" w:rsidRPr="008365EC">
        <w:rPr>
          <w:b/>
          <w:bCs/>
        </w:rPr>
        <w:t>.atbilde:</w:t>
      </w:r>
    </w:p>
    <w:p w14:paraId="5BBF8EA5" w14:textId="77777777" w:rsidR="002A7D36" w:rsidRDefault="00FE246D" w:rsidP="00610471">
      <w:pPr>
        <w:ind w:firstLine="720"/>
        <w:jc w:val="both"/>
        <w:outlineLvl w:val="0"/>
      </w:pPr>
      <w:r w:rsidRPr="00FE246D">
        <w:t xml:space="preserve">Pasūtītājs skaidro, ka nolikuma 15.2. un 15.3. punktā noteiktā prasība attiecas uz minimālo gada finanšu (neto) apgrozījumu </w:t>
      </w:r>
      <w:r w:rsidRPr="002E5D03">
        <w:rPr>
          <w:b/>
          <w:bCs/>
          <w:u w:val="single"/>
        </w:rPr>
        <w:t>katrā</w:t>
      </w:r>
      <w:r w:rsidRPr="00FE246D">
        <w:t xml:space="preserve"> no pēdējiem trim noslēgtajiem finanšu gadiem atsevišķi.</w:t>
      </w:r>
    </w:p>
    <w:p w14:paraId="45D20673" w14:textId="6658E4D0" w:rsidR="00FE246D" w:rsidRPr="00FE246D" w:rsidRDefault="00FE246D" w:rsidP="00610471">
      <w:pPr>
        <w:ind w:firstLine="720"/>
        <w:jc w:val="both"/>
        <w:outlineLvl w:val="0"/>
      </w:pPr>
      <w:r w:rsidRPr="00FE246D">
        <w:t>Attiecīgi</w:t>
      </w:r>
      <w:r w:rsidR="002A7D36">
        <w:t>, Pasūtītājs paskaidro</w:t>
      </w:r>
      <w:r w:rsidRPr="00FE246D">
        <w:t>:</w:t>
      </w:r>
    </w:p>
    <w:p w14:paraId="254E3ED3" w14:textId="77777777" w:rsidR="00FE246D" w:rsidRPr="00FE246D" w:rsidRDefault="00FE246D" w:rsidP="00610471">
      <w:pPr>
        <w:numPr>
          <w:ilvl w:val="0"/>
          <w:numId w:val="10"/>
        </w:numPr>
        <w:jc w:val="both"/>
        <w:outlineLvl w:val="0"/>
      </w:pPr>
      <w:r w:rsidRPr="00FE246D">
        <w:t>ja pretendents iesniedz piedāvājumu attiecībā uz iepirkuma priekšmeta 1. vai 2. daļu, pretendenta neto apgrozījumam katrā no pēdējiem trim noslēgtajiem finanšu gadiem jābūt ne mazākam par 30 000 000 EUR;</w:t>
      </w:r>
    </w:p>
    <w:p w14:paraId="45CCDE59" w14:textId="77777777" w:rsidR="00FE246D" w:rsidRPr="00FE246D" w:rsidRDefault="00FE246D" w:rsidP="00610471">
      <w:pPr>
        <w:numPr>
          <w:ilvl w:val="0"/>
          <w:numId w:val="10"/>
        </w:numPr>
        <w:jc w:val="both"/>
        <w:outlineLvl w:val="0"/>
      </w:pPr>
      <w:r w:rsidRPr="00FE246D">
        <w:t>ja pretendents iesniedz piedāvājumu attiecībā uz abām iepirkuma priekšmeta daļām, pretendenta neto apgrozījumam katrā no pēdējiem trim noslēgtajiem finanšu gadiem jābūt ne mazākam par 60 000 000 EUR.</w:t>
      </w:r>
    </w:p>
    <w:p w14:paraId="39A6A92A" w14:textId="77777777" w:rsidR="00201545" w:rsidRDefault="00201545" w:rsidP="00610471">
      <w:pPr>
        <w:jc w:val="both"/>
        <w:outlineLvl w:val="0"/>
      </w:pPr>
    </w:p>
    <w:p w14:paraId="2E31121C" w14:textId="77777777" w:rsidR="00201545" w:rsidRDefault="00201545" w:rsidP="00610471">
      <w:pPr>
        <w:jc w:val="both"/>
        <w:outlineLvl w:val="0"/>
      </w:pPr>
    </w:p>
    <w:p w14:paraId="23E17EF2" w14:textId="4AC96430" w:rsidR="00931A18" w:rsidRPr="008365EC" w:rsidRDefault="00931A18" w:rsidP="00610471">
      <w:pPr>
        <w:jc w:val="both"/>
        <w:rPr>
          <w:b/>
          <w:bCs/>
        </w:rPr>
      </w:pPr>
      <w:r>
        <w:rPr>
          <w:b/>
          <w:bCs/>
        </w:rPr>
        <w:t>21</w:t>
      </w:r>
      <w:r w:rsidRPr="008365EC">
        <w:rPr>
          <w:b/>
          <w:bCs/>
        </w:rPr>
        <w:t>.jautājums:</w:t>
      </w:r>
    </w:p>
    <w:p w14:paraId="646CF6CE" w14:textId="77777777" w:rsidR="00201545" w:rsidRPr="00201545" w:rsidRDefault="00201545" w:rsidP="00610471">
      <w:pPr>
        <w:ind w:firstLine="720"/>
        <w:jc w:val="both"/>
      </w:pPr>
      <w:r w:rsidRPr="00201545">
        <w:t xml:space="preserve">Nolikuma 37. punkts paredz, ka, ja pretendents ir apvienība, apvienības dalībniekiem pirms iepirkuma līguma noslēgšanas jāizveido personālsabiedrība (pilnsabiedrība), kurai jābūt reģistrētai Latvijas Republikas Uzņēmumu reģistrā vai attiecīgā ārvalsts reģistrā un jāiesniedz Pasūtītājam personālsabiedrības dibināšanas līguma kopija vai arī jānoslēdz sabiedrības līgums, vienojoties par apvienības dalībnieku atbildības sadalījumu, kurš jāiesniedz Pasūtītājam. Punkta formulējums izmanto saikli „vai”, no kura izriet, ka pretendentam ir izvēle starp diviem alternatīviem risinājumiem. </w:t>
      </w:r>
    </w:p>
    <w:p w14:paraId="43452E0D" w14:textId="77777777" w:rsidR="00201545" w:rsidRPr="00201545" w:rsidRDefault="00201545" w:rsidP="00610471">
      <w:pPr>
        <w:ind w:firstLine="720"/>
        <w:jc w:val="both"/>
      </w:pPr>
      <w:r w:rsidRPr="00201545">
        <w:t xml:space="preserve">Lai pretendents varētu savlaicīgi un pareizi sagatavot piegādātāju apvienības struktūru jau piedāvājuma izstrādes stadijā, ir nepieciešama vienota izpratne par šo izvēles brīvību. Pirmkārt, lūdzam apstiprināt, ka pretendentam pēc savas izvēles ir tiesības izvēlēties tikai sabiedrības līguma noslēgšanu bez personālsabiedrības (pilnsabiedrības) izveides un reģistrācijas uzņēmumu reģistrā, ja sabiedrības līgumā skaidri noteikts apvienības dalībnieku atbildības sadalījums un, ka šāds risinājums tiek pieņemts kā līdzvērtīga alternatīva reģistrētai pilnsabiedrībai Pasūtītāja izpratnē. </w:t>
      </w:r>
    </w:p>
    <w:p w14:paraId="5004942B" w14:textId="77777777" w:rsidR="00201545" w:rsidRPr="00201545" w:rsidRDefault="00201545" w:rsidP="00610471">
      <w:pPr>
        <w:ind w:firstLine="720"/>
        <w:jc w:val="both"/>
      </w:pPr>
      <w:r w:rsidRPr="00201545">
        <w:t xml:space="preserve">Otrkārt, lūdzam apstiprināt, ka gadījumā, ja pretendents izvēlas izveidot un reģistrēt personālsabiedrību (pilnsabiedrību), ir pieļaujama šādas personālsabiedrības dibināšana un reģistrācija ārvalsts uzņēmumu reģistrā saskaņā ar attiecīgās ārvalsts normatīvajiem aktiem (nevis Latvijas Republikas Uzņēmumu reģistrā un saskaņā ar Latvijas Republikas Komerclikuma normām), tostarp arī tādā gadījumā, ja apvienībā ietilpst Latvijas Republikā reģistrēts dalībnieks. </w:t>
      </w:r>
    </w:p>
    <w:p w14:paraId="5AB52197" w14:textId="77777777" w:rsidR="00201545" w:rsidRPr="00C634CD" w:rsidRDefault="00201545" w:rsidP="00610471">
      <w:pPr>
        <w:ind w:firstLine="720"/>
        <w:jc w:val="both"/>
      </w:pPr>
      <w:r w:rsidRPr="00201545">
        <w:t>Treškārt, lūdzam apstiprināt, ka gadījumā, ja pretendents izvēlas otro 37. punkta alternatīvu - sabiedrības līguma noslēgšanu bez personālsabiedrības reģistrācijas - šādu sabiedrības līgumu ir pieļaujams slēgt saskaņā ar ārvalsts normatīvajiem aktiem (piemēram, atbilstoši kāda apvienības dalībnieka reģistrācijas valsts tiesību normām par sabiedrības līgumiem), un tas tiek atzīts par 37. punkta prasībām atbilstošu, ja vien tajā skaidri noteikts apvienības dalībnieku atbildības sadalījums iepirkuma līguma izpildē.</w:t>
      </w:r>
    </w:p>
    <w:p w14:paraId="69B4C661" w14:textId="77777777" w:rsidR="00931A18" w:rsidRPr="008365EC" w:rsidRDefault="00931A18" w:rsidP="00610471">
      <w:pPr>
        <w:jc w:val="both"/>
        <w:rPr>
          <w:b/>
          <w:bCs/>
        </w:rPr>
      </w:pPr>
    </w:p>
    <w:p w14:paraId="572B63A9" w14:textId="46C463C3" w:rsidR="00931A18" w:rsidRDefault="00931A18" w:rsidP="00610471">
      <w:pPr>
        <w:jc w:val="both"/>
        <w:rPr>
          <w:b/>
          <w:bCs/>
        </w:rPr>
      </w:pPr>
      <w:r>
        <w:rPr>
          <w:b/>
          <w:bCs/>
        </w:rPr>
        <w:t>21</w:t>
      </w:r>
      <w:r w:rsidRPr="008365EC">
        <w:rPr>
          <w:b/>
          <w:bCs/>
        </w:rPr>
        <w:t>.atbilde:</w:t>
      </w:r>
    </w:p>
    <w:p w14:paraId="22BAC726" w14:textId="7C6E8B38" w:rsidR="00444D23" w:rsidRDefault="00F545FA" w:rsidP="00610471">
      <w:pPr>
        <w:jc w:val="both"/>
        <w:rPr>
          <w:b/>
          <w:bCs/>
        </w:rPr>
      </w:pPr>
      <w:r>
        <w:rPr>
          <w:b/>
          <w:bCs/>
        </w:rPr>
        <w:t>Par jautājuma 1.daļu</w:t>
      </w:r>
    </w:p>
    <w:p w14:paraId="7B550B8E" w14:textId="1B8DC136" w:rsidR="0086774D" w:rsidRPr="0086774D" w:rsidRDefault="0086774D" w:rsidP="00610471">
      <w:pPr>
        <w:ind w:firstLine="720"/>
        <w:jc w:val="both"/>
      </w:pPr>
      <w:r w:rsidRPr="0086774D">
        <w:t xml:space="preserve">Pasūtītājs </w:t>
      </w:r>
      <w:r w:rsidRPr="00A82CBA">
        <w:t>skaidro</w:t>
      </w:r>
      <w:r w:rsidRPr="0086774D">
        <w:t>, ka nolikuma 37. punktā paredzētie risinājumi ir alternatīvi, un pretendentam ir tiesības pēc savas izvēles:</w:t>
      </w:r>
    </w:p>
    <w:p w14:paraId="08A94A3D" w14:textId="77777777" w:rsidR="0086774D" w:rsidRPr="0086774D" w:rsidRDefault="0086774D" w:rsidP="00610471">
      <w:pPr>
        <w:numPr>
          <w:ilvl w:val="0"/>
          <w:numId w:val="12"/>
        </w:numPr>
        <w:tabs>
          <w:tab w:val="clear" w:pos="720"/>
          <w:tab w:val="num" w:pos="426"/>
        </w:tabs>
        <w:ind w:left="1276"/>
        <w:jc w:val="both"/>
      </w:pPr>
      <w:r w:rsidRPr="0086774D">
        <w:t>vai nu izveidot personālsabiedrību (pilnsabiedrību) un iesniegt tās dibināšanas līguma kopiju,</w:t>
      </w:r>
    </w:p>
    <w:p w14:paraId="6191BF2E" w14:textId="77777777" w:rsidR="0086774D" w:rsidRPr="0086774D" w:rsidRDefault="0086774D" w:rsidP="00610471">
      <w:pPr>
        <w:numPr>
          <w:ilvl w:val="0"/>
          <w:numId w:val="12"/>
        </w:numPr>
        <w:tabs>
          <w:tab w:val="clear" w:pos="720"/>
          <w:tab w:val="num" w:pos="426"/>
        </w:tabs>
        <w:ind w:left="1276"/>
        <w:jc w:val="both"/>
      </w:pPr>
      <w:r w:rsidRPr="0086774D">
        <w:t>vai noslēgt sabiedrības līgumu, vienojoties par apvienības dalībnieku atbildības sadalījumu, iesniedzot attiecīgo līgumu Pasūtītājam.</w:t>
      </w:r>
    </w:p>
    <w:p w14:paraId="2F602A51" w14:textId="32F8B376" w:rsidR="0086774D" w:rsidRPr="00A82CBA" w:rsidRDefault="0086774D" w:rsidP="00610471">
      <w:pPr>
        <w:ind w:firstLine="720"/>
        <w:jc w:val="both"/>
      </w:pPr>
      <w:r w:rsidRPr="0086774D">
        <w:lastRenderedPageBreak/>
        <w:t>Attiecīgi personālsabiedrības (pilnsabiedrības) izveide un reģistrācija nav obligāta, ja apvienības dalībnieki ir noslēguši sabiedrības līgumu, kurā nepārprotami noteikts apvienības dalībnieku atbildības sadalījums iepirkuma līguma izpildē.</w:t>
      </w:r>
    </w:p>
    <w:p w14:paraId="21DB2594" w14:textId="0E838D27" w:rsidR="00A82CBA" w:rsidRDefault="00A82CBA" w:rsidP="00610471">
      <w:pPr>
        <w:jc w:val="both"/>
        <w:rPr>
          <w:b/>
          <w:bCs/>
        </w:rPr>
      </w:pPr>
      <w:r w:rsidRPr="00CE50CF">
        <w:rPr>
          <w:b/>
          <w:bCs/>
        </w:rPr>
        <w:tab/>
        <w:t>Vienlaikus Pasūtītāj</w:t>
      </w:r>
      <w:r w:rsidR="00CE50CF" w:rsidRPr="00CE50CF">
        <w:rPr>
          <w:b/>
          <w:bCs/>
        </w:rPr>
        <w:t>s aicina skatīt 2026.gada 1.jūnijā</w:t>
      </w:r>
      <w:r w:rsidRPr="00CE50CF">
        <w:rPr>
          <w:b/>
          <w:bCs/>
        </w:rPr>
        <w:t xml:space="preserve"> iepriekš sniegtās un iepirkuma proced</w:t>
      </w:r>
      <w:r w:rsidR="00CE50CF">
        <w:rPr>
          <w:b/>
          <w:bCs/>
        </w:rPr>
        <w:t>ū</w:t>
      </w:r>
      <w:r w:rsidRPr="00CE50CF">
        <w:rPr>
          <w:b/>
          <w:bCs/>
        </w:rPr>
        <w:t>rai pievienotās atbildes uz jautājumiem.</w:t>
      </w:r>
    </w:p>
    <w:p w14:paraId="218B563B" w14:textId="77777777" w:rsidR="00F545FA" w:rsidRDefault="00F545FA" w:rsidP="00610471">
      <w:pPr>
        <w:jc w:val="both"/>
        <w:rPr>
          <w:b/>
          <w:bCs/>
        </w:rPr>
      </w:pPr>
    </w:p>
    <w:p w14:paraId="05028255" w14:textId="3C279A89" w:rsidR="00F545FA" w:rsidRDefault="00F545FA" w:rsidP="00610471">
      <w:pPr>
        <w:jc w:val="both"/>
        <w:rPr>
          <w:b/>
          <w:bCs/>
        </w:rPr>
      </w:pPr>
      <w:r>
        <w:rPr>
          <w:b/>
          <w:bCs/>
        </w:rPr>
        <w:t>Par jautājuma 2.daļu</w:t>
      </w:r>
    </w:p>
    <w:p w14:paraId="08A4C6C0" w14:textId="0116B6F4" w:rsidR="00CE50CF" w:rsidRPr="0086774D" w:rsidRDefault="00CE50CF" w:rsidP="00610471">
      <w:pPr>
        <w:ind w:firstLine="720"/>
        <w:jc w:val="both"/>
      </w:pPr>
      <w:r w:rsidRPr="0086774D">
        <w:t xml:space="preserve">Pasūtītājs </w:t>
      </w:r>
      <w:r w:rsidRPr="003970CF">
        <w:t>skaidro</w:t>
      </w:r>
      <w:r w:rsidRPr="0086774D">
        <w:t>, ka gadījumā, ja pretendents izvēlas izveidot personālsabiedrību (pilnsabiedrību), ir pieļaujama šādas personālsabiedrības dibināšana un reģistrācija arī ārvalsts attiecīgajā reģistrā atbilstoši konkrētās valsts normatīvajiem aktiem, tostarp gadījumos, kad piegādātāju apvienībā ietilpst Latvijas Republikā reģistrēts dalībnieks.</w:t>
      </w:r>
    </w:p>
    <w:p w14:paraId="26F240E1" w14:textId="77777777" w:rsidR="00F545FA" w:rsidRDefault="00F545FA" w:rsidP="00610471">
      <w:pPr>
        <w:jc w:val="both"/>
        <w:rPr>
          <w:b/>
          <w:bCs/>
        </w:rPr>
      </w:pPr>
    </w:p>
    <w:p w14:paraId="55C10CB8" w14:textId="56D7BD82" w:rsidR="00F545FA" w:rsidRDefault="00F545FA" w:rsidP="00610471">
      <w:pPr>
        <w:jc w:val="both"/>
        <w:rPr>
          <w:b/>
          <w:bCs/>
        </w:rPr>
      </w:pPr>
      <w:r>
        <w:rPr>
          <w:b/>
          <w:bCs/>
        </w:rPr>
        <w:t>Par jautājuma 3.daļu</w:t>
      </w:r>
    </w:p>
    <w:p w14:paraId="62E3641F" w14:textId="77777777" w:rsidR="00271A65" w:rsidRPr="0086774D" w:rsidRDefault="00271A65" w:rsidP="00610471">
      <w:pPr>
        <w:ind w:firstLine="720"/>
        <w:jc w:val="both"/>
      </w:pPr>
      <w:r w:rsidRPr="0086774D">
        <w:t>Pasūtītājs apstiprina, ka gadījumā, ja pretendents izvēlas noslēgt sabiedrības līgumu bez personālsabiedrības reģistrācijas, šāds līgums var tikt noslēgts arī saskaņā ar ārvalsts normatīvajiem aktiem, ja tas nepārprotami nosaka apvienības dalībnieku atbildības sadalījumu iepirkuma līguma izpildē un atbilst nolikuma 37. punkta mērķim un prasībām.</w:t>
      </w:r>
    </w:p>
    <w:p w14:paraId="77D58E75" w14:textId="77777777" w:rsidR="00931A18" w:rsidRDefault="00931A18" w:rsidP="00610471">
      <w:pPr>
        <w:ind w:firstLine="720"/>
        <w:jc w:val="both"/>
      </w:pPr>
    </w:p>
    <w:p w14:paraId="7CECFC59" w14:textId="30B8BDD1" w:rsidR="00931A18" w:rsidRDefault="00931A18" w:rsidP="00610471">
      <w:pPr>
        <w:jc w:val="both"/>
        <w:outlineLvl w:val="0"/>
      </w:pPr>
    </w:p>
    <w:p w14:paraId="29F23D50" w14:textId="7429E994" w:rsidR="00931A18" w:rsidRPr="008365EC" w:rsidRDefault="00931A18" w:rsidP="00610471">
      <w:pPr>
        <w:jc w:val="both"/>
        <w:rPr>
          <w:b/>
          <w:bCs/>
        </w:rPr>
      </w:pPr>
      <w:r>
        <w:rPr>
          <w:b/>
          <w:bCs/>
        </w:rPr>
        <w:t>22</w:t>
      </w:r>
      <w:r w:rsidRPr="008365EC">
        <w:rPr>
          <w:b/>
          <w:bCs/>
        </w:rPr>
        <w:t>.jautājums:</w:t>
      </w:r>
    </w:p>
    <w:p w14:paraId="4486B1F9" w14:textId="3959930A" w:rsidR="008C2228" w:rsidRPr="008C2228" w:rsidRDefault="00201545" w:rsidP="00610471">
      <w:pPr>
        <w:jc w:val="both"/>
      </w:pPr>
      <w:r w:rsidRPr="00201545">
        <w:t>Nolikuma 17.1.5. un 17.2.5. punkts paredz, ka, apliecinot atbilstību 17.1.1. un 17.1.2. punkta (vai attiecīgi 17.2.1. un 17.2.2. punkta) tehnisko spēju prasībām, pretendents var balstīties uz citu personu tehniskajām spējām, iesniedzot šo personu apliecinājumu vai vienošanos par sadarbību iepirkuma līguma izpildē. Atšķirībā no nolikuma 15.4.</w:t>
      </w:r>
      <w:r w:rsidR="008C2228" w:rsidRPr="008C2228">
        <w:rPr>
          <w:b/>
          <w:bCs/>
        </w:rPr>
        <w:t>punkta, kas regul</w:t>
      </w:r>
      <w:r w:rsidR="008C2228" w:rsidRPr="008C2228">
        <w:rPr>
          <w:rFonts w:hint="eastAsia"/>
          <w:b/>
          <w:bCs/>
        </w:rPr>
        <w:t>ē</w:t>
      </w:r>
      <w:r w:rsidR="008C2228" w:rsidRPr="008C2228">
        <w:rPr>
          <w:b/>
          <w:bCs/>
        </w:rPr>
        <w:t xml:space="preserve"> finan</w:t>
      </w:r>
      <w:r w:rsidR="008C2228" w:rsidRPr="008C2228">
        <w:rPr>
          <w:rFonts w:hint="eastAsia"/>
          <w:b/>
          <w:bCs/>
        </w:rPr>
        <w:t>š</w:t>
      </w:r>
      <w:r w:rsidR="008C2228" w:rsidRPr="008C2228">
        <w:rPr>
          <w:b/>
          <w:bCs/>
        </w:rPr>
        <w:t>u sp</w:t>
      </w:r>
      <w:r w:rsidR="008C2228" w:rsidRPr="008C2228">
        <w:rPr>
          <w:rFonts w:hint="eastAsia"/>
          <w:b/>
          <w:bCs/>
        </w:rPr>
        <w:t>ē</w:t>
      </w:r>
      <w:r w:rsidR="008C2228" w:rsidRPr="008C2228">
        <w:rPr>
          <w:b/>
          <w:bCs/>
        </w:rPr>
        <w:t xml:space="preserve">ju </w:t>
      </w:r>
      <w:r w:rsidR="008C2228" w:rsidRPr="008C2228">
        <w:t>aiz</w:t>
      </w:r>
      <w:r w:rsidR="008C2228" w:rsidRPr="008C2228">
        <w:rPr>
          <w:rFonts w:hint="eastAsia"/>
        </w:rPr>
        <w:t>ņ</w:t>
      </w:r>
      <w:r w:rsidR="008C2228" w:rsidRPr="008C2228">
        <w:t>em</w:t>
      </w:r>
      <w:r w:rsidR="008C2228" w:rsidRPr="008C2228">
        <w:rPr>
          <w:rFonts w:hint="eastAsia"/>
        </w:rPr>
        <w:t>š</w:t>
      </w:r>
      <w:r w:rsidR="008C2228" w:rsidRPr="008C2228">
        <w:t>anos un kur</w:t>
      </w:r>
      <w:r w:rsidR="008C2228" w:rsidRPr="008C2228">
        <w:rPr>
          <w:rFonts w:hint="eastAsia"/>
        </w:rPr>
        <w:t>ā</w:t>
      </w:r>
      <w:r w:rsidR="008C2228" w:rsidRPr="008C2228">
        <w:t xml:space="preserve"> ir tie</w:t>
      </w:r>
      <w:r w:rsidR="008C2228" w:rsidRPr="008C2228">
        <w:rPr>
          <w:rFonts w:hint="eastAsia"/>
        </w:rPr>
        <w:t>š</w:t>
      </w:r>
      <w:r w:rsidR="008C2228" w:rsidRPr="008C2228">
        <w:t>a pras</w:t>
      </w:r>
      <w:r w:rsidR="008C2228" w:rsidRPr="008C2228">
        <w:rPr>
          <w:rFonts w:hint="eastAsia"/>
        </w:rPr>
        <w:t>ī</w:t>
      </w:r>
      <w:r w:rsidR="008C2228" w:rsidRPr="008C2228">
        <w:t>ba par solid</w:t>
      </w:r>
      <w:r w:rsidR="008C2228" w:rsidRPr="008C2228">
        <w:rPr>
          <w:rFonts w:hint="eastAsia"/>
        </w:rPr>
        <w:t>ā</w:t>
      </w:r>
      <w:r w:rsidR="008C2228" w:rsidRPr="008C2228">
        <w:t xml:space="preserve">ru atbildību, 17.1.5. un 17.2.5. punktā šāda solidāras atbildības prasība nav noteikta. </w:t>
      </w:r>
    </w:p>
    <w:p w14:paraId="7E6684C8" w14:textId="77777777" w:rsidR="008C2228" w:rsidRPr="008C2228" w:rsidRDefault="008C2228" w:rsidP="00610471">
      <w:pPr>
        <w:jc w:val="both"/>
      </w:pPr>
      <w:r w:rsidRPr="008C2228">
        <w:t xml:space="preserve">No šī formulējuma nav skaidrs, kāda ir personas, uz kuras tehniskajām spējām (pieredzi) pretendents balstās, juridiskā atbildība iepirkuma līguma izpildē un Pasūtītāja priekšā. Tāpat nav skaidrs, vai šī persona pati par sevi tiek uzskatīta par apakšuzņēmēju nolikuma 16.2. punkta izpratnē un attiecīgi uz to attiecas izslēgšanas nosacījumu pārbaude un apakšuzņēmēja vienošanās dokumentārās prasības, vai arī tas ir cits tiesisks statuss. </w:t>
      </w:r>
    </w:p>
    <w:p w14:paraId="3E00D901" w14:textId="77777777" w:rsidR="008C2228" w:rsidRPr="008C2228" w:rsidRDefault="008C2228" w:rsidP="00610471">
      <w:pPr>
        <w:jc w:val="both"/>
      </w:pPr>
      <w:r w:rsidRPr="008C2228">
        <w:t xml:space="preserve">Tādēļ lūdzam Pasūtītāju paskaidrot - </w:t>
      </w:r>
    </w:p>
    <w:p w14:paraId="4191C804" w14:textId="77777777" w:rsidR="008C2228" w:rsidRPr="008C2228" w:rsidRDefault="008C2228" w:rsidP="00610471">
      <w:pPr>
        <w:jc w:val="both"/>
      </w:pPr>
      <w:r w:rsidRPr="008C2228">
        <w:t xml:space="preserve">1) kāda veida un apmēra atbildība attiecībā uz iepirkuma līguma izpildi attiecas uz personu, uz kuras tehniskajām spējām pretendents balstās saskaņā ar 17.1.5. vai 17.2.5. punktu? </w:t>
      </w:r>
    </w:p>
    <w:p w14:paraId="10B31454" w14:textId="77777777" w:rsidR="008C2228" w:rsidRPr="008C2228" w:rsidRDefault="008C2228" w:rsidP="00610471">
      <w:pPr>
        <w:jc w:val="both"/>
      </w:pPr>
      <w:r w:rsidRPr="008C2228">
        <w:t xml:space="preserve">2) vai šī persona šī iepirkuma izpratnē tiek uzskatīta par apakšuzņēmēju un uz to attiecas nolikuma 16.2. punkta prasības (savstarpēji noslēgta vienošanās, izpildāmo darbu apjoma norādīšana eiro vērtībā) un izslēgšanas nosacījumu pārbaude saskaņā ar 14.punktu? </w:t>
      </w:r>
    </w:p>
    <w:p w14:paraId="411F89F2" w14:textId="77777777" w:rsidR="008C2228" w:rsidRPr="008C2228" w:rsidRDefault="008C2228" w:rsidP="00610471">
      <w:pPr>
        <w:jc w:val="both"/>
      </w:pPr>
      <w:r w:rsidRPr="008C2228">
        <w:t xml:space="preserve">3) ja šī persona tiek uzskatīta par apakšuzņēmēju un tai norādāms nododamo darbu apjoms. Ja ražotājs nodod ražošanas pieredzi piegādātājam, kā norādīt nododamo darbu apjomu (vērtība naudas izteiksmē </w:t>
      </w:r>
      <w:r w:rsidRPr="008C2228">
        <w:rPr>
          <w:i/>
          <w:iCs/>
        </w:rPr>
        <w:t>eiro</w:t>
      </w:r>
      <w:r w:rsidRPr="008C2228">
        <w:t xml:space="preserve">) balstoties uz nolikuma 16.2. punktu? </w:t>
      </w:r>
    </w:p>
    <w:p w14:paraId="601B331A" w14:textId="77777777" w:rsidR="008C2228" w:rsidRDefault="008C2228" w:rsidP="00610471">
      <w:pPr>
        <w:jc w:val="both"/>
        <w:rPr>
          <w:b/>
          <w:bCs/>
        </w:rPr>
      </w:pPr>
    </w:p>
    <w:p w14:paraId="3D994E9D" w14:textId="45C5B525" w:rsidR="00931A18" w:rsidRPr="008365EC" w:rsidRDefault="00931A18" w:rsidP="00610471">
      <w:pPr>
        <w:jc w:val="both"/>
        <w:rPr>
          <w:b/>
          <w:bCs/>
        </w:rPr>
      </w:pPr>
      <w:r>
        <w:rPr>
          <w:b/>
          <w:bCs/>
        </w:rPr>
        <w:t>22</w:t>
      </w:r>
      <w:r w:rsidRPr="008365EC">
        <w:rPr>
          <w:b/>
          <w:bCs/>
        </w:rPr>
        <w:t>.atbilde:</w:t>
      </w:r>
    </w:p>
    <w:p w14:paraId="4AE3470F" w14:textId="3EE57405" w:rsidR="00950905" w:rsidRDefault="00950905" w:rsidP="00610471">
      <w:pPr>
        <w:jc w:val="both"/>
        <w:rPr>
          <w:b/>
          <w:bCs/>
        </w:rPr>
      </w:pPr>
      <w:r w:rsidRPr="00CE50CF">
        <w:rPr>
          <w:b/>
          <w:bCs/>
        </w:rPr>
        <w:tab/>
        <w:t>Pasūtītājs aicina skatīt 2026.gada 1.jūnijā iepriekš sniegtās un iepirkuma proced</w:t>
      </w:r>
      <w:r>
        <w:rPr>
          <w:b/>
          <w:bCs/>
        </w:rPr>
        <w:t>ū</w:t>
      </w:r>
      <w:r w:rsidRPr="00CE50CF">
        <w:rPr>
          <w:b/>
          <w:bCs/>
        </w:rPr>
        <w:t>rai pievienotās atbildes uz jautājumiem.</w:t>
      </w:r>
    </w:p>
    <w:p w14:paraId="439C80BF" w14:textId="77777777" w:rsidR="001F568F" w:rsidRDefault="001F568F" w:rsidP="00610471">
      <w:pPr>
        <w:spacing w:line="300" w:lineRule="atLeast"/>
        <w:ind w:firstLine="720"/>
        <w:jc w:val="both"/>
      </w:pPr>
      <w:bookmarkStart w:id="0" w:name="_Hlk230868226"/>
    </w:p>
    <w:p w14:paraId="3FCDCB24" w14:textId="06BAF7BF" w:rsidR="001F568F" w:rsidRDefault="001F568F" w:rsidP="00610471">
      <w:pPr>
        <w:spacing w:line="300" w:lineRule="atLeast"/>
        <w:ind w:firstLine="720"/>
        <w:jc w:val="both"/>
      </w:pPr>
      <w:r>
        <w:t>Pasūtītājs skaidro, ka p</w:t>
      </w:r>
      <w:r w:rsidRPr="001F568F">
        <w:t>ersona, uz kuras tehniskajām spējām pretendents balstās saskaņā ar nolikuma 17.1.5. vai 17.2.5. punktu, ir uzskatāma par resursu sniedzēju, kas ar savu pieredzi, zināšanām vai tehniskajām spējām nodrošina pretendenta atbilstību kvalifikācijas prasībām. Šādai personai ir pienākums faktiski nodrošināt tos resursus, kompetenci vai kapacitāti, uz kuriem pretendents balstījies piedāvājumā iepirkuma līguma izpildes laikā.</w:t>
      </w:r>
      <w:r w:rsidR="00341261">
        <w:t xml:space="preserve"> </w:t>
      </w:r>
      <w:r w:rsidRPr="001F568F">
        <w:t>Tā kā nolikuma 17.1.5. un 17.2.5. punktā nav paredzēta solidāra atbildība, atšķirībā no nolikuma 15.4. punkta, Pasūtītājs neparedz automātisku šīs personas solidāru atbildību par visa iepirkuma līguma izpild</w:t>
      </w:r>
      <w:r w:rsidR="00341261">
        <w:t>i.</w:t>
      </w:r>
    </w:p>
    <w:p w14:paraId="4974ED01" w14:textId="74E64551" w:rsidR="000E674C" w:rsidRPr="000E674C" w:rsidRDefault="00614687" w:rsidP="00610471">
      <w:pPr>
        <w:spacing w:line="300" w:lineRule="atLeast"/>
        <w:ind w:firstLine="720"/>
        <w:jc w:val="both"/>
        <w:rPr>
          <w:highlight w:val="yellow"/>
        </w:rPr>
      </w:pPr>
      <w:r w:rsidRPr="008365EC">
        <w:lastRenderedPageBreak/>
        <w:t xml:space="preserve">Saskaņā ar iepirkuma procedūras 17.1.5. un 17.2.5. punktu, Pretendents var balstīties uz citas personas tehniskajām un profesionālajām iespējām </w:t>
      </w:r>
      <w:r w:rsidRPr="00614687">
        <w:rPr>
          <w:b/>
          <w:bCs/>
          <w:u w:val="single"/>
        </w:rPr>
        <w:t>tikai t</w:t>
      </w:r>
      <w:r w:rsidR="00717FEF">
        <w:rPr>
          <w:b/>
          <w:bCs/>
          <w:u w:val="single"/>
        </w:rPr>
        <w:t>ā</w:t>
      </w:r>
      <w:r w:rsidRPr="00614687">
        <w:rPr>
          <w:b/>
          <w:bCs/>
          <w:u w:val="single"/>
        </w:rPr>
        <w:t>d</w:t>
      </w:r>
      <w:r w:rsidR="00717FEF">
        <w:rPr>
          <w:b/>
          <w:bCs/>
          <w:u w:val="single"/>
        </w:rPr>
        <w:t>ā gadījumā</w:t>
      </w:r>
      <w:r w:rsidRPr="00614687">
        <w:rPr>
          <w:b/>
          <w:bCs/>
          <w:u w:val="single"/>
        </w:rPr>
        <w:t>, ja šī persona iepirkuma līguma izpildes ietvaros sniegs pakalpojumu</w:t>
      </w:r>
      <w:r w:rsidRPr="008365EC">
        <w:t xml:space="preserve"> (</w:t>
      </w:r>
      <w:r w:rsidRPr="008365EC">
        <w:rPr>
          <w:b/>
          <w:bCs/>
        </w:rPr>
        <w:t>piedalīsies līguma izpildē</w:t>
      </w:r>
      <w:r w:rsidRPr="008365EC">
        <w:t xml:space="preserve">), kura izpildei attiecīgās spējas ir nepieciešamas. </w:t>
      </w:r>
      <w:bookmarkEnd w:id="0"/>
      <w:r w:rsidR="000E674C" w:rsidRPr="000E674C">
        <w:t xml:space="preserve">Attiecīgi, </w:t>
      </w:r>
      <w:r w:rsidR="00712803" w:rsidRPr="00712803">
        <w:t xml:space="preserve">minētā  </w:t>
      </w:r>
      <w:r w:rsidR="000E674C" w:rsidRPr="000E674C">
        <w:t>persona, kas piedalās līguma izpildē, ir uzskatāma par apakšuzņēmēju attiecīgās iepirkuma procedūras un Sabiedrisko pakalpojumu sniedzēju iepirkumu likuma izpratnē, un uz to ir attiecināmas nolikuma 16.2. punkta prasības, kā arī izslēgšanas nosacījumu pārbaude atbilstoši nolikuma 14.4. punktā minētajiem nosacījumiem.</w:t>
      </w:r>
    </w:p>
    <w:p w14:paraId="28AB99B9" w14:textId="77777777" w:rsidR="000E674C" w:rsidRDefault="000E674C" w:rsidP="00610471">
      <w:pPr>
        <w:ind w:firstLine="720"/>
        <w:jc w:val="both"/>
        <w:rPr>
          <w:highlight w:val="yellow"/>
        </w:rPr>
      </w:pPr>
    </w:p>
    <w:p w14:paraId="313F9170" w14:textId="77777777" w:rsidR="00994B21" w:rsidRDefault="00994B21" w:rsidP="00610471">
      <w:pPr>
        <w:ind w:firstLine="720"/>
        <w:jc w:val="both"/>
        <w:rPr>
          <w:highlight w:val="yellow"/>
        </w:rPr>
      </w:pPr>
    </w:p>
    <w:p w14:paraId="395D2987" w14:textId="1A6130D0" w:rsidR="00931A18" w:rsidRPr="008365EC" w:rsidRDefault="00931A18" w:rsidP="00610471">
      <w:pPr>
        <w:jc w:val="both"/>
        <w:rPr>
          <w:b/>
          <w:bCs/>
        </w:rPr>
      </w:pPr>
      <w:r>
        <w:rPr>
          <w:b/>
          <w:bCs/>
        </w:rPr>
        <w:t>23</w:t>
      </w:r>
      <w:r w:rsidRPr="008365EC">
        <w:rPr>
          <w:b/>
          <w:bCs/>
        </w:rPr>
        <w:t>.jautājums:</w:t>
      </w:r>
    </w:p>
    <w:p w14:paraId="4BC598FC" w14:textId="77777777" w:rsidR="00922997" w:rsidRPr="00922997" w:rsidRDefault="00922997" w:rsidP="00610471">
      <w:pPr>
        <w:jc w:val="both"/>
      </w:pPr>
      <w:r w:rsidRPr="00922997">
        <w:t xml:space="preserve">Iepirkuma 1. daļas (elektroautobusu piegāde) līguma projekta (nolikuma 6.1. pielikums) 8.3. punkts paredz, ka autobusu galīgā piegādes termiņa neievērošanas gadījumā Pasūtītājam papildus 0,5% dienas līgumsodam un 10% kavējuma līgumsoda griestiem ir tiesības prasīt Piegādātājam atlīdzināt zaudējumus nesaņemtā Eiropas Savienības fondu līdzfinansējuma apmērā (ja tāds ir piešķirts). Analoģisks formulējums attiecībā uz Eiropas Savienības fondu līdzfinansējuma zaudējumiem ir iekļauts arī 8.5. punktā (atteikšanās no piegādes), 8.18. punktā (vienpusēja līguma izbeigšana saistībā ar noziedzīgu nodarījumu vai konkurences tiesību pārkāpumu) un 8.19. punktā (Sabiedrisko pakalpojumu sniedzēju iepirkumu likuma 69. panta pirmajā daļā paredzētie gadījumi). </w:t>
      </w:r>
    </w:p>
    <w:p w14:paraId="768ADE60" w14:textId="77777777" w:rsidR="00922997" w:rsidRPr="00922997" w:rsidRDefault="00922997" w:rsidP="00610471">
      <w:pPr>
        <w:jc w:val="both"/>
      </w:pPr>
      <w:r w:rsidRPr="00922997">
        <w:t xml:space="preserve">Šis līguma nosacījums tā pašreizējā redakcijā ir nesamērīgs un faktiski nepiemērojams piedāvājuma sagatavošanas stadijā. Eiropas Savienības fondu līdzfinansējuma īpatsvars konkrētā projektā var ievērojami atšķirties - atsevišķos atbalsta programmu instrumentos līdzfinansējuma intensitāte var būt ap 10% no projekta vērtības, savukārt citos - līdz pat 80-90%. Tas nozīmē, ka šobrīd noteiktais kavējuma līgumsoda griests 10% apmērā no kavētās saistības apjoma teorētiski var tikt papildināts ar vairākkārt lielāku zaudējumu atlīdzību, kuras precīzu apmēru piedāvājuma sagatavošanas brīdī pretendentam nav iespējams ne novērtēt, ne noteikt rezervi. </w:t>
      </w:r>
    </w:p>
    <w:p w14:paraId="4881F91E" w14:textId="77777777" w:rsidR="00922997" w:rsidRPr="00922997" w:rsidRDefault="00922997" w:rsidP="00610471">
      <w:pPr>
        <w:jc w:val="both"/>
      </w:pPr>
      <w:r w:rsidRPr="00922997">
        <w:t xml:space="preserve">Pretendentam nav samērīgi prasīt zināt, kuros projektos un uz kādu Eiropas Savienības fondu līdzfinansējuma intensitāti Pasūtītājs ir pieteicies vai pretendē, jo šī informācija piedāvājuma sagatavošanas stadijā nav publiski pieejama un attiecas uz Pasūtītāja iekšējiem finanšu un projektu vadības procesiem. Vienlaikus šādu būtisku finansiālu risku neņemt vērā piedāvājuma sagatavošanā neatbilst labas pārvaldības praksei no pretendenta puses, jo zaudējumu apmērs teorētiski var pārsniegt visas iepirkuma līguma izpildē plānotās peļņas robežas. Šī nenoteiktība būtiski ietekmē piedāvājuma cenas veidošanu - pretendents ir spiests vai nu iekļaut cenā konservatīvu riska uzcenojumu pret nezināmu zaudējumu apmēru, vai uzņemties neierobežotu finansiālu risku. </w:t>
      </w:r>
    </w:p>
    <w:p w14:paraId="081FB734" w14:textId="553F59C9" w:rsidR="00922997" w:rsidRPr="00922997" w:rsidRDefault="00922997" w:rsidP="00610471">
      <w:pPr>
        <w:jc w:val="both"/>
      </w:pPr>
      <w:r w:rsidRPr="00922997">
        <w:t>Tādēļ lūdzam Pasūtītāju veikt grozījumus 1. daļas līguma projekta 8.3., 8.5., 8.18. un 8.19. punktos, izvēloties vienu no šādiem risinājumiem. Pirmais variants - pilnīga formulējuma „kā arī PASŪTĪTĀJAM ir tiesības prasīt PIEGĀDĀTĀJAM atlīdzināt zaudējumus nesaņemtā Eiropas Savienības fondu līdzfinansējuma apmērā (ja tāds ir</w:t>
      </w:r>
      <w:r w:rsidRPr="00922997">
        <w:rPr>
          <w:sz w:val="23"/>
          <w:szCs w:val="23"/>
          <w:lang w:eastAsia="en-GB"/>
        </w:rPr>
        <w:t xml:space="preserve"> </w:t>
      </w:r>
      <w:r w:rsidRPr="00922997">
        <w:t xml:space="preserve">piešķirts)” svītrošana, ar nosacījumu, ka jau noteiktie līgumsoda griesti (10% no kavētās saistības apjoma 8.3. punktā un 8.5. punktā, attiecīgi 1 000 000,00 EUR fiksēts līgumsods 8.18. un 8.19. punktā) tiek uzskatīti par pietiekamu zaudējumu atlīdzību. </w:t>
      </w:r>
    </w:p>
    <w:p w14:paraId="43E08F73" w14:textId="43C3EECD" w:rsidR="00931A18" w:rsidRPr="00922997" w:rsidRDefault="00922997" w:rsidP="00610471">
      <w:pPr>
        <w:jc w:val="both"/>
      </w:pPr>
      <w:r w:rsidRPr="00922997">
        <w:t>Otrais variants - Pasūtītājs nosaka skaidru zaudējumu atlīdzības maksimālo apjomu, definējot to vai nu kā konkrētu procentuālu daļu no līguma kopējās vērtības (piemēram, ne vairāk kā X% no kavētā Autobusa cenas vai no kopējās līgumcenas), vai kā konkrētu absolūto summu, vai arī skaidri norādot konkrētā Eiropas Savienības fonda projekta nosaukumu, līdzfinansējuma intensitāti procentos un kopējo līdzfinansējuma apjomu eiro, uz kuru atsauce 8.3., 8.5., 8.18. un 8.19. punktos ir izdarīta. Šāda precizēšana nodrošinātu, ka pretendents var korekti novērtēt un cenā ietvert konkrēto risku, kā arī sniegtu garantijas devējiem nepieciešamo skaidrību par maksimālo iespējamo saistību apjomu un radītu vienotu izpratni visiem pretendentiem par iepirkma nosacījumiem.</w:t>
      </w:r>
    </w:p>
    <w:p w14:paraId="18EC1967" w14:textId="77777777" w:rsidR="00931A18" w:rsidRPr="008365EC" w:rsidRDefault="00931A18" w:rsidP="00610471">
      <w:pPr>
        <w:jc w:val="both"/>
        <w:rPr>
          <w:b/>
          <w:bCs/>
        </w:rPr>
      </w:pPr>
    </w:p>
    <w:p w14:paraId="34974A1A" w14:textId="5A1F494B" w:rsidR="00931A18" w:rsidRPr="008365EC" w:rsidRDefault="00931A18" w:rsidP="00610471">
      <w:pPr>
        <w:jc w:val="both"/>
        <w:rPr>
          <w:b/>
          <w:bCs/>
        </w:rPr>
      </w:pPr>
      <w:r w:rsidRPr="00CB15AE">
        <w:rPr>
          <w:b/>
          <w:bCs/>
        </w:rPr>
        <w:lastRenderedPageBreak/>
        <w:t>23.atbilde:</w:t>
      </w:r>
    </w:p>
    <w:p w14:paraId="6B7BD5AA" w14:textId="77777777" w:rsidR="00375F69" w:rsidRPr="008365EC" w:rsidRDefault="00375F69" w:rsidP="00375F69">
      <w:pPr>
        <w:ind w:firstLine="720"/>
        <w:jc w:val="both"/>
      </w:pPr>
      <w:r w:rsidRPr="008365EC">
        <w:t>Pasūtītājs</w:t>
      </w:r>
      <w:r>
        <w:t xml:space="preserve"> informē, ka, lai izvērtētu jautājumu, Pasūtītājam nepieciešams papildu laiks, līdz ar to atbildes uz jautājuma sniegšanu termiņš tiek pagarināts līdz 2026.gada 19.jūnijam.</w:t>
      </w:r>
    </w:p>
    <w:p w14:paraId="3BD1B26E" w14:textId="77777777" w:rsidR="00F127CF" w:rsidRDefault="00F127CF" w:rsidP="00610471">
      <w:pPr>
        <w:jc w:val="both"/>
        <w:outlineLvl w:val="0"/>
      </w:pPr>
    </w:p>
    <w:p w14:paraId="6B9543B8" w14:textId="77777777" w:rsidR="00C00F1E" w:rsidRPr="008365EC" w:rsidRDefault="00C00F1E" w:rsidP="00610471">
      <w:pPr>
        <w:jc w:val="both"/>
        <w:outlineLvl w:val="0"/>
      </w:pPr>
    </w:p>
    <w:p w14:paraId="381B03A7" w14:textId="3AC766B4" w:rsidR="00F127CF" w:rsidRPr="0095397B" w:rsidRDefault="007F3584" w:rsidP="0095397B">
      <w:pPr>
        <w:pStyle w:val="Footer"/>
      </w:pPr>
      <w:r w:rsidRPr="008365EC">
        <w:t>Iepirkuma komisijas priekšsēdētāja</w:t>
      </w:r>
      <w:r w:rsidR="0095397B">
        <w:t xml:space="preserve">                                                    </w:t>
      </w:r>
      <w:r w:rsidRPr="008365EC">
        <w:rPr>
          <w:color w:val="000000"/>
          <w:lang w:eastAsia="en-GB"/>
        </w:rPr>
        <w:t>Karīna Meiber</w:t>
      </w:r>
      <w:r w:rsidR="0095397B">
        <w:rPr>
          <w:color w:val="000000"/>
          <w:lang w:eastAsia="en-GB"/>
        </w:rPr>
        <w:t>ga</w:t>
      </w:r>
      <w:r w:rsidRPr="008365EC">
        <w:rPr>
          <w:color w:val="000000"/>
          <w:lang w:eastAsia="en-GB"/>
        </w:rPr>
        <w:t xml:space="preserve">                  </w:t>
      </w:r>
    </w:p>
    <w:p w14:paraId="7BB0C705" w14:textId="7FE4E3EE" w:rsidR="00B9002B" w:rsidRPr="008365EC" w:rsidRDefault="007F3584" w:rsidP="00610471">
      <w:pPr>
        <w:widowControl w:val="0"/>
        <w:tabs>
          <w:tab w:val="left" w:pos="764"/>
        </w:tabs>
        <w:spacing w:line="274" w:lineRule="exact"/>
        <w:rPr>
          <w:color w:val="000000"/>
          <w:lang w:eastAsia="en-GB"/>
        </w:rPr>
      </w:pPr>
      <w:r w:rsidRPr="008365EC">
        <w:rPr>
          <w:color w:val="000000"/>
          <w:lang w:eastAsia="en-GB"/>
        </w:rPr>
        <w:t xml:space="preserve">                </w:t>
      </w:r>
    </w:p>
    <w:p w14:paraId="7001315E" w14:textId="6269460A" w:rsidR="007F3584" w:rsidRPr="008365EC" w:rsidRDefault="007F3584" w:rsidP="00610471">
      <w:pPr>
        <w:widowControl w:val="0"/>
        <w:tabs>
          <w:tab w:val="left" w:pos="764"/>
        </w:tabs>
        <w:spacing w:line="274" w:lineRule="exact"/>
        <w:rPr>
          <w:color w:val="000000"/>
          <w:lang w:eastAsia="en-GB"/>
        </w:rPr>
      </w:pPr>
      <w:r w:rsidRPr="008365EC">
        <w:rPr>
          <w:color w:val="000000"/>
          <w:lang w:eastAsia="en-GB"/>
        </w:rPr>
        <w:t xml:space="preserve">                </w:t>
      </w:r>
    </w:p>
    <w:p w14:paraId="58E487E5" w14:textId="77777777" w:rsidR="00E17D97" w:rsidRPr="008365EC" w:rsidRDefault="00E17D97" w:rsidP="00610471">
      <w:pPr>
        <w:widowControl w:val="0"/>
        <w:tabs>
          <w:tab w:val="left" w:pos="764"/>
        </w:tabs>
        <w:spacing w:line="274" w:lineRule="exact"/>
        <w:rPr>
          <w:color w:val="000000"/>
          <w:lang w:eastAsia="en-GB"/>
        </w:rPr>
      </w:pPr>
    </w:p>
    <w:p w14:paraId="29C643DE" w14:textId="6A3C6AB5" w:rsidR="00AD6E80" w:rsidRPr="00071403" w:rsidRDefault="00AD6E80" w:rsidP="004850DA">
      <w:pPr>
        <w:rPr>
          <w:sz w:val="16"/>
          <w:szCs w:val="16"/>
        </w:rPr>
      </w:pPr>
    </w:p>
    <w:sectPr w:rsidR="00AD6E80" w:rsidRPr="00071403" w:rsidSect="00610471">
      <w:headerReference w:type="even" r:id="rId12"/>
      <w:headerReference w:type="default" r:id="rId13"/>
      <w:footerReference w:type="default" r:id="rId14"/>
      <w:headerReference w:type="first" r:id="rId15"/>
      <w:footerReference w:type="first" r:id="rId16"/>
      <w:pgSz w:w="11900" w:h="16840" w:code="9"/>
      <w:pgMar w:top="1134" w:right="851" w:bottom="1134"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A1002" w14:textId="77777777" w:rsidR="00C53652" w:rsidRPr="008365EC" w:rsidRDefault="00C53652">
      <w:r w:rsidRPr="008365EC">
        <w:separator/>
      </w:r>
    </w:p>
  </w:endnote>
  <w:endnote w:type="continuationSeparator" w:id="0">
    <w:p w14:paraId="2348B155" w14:textId="77777777" w:rsidR="00C53652" w:rsidRPr="008365EC" w:rsidRDefault="00C53652">
      <w:r w:rsidRPr="008365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ヒラギノ角ゴ Pro W3">
    <w:altName w:val="Yu Gothic"/>
    <w:charset w:val="00"/>
    <w:family w:val="roman"/>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EndPr/>
    <w:sdtContent>
      <w:p w14:paraId="16F49A90" w14:textId="3FB115D6" w:rsidR="00AD6E80" w:rsidRPr="008365EC" w:rsidRDefault="00AD6E80">
        <w:pPr>
          <w:pStyle w:val="Footer"/>
          <w:jc w:val="right"/>
        </w:pPr>
        <w:r w:rsidRPr="008365EC">
          <w:fldChar w:fldCharType="begin"/>
        </w:r>
        <w:r w:rsidRPr="008365EC">
          <w:instrText>PAGE   \* MERGEFORMAT</w:instrText>
        </w:r>
        <w:r w:rsidRPr="008365EC">
          <w:fldChar w:fldCharType="separate"/>
        </w:r>
        <w:r w:rsidRPr="008365EC">
          <w:t>2</w:t>
        </w:r>
        <w:r w:rsidRPr="008365EC">
          <w:fldChar w:fldCharType="end"/>
        </w:r>
      </w:p>
    </w:sdtContent>
  </w:sdt>
  <w:p w14:paraId="4664754B" w14:textId="77777777" w:rsidR="00AD6E80" w:rsidRPr="008365EC" w:rsidRDefault="00AD6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81AE" w14:textId="71848762" w:rsidR="00904B48" w:rsidRPr="008365EC" w:rsidRDefault="00611305" w:rsidP="00611305">
    <w:pPr>
      <w:pStyle w:val="Footer"/>
      <w:tabs>
        <w:tab w:val="clear" w:pos="4153"/>
        <w:tab w:val="clear" w:pos="8306"/>
        <w:tab w:val="left" w:pos="600"/>
        <w:tab w:val="left" w:pos="2310"/>
      </w:tabs>
      <w:jc w:val="center"/>
    </w:pPr>
    <w:r w:rsidRPr="008365EC">
      <w:rPr>
        <w:noProof/>
        <w:lang w:eastAsia="lv-LV"/>
      </w:rPr>
      <w:drawing>
        <wp:inline distT="0" distB="0" distL="0" distR="0" wp14:anchorId="044ABF4E" wp14:editId="4299BAD3">
          <wp:extent cx="2883414" cy="396241"/>
          <wp:effectExtent l="0" t="0" r="0" b="3810"/>
          <wp:docPr id="783697013"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veidlapa_FOOTER-02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3414" cy="39624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35866" w14:textId="77777777" w:rsidR="00C53652" w:rsidRPr="008365EC" w:rsidRDefault="00C53652">
      <w:r w:rsidRPr="008365EC">
        <w:separator/>
      </w:r>
    </w:p>
  </w:footnote>
  <w:footnote w:type="continuationSeparator" w:id="0">
    <w:p w14:paraId="508922B7" w14:textId="77777777" w:rsidR="00C53652" w:rsidRPr="008365EC" w:rsidRDefault="00C53652">
      <w:r w:rsidRPr="008365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Pr="008365EC" w:rsidRDefault="00CA73ED">
    <w:pPr>
      <w:pStyle w:val="HeaderFooterA"/>
      <w:tabs>
        <w:tab w:val="clear" w:pos="9360"/>
        <w:tab w:val="right" w:pos="8782"/>
      </w:tabs>
      <w:rPr>
        <w:rFonts w:ascii="Times New Roman" w:eastAsia="Times New Roman" w:hAnsi="Times New Roman"/>
        <w:color w:val="auto"/>
        <w:lang w:val="lv-LV" w:bidi="x-none"/>
      </w:rPr>
    </w:pPr>
    <w:r w:rsidRPr="008365EC">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7C41EE"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Pr="008365EC" w:rsidRDefault="00756CAE">
    <w:pPr>
      <w:pStyle w:val="HeaderFooterA"/>
      <w:tabs>
        <w:tab w:val="clear" w:pos="9360"/>
        <w:tab w:val="right" w:pos="8782"/>
      </w:tabs>
      <w:rPr>
        <w:rFonts w:ascii="Times New Roman" w:eastAsia="Times New Roman" w:hAnsi="Times New Roman"/>
        <w:color w:val="auto"/>
        <w:lang w:val="lv-LV"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877D" w14:textId="3C1ADCE1" w:rsidR="00756CAE" w:rsidRPr="008365EC" w:rsidRDefault="00E3203C" w:rsidP="00F631D4">
    <w:pPr>
      <w:pStyle w:val="Header"/>
      <w:tabs>
        <w:tab w:val="left" w:pos="426"/>
        <w:tab w:val="left" w:pos="1418"/>
      </w:tabs>
    </w:pPr>
    <w:r w:rsidRPr="008365EC">
      <w:rPr>
        <w:noProof/>
      </w:rPr>
      <w:drawing>
        <wp:inline distT="0" distB="0" distL="0" distR="0" wp14:anchorId="6D986B24" wp14:editId="61EA3D9C">
          <wp:extent cx="5537200" cy="1587500"/>
          <wp:effectExtent l="0" t="0" r="0" b="0"/>
          <wp:docPr id="548802271" name="Picture 548802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5A42A3CB" w:rsidR="00C96B4F" w:rsidRPr="008365EC" w:rsidRDefault="00BA1D4B" w:rsidP="00BA1D4B">
    <w:pPr>
      <w:pStyle w:val="Header"/>
      <w:tabs>
        <w:tab w:val="left" w:pos="426"/>
        <w:tab w:val="left" w:pos="1418"/>
      </w:tabs>
      <w:jc w:val="center"/>
    </w:pPr>
    <w:r w:rsidRPr="008365EC">
      <w:t>Rīgā</w:t>
    </w:r>
  </w:p>
  <w:p w14:paraId="4992808E" w14:textId="145AB150" w:rsidR="00BA1D4B" w:rsidRPr="008365EC" w:rsidRDefault="00BA1D4B" w:rsidP="00BA1D4B">
    <w:pPr>
      <w:pStyle w:val="Header"/>
      <w:tabs>
        <w:tab w:val="left" w:pos="426"/>
        <w:tab w:val="left" w:pos="1418"/>
      </w:tabs>
      <w:jc w:val="center"/>
    </w:pPr>
  </w:p>
  <w:p w14:paraId="765108D9" w14:textId="0CAB3632" w:rsidR="00BA1D4B" w:rsidRPr="008365EC" w:rsidRDefault="00BA1D4B" w:rsidP="00BA1D4B">
    <w:pPr>
      <w:pStyle w:val="Header"/>
      <w:tabs>
        <w:tab w:val="left" w:pos="426"/>
        <w:tab w:val="left" w:pos="1418"/>
      </w:tabs>
      <w:jc w:val="both"/>
    </w:pPr>
    <w:bookmarkStart w:id="1" w:name="docDate"/>
    <w:bookmarkEnd w:id="1"/>
    <w:r w:rsidRPr="008365EC">
      <w:t xml:space="preserve"> </w:t>
    </w:r>
    <w:bookmarkStart w:id="2" w:name="docNr"/>
    <w:bookmarkEnd w:id="2"/>
    <w:r w:rsidR="0095397B">
      <w:t>11.06.2026.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7721F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73238ED"/>
    <w:multiLevelType w:val="hybridMultilevel"/>
    <w:tmpl w:val="599AF710"/>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F629E6"/>
    <w:multiLevelType w:val="multilevel"/>
    <w:tmpl w:val="18806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252917"/>
    <w:multiLevelType w:val="multilevel"/>
    <w:tmpl w:val="4350A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0A0820"/>
    <w:multiLevelType w:val="multilevel"/>
    <w:tmpl w:val="B5DC2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6B256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C520D89"/>
    <w:multiLevelType w:val="multilevel"/>
    <w:tmpl w:val="E1B45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ED4869"/>
    <w:multiLevelType w:val="multilevel"/>
    <w:tmpl w:val="75BE7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FE4CFD"/>
    <w:multiLevelType w:val="multilevel"/>
    <w:tmpl w:val="B88EC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DD0854"/>
    <w:multiLevelType w:val="multilevel"/>
    <w:tmpl w:val="44A25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1E5338"/>
    <w:multiLevelType w:val="multilevel"/>
    <w:tmpl w:val="B9C8A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30775"/>
    <w:multiLevelType w:val="hybridMultilevel"/>
    <w:tmpl w:val="B4CC6AFA"/>
    <w:lvl w:ilvl="0" w:tplc="5BEE2F28">
      <w:start w:val="1"/>
      <w:numFmt w:val="decimal"/>
      <w:lvlText w:val="%1)"/>
      <w:lvlJc w:val="left"/>
      <w:pPr>
        <w:ind w:left="720"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36B0667"/>
    <w:multiLevelType w:val="multilevel"/>
    <w:tmpl w:val="7CFEA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AD78CE"/>
    <w:multiLevelType w:val="hybridMultilevel"/>
    <w:tmpl w:val="DBB40A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BD4750B"/>
    <w:multiLevelType w:val="hybridMultilevel"/>
    <w:tmpl w:val="599AF710"/>
    <w:lvl w:ilvl="0" w:tplc="B2B68E84">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96483408">
    <w:abstractNumId w:val="1"/>
  </w:num>
  <w:num w:numId="2" w16cid:durableId="1870488046">
    <w:abstractNumId w:val="12"/>
  </w:num>
  <w:num w:numId="3" w16cid:durableId="2033219571">
    <w:abstractNumId w:val="14"/>
  </w:num>
  <w:num w:numId="4" w16cid:durableId="1779565406">
    <w:abstractNumId w:val="15"/>
  </w:num>
  <w:num w:numId="5" w16cid:durableId="745104887">
    <w:abstractNumId w:val="2"/>
  </w:num>
  <w:num w:numId="6" w16cid:durableId="300580002">
    <w:abstractNumId w:val="13"/>
  </w:num>
  <w:num w:numId="7" w16cid:durableId="1915967846">
    <w:abstractNumId w:val="7"/>
  </w:num>
  <w:num w:numId="8" w16cid:durableId="1934196068">
    <w:abstractNumId w:val="9"/>
  </w:num>
  <w:num w:numId="9" w16cid:durableId="571620969">
    <w:abstractNumId w:val="6"/>
  </w:num>
  <w:num w:numId="10" w16cid:durableId="843129181">
    <w:abstractNumId w:val="11"/>
  </w:num>
  <w:num w:numId="11" w16cid:durableId="276179321">
    <w:abstractNumId w:val="10"/>
  </w:num>
  <w:num w:numId="12" w16cid:durableId="615449933">
    <w:abstractNumId w:val="8"/>
  </w:num>
  <w:num w:numId="13" w16cid:durableId="1863089765">
    <w:abstractNumId w:val="3"/>
  </w:num>
  <w:num w:numId="14" w16cid:durableId="583606041">
    <w:abstractNumId w:val="5"/>
  </w:num>
  <w:num w:numId="15" w16cid:durableId="516894443">
    <w:abstractNumId w:val="0"/>
  </w:num>
  <w:num w:numId="16" w16cid:durableId="4024836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2ED1"/>
    <w:rsid w:val="00004F0D"/>
    <w:rsid w:val="00007185"/>
    <w:rsid w:val="00007725"/>
    <w:rsid w:val="000113D9"/>
    <w:rsid w:val="000124FC"/>
    <w:rsid w:val="00015AED"/>
    <w:rsid w:val="00023CF9"/>
    <w:rsid w:val="00026D94"/>
    <w:rsid w:val="000316A6"/>
    <w:rsid w:val="00037BB3"/>
    <w:rsid w:val="0004246F"/>
    <w:rsid w:val="00042776"/>
    <w:rsid w:val="0004286D"/>
    <w:rsid w:val="000476FA"/>
    <w:rsid w:val="00051CF1"/>
    <w:rsid w:val="000525F0"/>
    <w:rsid w:val="00053F59"/>
    <w:rsid w:val="00055B82"/>
    <w:rsid w:val="00056137"/>
    <w:rsid w:val="00060FFC"/>
    <w:rsid w:val="00071007"/>
    <w:rsid w:val="00071403"/>
    <w:rsid w:val="00074DF7"/>
    <w:rsid w:val="000823F7"/>
    <w:rsid w:val="00083E27"/>
    <w:rsid w:val="00083EF9"/>
    <w:rsid w:val="00092F1A"/>
    <w:rsid w:val="00094E02"/>
    <w:rsid w:val="000A0105"/>
    <w:rsid w:val="000A1247"/>
    <w:rsid w:val="000A47E6"/>
    <w:rsid w:val="000A4CE4"/>
    <w:rsid w:val="000A7891"/>
    <w:rsid w:val="000B4C19"/>
    <w:rsid w:val="000B56F3"/>
    <w:rsid w:val="000B5A63"/>
    <w:rsid w:val="000E674C"/>
    <w:rsid w:val="000F04EB"/>
    <w:rsid w:val="000F35C1"/>
    <w:rsid w:val="000F3B09"/>
    <w:rsid w:val="000F4D78"/>
    <w:rsid w:val="000F6B23"/>
    <w:rsid w:val="00100167"/>
    <w:rsid w:val="00105F3D"/>
    <w:rsid w:val="00110BA5"/>
    <w:rsid w:val="00123BAD"/>
    <w:rsid w:val="0013079F"/>
    <w:rsid w:val="0014150E"/>
    <w:rsid w:val="00142A15"/>
    <w:rsid w:val="00160BEF"/>
    <w:rsid w:val="0016355B"/>
    <w:rsid w:val="00163F7B"/>
    <w:rsid w:val="00172778"/>
    <w:rsid w:val="00175B46"/>
    <w:rsid w:val="00176AEB"/>
    <w:rsid w:val="0018082C"/>
    <w:rsid w:val="001817E8"/>
    <w:rsid w:val="00187405"/>
    <w:rsid w:val="00193BC9"/>
    <w:rsid w:val="001949B9"/>
    <w:rsid w:val="00197CAA"/>
    <w:rsid w:val="001A19C0"/>
    <w:rsid w:val="001A4A96"/>
    <w:rsid w:val="001A6CCB"/>
    <w:rsid w:val="001B000D"/>
    <w:rsid w:val="001B0DFB"/>
    <w:rsid w:val="001C1098"/>
    <w:rsid w:val="001C37D7"/>
    <w:rsid w:val="001C6F5A"/>
    <w:rsid w:val="001D43D0"/>
    <w:rsid w:val="001E6965"/>
    <w:rsid w:val="001F568F"/>
    <w:rsid w:val="001F5D53"/>
    <w:rsid w:val="001F730D"/>
    <w:rsid w:val="00201545"/>
    <w:rsid w:val="0020229E"/>
    <w:rsid w:val="00204643"/>
    <w:rsid w:val="00220D37"/>
    <w:rsid w:val="00222574"/>
    <w:rsid w:val="00231433"/>
    <w:rsid w:val="00231F6F"/>
    <w:rsid w:val="00232B95"/>
    <w:rsid w:val="00233FCE"/>
    <w:rsid w:val="002355E8"/>
    <w:rsid w:val="0023780C"/>
    <w:rsid w:val="00240540"/>
    <w:rsid w:val="00240890"/>
    <w:rsid w:val="002425E4"/>
    <w:rsid w:val="00246DE4"/>
    <w:rsid w:val="00257800"/>
    <w:rsid w:val="00271A65"/>
    <w:rsid w:val="00282249"/>
    <w:rsid w:val="00284596"/>
    <w:rsid w:val="002858CD"/>
    <w:rsid w:val="00291CB1"/>
    <w:rsid w:val="00292289"/>
    <w:rsid w:val="00295220"/>
    <w:rsid w:val="002A7D36"/>
    <w:rsid w:val="002B3AEB"/>
    <w:rsid w:val="002C0008"/>
    <w:rsid w:val="002C747A"/>
    <w:rsid w:val="002D2B27"/>
    <w:rsid w:val="002E0214"/>
    <w:rsid w:val="002E4835"/>
    <w:rsid w:val="002E5D03"/>
    <w:rsid w:val="002E786C"/>
    <w:rsid w:val="003029BF"/>
    <w:rsid w:val="00304338"/>
    <w:rsid w:val="00306DBE"/>
    <w:rsid w:val="003076C7"/>
    <w:rsid w:val="0031257F"/>
    <w:rsid w:val="0032335F"/>
    <w:rsid w:val="003258C5"/>
    <w:rsid w:val="00325A6F"/>
    <w:rsid w:val="00332B4F"/>
    <w:rsid w:val="00341261"/>
    <w:rsid w:val="003414AF"/>
    <w:rsid w:val="003431DB"/>
    <w:rsid w:val="00344BFB"/>
    <w:rsid w:val="003645FD"/>
    <w:rsid w:val="00372B0A"/>
    <w:rsid w:val="003734D3"/>
    <w:rsid w:val="00375F69"/>
    <w:rsid w:val="003817D3"/>
    <w:rsid w:val="0038268E"/>
    <w:rsid w:val="003831A2"/>
    <w:rsid w:val="00384C24"/>
    <w:rsid w:val="003852E2"/>
    <w:rsid w:val="003865B2"/>
    <w:rsid w:val="003865D9"/>
    <w:rsid w:val="00386982"/>
    <w:rsid w:val="003877B2"/>
    <w:rsid w:val="003970CF"/>
    <w:rsid w:val="003A01A5"/>
    <w:rsid w:val="003A76FA"/>
    <w:rsid w:val="003B073D"/>
    <w:rsid w:val="003B486A"/>
    <w:rsid w:val="003C0CA0"/>
    <w:rsid w:val="003C2FBA"/>
    <w:rsid w:val="003C3697"/>
    <w:rsid w:val="003C3AF3"/>
    <w:rsid w:val="003C6218"/>
    <w:rsid w:val="003C665B"/>
    <w:rsid w:val="003E205B"/>
    <w:rsid w:val="003E4612"/>
    <w:rsid w:val="003E5070"/>
    <w:rsid w:val="003F4543"/>
    <w:rsid w:val="003F6BC3"/>
    <w:rsid w:val="004008C2"/>
    <w:rsid w:val="00403F3D"/>
    <w:rsid w:val="00404C6B"/>
    <w:rsid w:val="00410642"/>
    <w:rsid w:val="004124BC"/>
    <w:rsid w:val="004153BF"/>
    <w:rsid w:val="0042175E"/>
    <w:rsid w:val="004226C7"/>
    <w:rsid w:val="00423666"/>
    <w:rsid w:val="00427DCC"/>
    <w:rsid w:val="00434A29"/>
    <w:rsid w:val="004428E5"/>
    <w:rsid w:val="00444A0A"/>
    <w:rsid w:val="00444D23"/>
    <w:rsid w:val="00445394"/>
    <w:rsid w:val="00446136"/>
    <w:rsid w:val="00446224"/>
    <w:rsid w:val="004479F1"/>
    <w:rsid w:val="004542C7"/>
    <w:rsid w:val="00454D63"/>
    <w:rsid w:val="0047104A"/>
    <w:rsid w:val="004724EF"/>
    <w:rsid w:val="00472769"/>
    <w:rsid w:val="00472EEB"/>
    <w:rsid w:val="004850DA"/>
    <w:rsid w:val="00486082"/>
    <w:rsid w:val="00490270"/>
    <w:rsid w:val="00492673"/>
    <w:rsid w:val="00495061"/>
    <w:rsid w:val="004A0D6C"/>
    <w:rsid w:val="004A46F2"/>
    <w:rsid w:val="004A4AAF"/>
    <w:rsid w:val="004A66C9"/>
    <w:rsid w:val="004B7DA8"/>
    <w:rsid w:val="004C2F01"/>
    <w:rsid w:val="004C4326"/>
    <w:rsid w:val="004C4EA1"/>
    <w:rsid w:val="004C7363"/>
    <w:rsid w:val="004D362E"/>
    <w:rsid w:val="004D3EB2"/>
    <w:rsid w:val="004D4267"/>
    <w:rsid w:val="004D7723"/>
    <w:rsid w:val="004E0EFE"/>
    <w:rsid w:val="004E14A2"/>
    <w:rsid w:val="004E5C8A"/>
    <w:rsid w:val="004F05F8"/>
    <w:rsid w:val="004F581B"/>
    <w:rsid w:val="004F7382"/>
    <w:rsid w:val="00500C93"/>
    <w:rsid w:val="005049FC"/>
    <w:rsid w:val="005064CE"/>
    <w:rsid w:val="00507FCF"/>
    <w:rsid w:val="005127FC"/>
    <w:rsid w:val="005154AF"/>
    <w:rsid w:val="005155A1"/>
    <w:rsid w:val="00525EB5"/>
    <w:rsid w:val="00526683"/>
    <w:rsid w:val="00535FCB"/>
    <w:rsid w:val="00542D58"/>
    <w:rsid w:val="0054525F"/>
    <w:rsid w:val="0054630E"/>
    <w:rsid w:val="00551D0D"/>
    <w:rsid w:val="005530B6"/>
    <w:rsid w:val="00556BCC"/>
    <w:rsid w:val="005607C7"/>
    <w:rsid w:val="00564212"/>
    <w:rsid w:val="00565D3A"/>
    <w:rsid w:val="00566466"/>
    <w:rsid w:val="00567414"/>
    <w:rsid w:val="00585947"/>
    <w:rsid w:val="0058788E"/>
    <w:rsid w:val="00593771"/>
    <w:rsid w:val="00594C45"/>
    <w:rsid w:val="00595C63"/>
    <w:rsid w:val="005A5F9B"/>
    <w:rsid w:val="005A7629"/>
    <w:rsid w:val="005B07D3"/>
    <w:rsid w:val="005B7FA3"/>
    <w:rsid w:val="005C450D"/>
    <w:rsid w:val="005C4D26"/>
    <w:rsid w:val="005D3325"/>
    <w:rsid w:val="005D3F37"/>
    <w:rsid w:val="005D7F6E"/>
    <w:rsid w:val="005E3DA9"/>
    <w:rsid w:val="005E42C6"/>
    <w:rsid w:val="005E46C2"/>
    <w:rsid w:val="005E47B7"/>
    <w:rsid w:val="005E591F"/>
    <w:rsid w:val="005F1D86"/>
    <w:rsid w:val="005F5364"/>
    <w:rsid w:val="005F6A1F"/>
    <w:rsid w:val="006013BE"/>
    <w:rsid w:val="006034FF"/>
    <w:rsid w:val="00605113"/>
    <w:rsid w:val="00605E6A"/>
    <w:rsid w:val="0061039B"/>
    <w:rsid w:val="00610471"/>
    <w:rsid w:val="00611305"/>
    <w:rsid w:val="00614687"/>
    <w:rsid w:val="006154A9"/>
    <w:rsid w:val="00616469"/>
    <w:rsid w:val="00621B2E"/>
    <w:rsid w:val="006221A3"/>
    <w:rsid w:val="00630A2D"/>
    <w:rsid w:val="006339F1"/>
    <w:rsid w:val="00643F18"/>
    <w:rsid w:val="00646467"/>
    <w:rsid w:val="00653088"/>
    <w:rsid w:val="00667302"/>
    <w:rsid w:val="00681D93"/>
    <w:rsid w:val="00687345"/>
    <w:rsid w:val="006874A7"/>
    <w:rsid w:val="0068764F"/>
    <w:rsid w:val="006932D1"/>
    <w:rsid w:val="006934FC"/>
    <w:rsid w:val="00697281"/>
    <w:rsid w:val="00697421"/>
    <w:rsid w:val="006A0886"/>
    <w:rsid w:val="006A45CD"/>
    <w:rsid w:val="006A672C"/>
    <w:rsid w:val="006B7E8D"/>
    <w:rsid w:val="006C2508"/>
    <w:rsid w:val="006C3F48"/>
    <w:rsid w:val="006D1C11"/>
    <w:rsid w:val="006D5B59"/>
    <w:rsid w:val="006F1FEA"/>
    <w:rsid w:val="006F381C"/>
    <w:rsid w:val="006F4AF6"/>
    <w:rsid w:val="00704AF4"/>
    <w:rsid w:val="00712459"/>
    <w:rsid w:val="00712803"/>
    <w:rsid w:val="007152FC"/>
    <w:rsid w:val="00717601"/>
    <w:rsid w:val="00717FEF"/>
    <w:rsid w:val="00730621"/>
    <w:rsid w:val="007310C6"/>
    <w:rsid w:val="00741FB1"/>
    <w:rsid w:val="0075005B"/>
    <w:rsid w:val="007532F0"/>
    <w:rsid w:val="00753E40"/>
    <w:rsid w:val="00756CAE"/>
    <w:rsid w:val="0076528F"/>
    <w:rsid w:val="00767ABA"/>
    <w:rsid w:val="0078047A"/>
    <w:rsid w:val="00782B9D"/>
    <w:rsid w:val="00783CC9"/>
    <w:rsid w:val="007857EA"/>
    <w:rsid w:val="007859F1"/>
    <w:rsid w:val="00786C3E"/>
    <w:rsid w:val="007875D1"/>
    <w:rsid w:val="007A34BE"/>
    <w:rsid w:val="007A74BA"/>
    <w:rsid w:val="007A7C32"/>
    <w:rsid w:val="007B2EEF"/>
    <w:rsid w:val="007C306E"/>
    <w:rsid w:val="007D4235"/>
    <w:rsid w:val="007D62F7"/>
    <w:rsid w:val="007F14FC"/>
    <w:rsid w:val="007F3584"/>
    <w:rsid w:val="008010C3"/>
    <w:rsid w:val="008034ED"/>
    <w:rsid w:val="00803AE0"/>
    <w:rsid w:val="008112DB"/>
    <w:rsid w:val="00813FFC"/>
    <w:rsid w:val="00814DED"/>
    <w:rsid w:val="0081519B"/>
    <w:rsid w:val="00821A17"/>
    <w:rsid w:val="008248B8"/>
    <w:rsid w:val="00825028"/>
    <w:rsid w:val="008252B6"/>
    <w:rsid w:val="00832355"/>
    <w:rsid w:val="008365EC"/>
    <w:rsid w:val="00846A38"/>
    <w:rsid w:val="00846AD9"/>
    <w:rsid w:val="00847840"/>
    <w:rsid w:val="00847FAC"/>
    <w:rsid w:val="008533C8"/>
    <w:rsid w:val="00854A57"/>
    <w:rsid w:val="00857E71"/>
    <w:rsid w:val="00862C96"/>
    <w:rsid w:val="0086774D"/>
    <w:rsid w:val="0087576D"/>
    <w:rsid w:val="0087586F"/>
    <w:rsid w:val="008940B5"/>
    <w:rsid w:val="00894A67"/>
    <w:rsid w:val="0089670C"/>
    <w:rsid w:val="008A2CD8"/>
    <w:rsid w:val="008B37D6"/>
    <w:rsid w:val="008B5680"/>
    <w:rsid w:val="008B7520"/>
    <w:rsid w:val="008C2228"/>
    <w:rsid w:val="008C7639"/>
    <w:rsid w:val="008C7DD9"/>
    <w:rsid w:val="008D0382"/>
    <w:rsid w:val="008E3092"/>
    <w:rsid w:val="008E4C93"/>
    <w:rsid w:val="008F5D73"/>
    <w:rsid w:val="008F76D6"/>
    <w:rsid w:val="00901C98"/>
    <w:rsid w:val="00904B48"/>
    <w:rsid w:val="009134FF"/>
    <w:rsid w:val="009136B5"/>
    <w:rsid w:val="00922997"/>
    <w:rsid w:val="00923D91"/>
    <w:rsid w:val="009258BC"/>
    <w:rsid w:val="0092743D"/>
    <w:rsid w:val="00931737"/>
    <w:rsid w:val="00931A18"/>
    <w:rsid w:val="00934651"/>
    <w:rsid w:val="00934E5B"/>
    <w:rsid w:val="0094302F"/>
    <w:rsid w:val="00950905"/>
    <w:rsid w:val="00952521"/>
    <w:rsid w:val="00952FD4"/>
    <w:rsid w:val="0095397B"/>
    <w:rsid w:val="0095575C"/>
    <w:rsid w:val="00960D16"/>
    <w:rsid w:val="00972B4B"/>
    <w:rsid w:val="009753E9"/>
    <w:rsid w:val="00984EA1"/>
    <w:rsid w:val="00990F49"/>
    <w:rsid w:val="00994B21"/>
    <w:rsid w:val="009974F3"/>
    <w:rsid w:val="009978AA"/>
    <w:rsid w:val="009A1AA7"/>
    <w:rsid w:val="009B2578"/>
    <w:rsid w:val="009B3ACA"/>
    <w:rsid w:val="009B590F"/>
    <w:rsid w:val="009E3710"/>
    <w:rsid w:val="009E5DF7"/>
    <w:rsid w:val="009E5F7A"/>
    <w:rsid w:val="009E647D"/>
    <w:rsid w:val="009F0750"/>
    <w:rsid w:val="00A0310B"/>
    <w:rsid w:val="00A075D3"/>
    <w:rsid w:val="00A23870"/>
    <w:rsid w:val="00A240BC"/>
    <w:rsid w:val="00A264CA"/>
    <w:rsid w:val="00A26D83"/>
    <w:rsid w:val="00A3285A"/>
    <w:rsid w:val="00A35BA3"/>
    <w:rsid w:val="00A36920"/>
    <w:rsid w:val="00A42EF6"/>
    <w:rsid w:val="00A45251"/>
    <w:rsid w:val="00A466A6"/>
    <w:rsid w:val="00A46CB4"/>
    <w:rsid w:val="00A47A54"/>
    <w:rsid w:val="00A52673"/>
    <w:rsid w:val="00A55640"/>
    <w:rsid w:val="00A65235"/>
    <w:rsid w:val="00A704BC"/>
    <w:rsid w:val="00A74E05"/>
    <w:rsid w:val="00A75326"/>
    <w:rsid w:val="00A82CBA"/>
    <w:rsid w:val="00A860AF"/>
    <w:rsid w:val="00A8692B"/>
    <w:rsid w:val="00A90154"/>
    <w:rsid w:val="00A94E85"/>
    <w:rsid w:val="00A950BA"/>
    <w:rsid w:val="00AA0385"/>
    <w:rsid w:val="00AA0BA6"/>
    <w:rsid w:val="00AA0E4F"/>
    <w:rsid w:val="00AA3FCC"/>
    <w:rsid w:val="00AA6194"/>
    <w:rsid w:val="00AB152E"/>
    <w:rsid w:val="00AB25CE"/>
    <w:rsid w:val="00AB272A"/>
    <w:rsid w:val="00AB39CD"/>
    <w:rsid w:val="00AB46EA"/>
    <w:rsid w:val="00AB5F0D"/>
    <w:rsid w:val="00AC5BB7"/>
    <w:rsid w:val="00AC6E12"/>
    <w:rsid w:val="00AC7F8B"/>
    <w:rsid w:val="00AD6E80"/>
    <w:rsid w:val="00AE08D0"/>
    <w:rsid w:val="00AE4880"/>
    <w:rsid w:val="00AE5BED"/>
    <w:rsid w:val="00AE66B7"/>
    <w:rsid w:val="00AF1038"/>
    <w:rsid w:val="00AF16F7"/>
    <w:rsid w:val="00AF3CC9"/>
    <w:rsid w:val="00B00A0B"/>
    <w:rsid w:val="00B03DC1"/>
    <w:rsid w:val="00B03F61"/>
    <w:rsid w:val="00B04FCA"/>
    <w:rsid w:val="00B07D67"/>
    <w:rsid w:val="00B11F02"/>
    <w:rsid w:val="00B134A3"/>
    <w:rsid w:val="00B16827"/>
    <w:rsid w:val="00B17037"/>
    <w:rsid w:val="00B223A9"/>
    <w:rsid w:val="00B2479E"/>
    <w:rsid w:val="00B278AB"/>
    <w:rsid w:val="00B3501E"/>
    <w:rsid w:val="00B36522"/>
    <w:rsid w:val="00B40397"/>
    <w:rsid w:val="00B519F3"/>
    <w:rsid w:val="00B5619F"/>
    <w:rsid w:val="00B613B8"/>
    <w:rsid w:val="00B62F57"/>
    <w:rsid w:val="00B63029"/>
    <w:rsid w:val="00B63112"/>
    <w:rsid w:val="00B6749A"/>
    <w:rsid w:val="00B67B48"/>
    <w:rsid w:val="00B706FC"/>
    <w:rsid w:val="00B739FC"/>
    <w:rsid w:val="00B74FDD"/>
    <w:rsid w:val="00B76FCA"/>
    <w:rsid w:val="00B7745C"/>
    <w:rsid w:val="00B80F87"/>
    <w:rsid w:val="00B829E7"/>
    <w:rsid w:val="00B9002B"/>
    <w:rsid w:val="00B91F97"/>
    <w:rsid w:val="00B9273D"/>
    <w:rsid w:val="00B93EE2"/>
    <w:rsid w:val="00B968F0"/>
    <w:rsid w:val="00BA1D4B"/>
    <w:rsid w:val="00BA486D"/>
    <w:rsid w:val="00BB28A2"/>
    <w:rsid w:val="00BB3132"/>
    <w:rsid w:val="00BB6551"/>
    <w:rsid w:val="00BB7662"/>
    <w:rsid w:val="00BC0733"/>
    <w:rsid w:val="00BD0053"/>
    <w:rsid w:val="00BD04C9"/>
    <w:rsid w:val="00BD40BD"/>
    <w:rsid w:val="00BD4F97"/>
    <w:rsid w:val="00BE6435"/>
    <w:rsid w:val="00BF3486"/>
    <w:rsid w:val="00C00F1E"/>
    <w:rsid w:val="00C01DAB"/>
    <w:rsid w:val="00C144F2"/>
    <w:rsid w:val="00C1499B"/>
    <w:rsid w:val="00C15633"/>
    <w:rsid w:val="00C2117D"/>
    <w:rsid w:val="00C2229A"/>
    <w:rsid w:val="00C22922"/>
    <w:rsid w:val="00C24FC4"/>
    <w:rsid w:val="00C2685C"/>
    <w:rsid w:val="00C35484"/>
    <w:rsid w:val="00C4247C"/>
    <w:rsid w:val="00C43740"/>
    <w:rsid w:val="00C440B6"/>
    <w:rsid w:val="00C47489"/>
    <w:rsid w:val="00C53652"/>
    <w:rsid w:val="00C60FF5"/>
    <w:rsid w:val="00C61343"/>
    <w:rsid w:val="00C634CD"/>
    <w:rsid w:val="00C80CAD"/>
    <w:rsid w:val="00C8152F"/>
    <w:rsid w:val="00C83E2B"/>
    <w:rsid w:val="00C83F42"/>
    <w:rsid w:val="00C84969"/>
    <w:rsid w:val="00C94F67"/>
    <w:rsid w:val="00C950CD"/>
    <w:rsid w:val="00C96B4F"/>
    <w:rsid w:val="00CA73ED"/>
    <w:rsid w:val="00CB01FB"/>
    <w:rsid w:val="00CB0E32"/>
    <w:rsid w:val="00CB15AE"/>
    <w:rsid w:val="00CB467E"/>
    <w:rsid w:val="00CB6644"/>
    <w:rsid w:val="00CE0892"/>
    <w:rsid w:val="00CE50CF"/>
    <w:rsid w:val="00CE763C"/>
    <w:rsid w:val="00CF0E0B"/>
    <w:rsid w:val="00CF2432"/>
    <w:rsid w:val="00CF3691"/>
    <w:rsid w:val="00CF78D1"/>
    <w:rsid w:val="00D0213A"/>
    <w:rsid w:val="00D045C9"/>
    <w:rsid w:val="00D05059"/>
    <w:rsid w:val="00D11D0A"/>
    <w:rsid w:val="00D230EA"/>
    <w:rsid w:val="00D43D83"/>
    <w:rsid w:val="00D47F6B"/>
    <w:rsid w:val="00D50004"/>
    <w:rsid w:val="00D551DA"/>
    <w:rsid w:val="00D621FC"/>
    <w:rsid w:val="00D64F99"/>
    <w:rsid w:val="00D66D5B"/>
    <w:rsid w:val="00D712F5"/>
    <w:rsid w:val="00D716B3"/>
    <w:rsid w:val="00D724E1"/>
    <w:rsid w:val="00D73E0A"/>
    <w:rsid w:val="00D76383"/>
    <w:rsid w:val="00D81E77"/>
    <w:rsid w:val="00D81F1C"/>
    <w:rsid w:val="00D86507"/>
    <w:rsid w:val="00D86704"/>
    <w:rsid w:val="00D9048D"/>
    <w:rsid w:val="00D90FB0"/>
    <w:rsid w:val="00D911A0"/>
    <w:rsid w:val="00D91D61"/>
    <w:rsid w:val="00DA0C26"/>
    <w:rsid w:val="00DA6955"/>
    <w:rsid w:val="00DA6E49"/>
    <w:rsid w:val="00DB5348"/>
    <w:rsid w:val="00DC6352"/>
    <w:rsid w:val="00DD4467"/>
    <w:rsid w:val="00DE602E"/>
    <w:rsid w:val="00DE63E1"/>
    <w:rsid w:val="00DF7010"/>
    <w:rsid w:val="00E17D97"/>
    <w:rsid w:val="00E270DB"/>
    <w:rsid w:val="00E3203C"/>
    <w:rsid w:val="00E3552D"/>
    <w:rsid w:val="00E414CF"/>
    <w:rsid w:val="00E41BD3"/>
    <w:rsid w:val="00E4450D"/>
    <w:rsid w:val="00E5156A"/>
    <w:rsid w:val="00E5754D"/>
    <w:rsid w:val="00E604D8"/>
    <w:rsid w:val="00E6066D"/>
    <w:rsid w:val="00E6219B"/>
    <w:rsid w:val="00E71BDB"/>
    <w:rsid w:val="00E74E3E"/>
    <w:rsid w:val="00E763A3"/>
    <w:rsid w:val="00E76AA5"/>
    <w:rsid w:val="00E80D98"/>
    <w:rsid w:val="00E825A9"/>
    <w:rsid w:val="00E85B8A"/>
    <w:rsid w:val="00E9627C"/>
    <w:rsid w:val="00EA2B78"/>
    <w:rsid w:val="00EA33E9"/>
    <w:rsid w:val="00EA3C8D"/>
    <w:rsid w:val="00EB089E"/>
    <w:rsid w:val="00EB3D84"/>
    <w:rsid w:val="00EB4ADB"/>
    <w:rsid w:val="00EB5174"/>
    <w:rsid w:val="00EC0922"/>
    <w:rsid w:val="00EC74B4"/>
    <w:rsid w:val="00ED26A9"/>
    <w:rsid w:val="00ED464B"/>
    <w:rsid w:val="00ED782C"/>
    <w:rsid w:val="00EE1E88"/>
    <w:rsid w:val="00EE3137"/>
    <w:rsid w:val="00EE4F1D"/>
    <w:rsid w:val="00EF3068"/>
    <w:rsid w:val="00EF6728"/>
    <w:rsid w:val="00F01C15"/>
    <w:rsid w:val="00F07192"/>
    <w:rsid w:val="00F127CF"/>
    <w:rsid w:val="00F14C75"/>
    <w:rsid w:val="00F17977"/>
    <w:rsid w:val="00F213A8"/>
    <w:rsid w:val="00F25D58"/>
    <w:rsid w:val="00F37ED3"/>
    <w:rsid w:val="00F42529"/>
    <w:rsid w:val="00F504FF"/>
    <w:rsid w:val="00F527AA"/>
    <w:rsid w:val="00F545FA"/>
    <w:rsid w:val="00F547CD"/>
    <w:rsid w:val="00F60E97"/>
    <w:rsid w:val="00F631D4"/>
    <w:rsid w:val="00F64D7B"/>
    <w:rsid w:val="00F83C9D"/>
    <w:rsid w:val="00F84201"/>
    <w:rsid w:val="00F84DED"/>
    <w:rsid w:val="00F862F0"/>
    <w:rsid w:val="00F92B28"/>
    <w:rsid w:val="00F95981"/>
    <w:rsid w:val="00FA04FA"/>
    <w:rsid w:val="00FA10AA"/>
    <w:rsid w:val="00FA15B6"/>
    <w:rsid w:val="00FA2BB2"/>
    <w:rsid w:val="00FA4078"/>
    <w:rsid w:val="00FC0601"/>
    <w:rsid w:val="00FC6A5F"/>
    <w:rsid w:val="00FC7B99"/>
    <w:rsid w:val="00FD4156"/>
    <w:rsid w:val="00FD4C4F"/>
    <w:rsid w:val="00FD6730"/>
    <w:rsid w:val="00FE0013"/>
    <w:rsid w:val="00FE036D"/>
    <w:rsid w:val="00FE246D"/>
    <w:rsid w:val="00FE6162"/>
    <w:rsid w:val="00FF1ABA"/>
    <w:rsid w:val="00FF2D63"/>
    <w:rsid w:val="00FF5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uiPriority="22"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character" w:styleId="Hyperlink">
    <w:name w:val="Hyperlink"/>
    <w:basedOn w:val="DefaultParagraphFont"/>
    <w:uiPriority w:val="99"/>
    <w:unhideWhenUsed/>
    <w:locked/>
    <w:rsid w:val="007F3584"/>
    <w:rPr>
      <w:color w:val="0000FF"/>
      <w:u w:val="single"/>
    </w:rPr>
  </w:style>
  <w:style w:type="paragraph" w:styleId="ListParagraph">
    <w:name w:val="List Paragraph"/>
    <w:basedOn w:val="Normal"/>
    <w:uiPriority w:val="34"/>
    <w:qFormat/>
    <w:rsid w:val="007F3584"/>
    <w:pPr>
      <w:ind w:left="720"/>
      <w:contextualSpacing/>
    </w:pPr>
  </w:style>
  <w:style w:type="paragraph" w:customStyle="1" w:styleId="Default">
    <w:name w:val="Default"/>
    <w:rsid w:val="007F3584"/>
    <w:pPr>
      <w:autoSpaceDE w:val="0"/>
      <w:autoSpaceDN w:val="0"/>
      <w:adjustRightInd w:val="0"/>
    </w:pPr>
    <w:rPr>
      <w:color w:val="000000"/>
      <w:sz w:val="24"/>
      <w:szCs w:val="24"/>
      <w:lang w:val="lv-LV" w:eastAsia="lv-LV"/>
    </w:rPr>
  </w:style>
  <w:style w:type="character" w:styleId="UnresolvedMention">
    <w:name w:val="Unresolved Mention"/>
    <w:basedOn w:val="DefaultParagraphFont"/>
    <w:uiPriority w:val="99"/>
    <w:semiHidden/>
    <w:unhideWhenUsed/>
    <w:rsid w:val="0054630E"/>
    <w:rPr>
      <w:color w:val="605E5C"/>
      <w:shd w:val="clear" w:color="auto" w:fill="E1DFDD"/>
    </w:rPr>
  </w:style>
  <w:style w:type="paragraph" w:styleId="Revision">
    <w:name w:val="Revision"/>
    <w:hidden/>
    <w:uiPriority w:val="99"/>
    <w:semiHidden/>
    <w:rsid w:val="00ED782C"/>
    <w:rPr>
      <w:sz w:val="24"/>
      <w:szCs w:val="24"/>
      <w:lang w:val="en-GB" w:eastAsia="en-US"/>
    </w:rPr>
  </w:style>
  <w:style w:type="character" w:styleId="CommentReference">
    <w:name w:val="annotation reference"/>
    <w:basedOn w:val="DefaultParagraphFont"/>
    <w:locked/>
    <w:rsid w:val="00197CAA"/>
    <w:rPr>
      <w:sz w:val="16"/>
      <w:szCs w:val="16"/>
    </w:rPr>
  </w:style>
  <w:style w:type="paragraph" w:styleId="CommentText">
    <w:name w:val="annotation text"/>
    <w:basedOn w:val="Normal"/>
    <w:link w:val="CommentTextChar"/>
    <w:locked/>
    <w:rsid w:val="00197CAA"/>
    <w:rPr>
      <w:sz w:val="20"/>
      <w:szCs w:val="20"/>
    </w:rPr>
  </w:style>
  <w:style w:type="character" w:customStyle="1" w:styleId="CommentTextChar">
    <w:name w:val="Comment Text Char"/>
    <w:basedOn w:val="DefaultParagraphFont"/>
    <w:link w:val="CommentText"/>
    <w:rsid w:val="00197CAA"/>
    <w:rPr>
      <w:lang w:val="en-GB" w:eastAsia="en-US"/>
    </w:rPr>
  </w:style>
  <w:style w:type="paragraph" w:styleId="CommentSubject">
    <w:name w:val="annotation subject"/>
    <w:basedOn w:val="CommentText"/>
    <w:next w:val="CommentText"/>
    <w:link w:val="CommentSubjectChar"/>
    <w:semiHidden/>
    <w:unhideWhenUsed/>
    <w:locked/>
    <w:rsid w:val="00197CAA"/>
    <w:rPr>
      <w:b/>
      <w:bCs/>
    </w:rPr>
  </w:style>
  <w:style w:type="character" w:customStyle="1" w:styleId="CommentSubjectChar">
    <w:name w:val="Comment Subject Char"/>
    <w:basedOn w:val="CommentTextChar"/>
    <w:link w:val="CommentSubject"/>
    <w:semiHidden/>
    <w:rsid w:val="00197CAA"/>
    <w:rPr>
      <w:b/>
      <w:bCs/>
      <w:lang w:val="en-GB" w:eastAsia="en-US"/>
    </w:rPr>
  </w:style>
  <w:style w:type="paragraph" w:customStyle="1" w:styleId="Tabulasheader">
    <w:name w:val="Tabulas header"/>
    <w:basedOn w:val="BodyText"/>
    <w:link w:val="TabulasheaderChar"/>
    <w:uiPriority w:val="1"/>
    <w:qFormat/>
    <w:rsid w:val="008C7639"/>
    <w:pPr>
      <w:spacing w:before="120"/>
      <w:jc w:val="center"/>
    </w:pPr>
    <w:rPr>
      <w:rFonts w:asciiTheme="minorHAnsi" w:eastAsiaTheme="minorEastAsia" w:hAnsiTheme="minorHAnsi" w:cstheme="minorBidi"/>
      <w:b/>
      <w:bCs/>
      <w:sz w:val="22"/>
      <w:szCs w:val="22"/>
      <w:lang w:val="lv" w:eastAsia="zh-CN"/>
      <w14:ligatures w14:val="standardContextual"/>
    </w:rPr>
  </w:style>
  <w:style w:type="character" w:customStyle="1" w:styleId="TabulasheaderChar">
    <w:name w:val="Tabulas header Char"/>
    <w:basedOn w:val="BodyTextChar"/>
    <w:link w:val="Tabulasheader"/>
    <w:uiPriority w:val="1"/>
    <w:rsid w:val="008C7639"/>
    <w:rPr>
      <w:rFonts w:asciiTheme="minorHAnsi" w:eastAsiaTheme="minorEastAsia" w:hAnsiTheme="minorHAnsi" w:cstheme="minorBidi"/>
      <w:b/>
      <w:bCs/>
      <w:sz w:val="22"/>
      <w:szCs w:val="22"/>
      <w:lang w:val="lv" w:eastAsia="zh-CN"/>
      <w14:ligatures w14:val="standardContextual"/>
    </w:rPr>
  </w:style>
  <w:style w:type="paragraph" w:styleId="BodyText">
    <w:name w:val="Body Text"/>
    <w:basedOn w:val="Normal"/>
    <w:link w:val="BodyTextChar"/>
    <w:locked/>
    <w:rsid w:val="008C7639"/>
    <w:pPr>
      <w:spacing w:after="120"/>
    </w:pPr>
  </w:style>
  <w:style w:type="character" w:customStyle="1" w:styleId="BodyTextChar">
    <w:name w:val="Body Text Char"/>
    <w:basedOn w:val="DefaultParagraphFont"/>
    <w:link w:val="BodyText"/>
    <w:rsid w:val="008C7639"/>
    <w:rPr>
      <w:sz w:val="24"/>
      <w:szCs w:val="24"/>
      <w:lang w:val="en-GB" w:eastAsia="en-US"/>
    </w:rPr>
  </w:style>
  <w:style w:type="paragraph" w:styleId="NormalWeb">
    <w:name w:val="Normal (Web)"/>
    <w:basedOn w:val="Normal"/>
    <w:uiPriority w:val="99"/>
    <w:unhideWhenUsed/>
    <w:locked/>
    <w:rsid w:val="009F0750"/>
    <w:pPr>
      <w:spacing w:before="100" w:beforeAutospacing="1" w:after="100" w:afterAutospacing="1"/>
    </w:pPr>
    <w:rPr>
      <w:lang w:eastAsia="lv-LV"/>
    </w:rPr>
  </w:style>
  <w:style w:type="character" w:styleId="Strong">
    <w:name w:val="Strong"/>
    <w:basedOn w:val="DefaultParagraphFont"/>
    <w:uiPriority w:val="22"/>
    <w:qFormat/>
    <w:locked/>
    <w:rsid w:val="009F0750"/>
    <w:rPr>
      <w:b/>
      <w:bCs/>
    </w:rPr>
  </w:style>
  <w:style w:type="table" w:styleId="TableGrid">
    <w:name w:val="Table Grid"/>
    <w:basedOn w:val="TableNormal"/>
    <w:locked/>
    <w:rsid w:val="0029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8830">
      <w:bodyDiv w:val="1"/>
      <w:marLeft w:val="0"/>
      <w:marRight w:val="0"/>
      <w:marTop w:val="0"/>
      <w:marBottom w:val="0"/>
      <w:divBdr>
        <w:top w:val="none" w:sz="0" w:space="0" w:color="auto"/>
        <w:left w:val="none" w:sz="0" w:space="0" w:color="auto"/>
        <w:bottom w:val="none" w:sz="0" w:space="0" w:color="auto"/>
        <w:right w:val="none" w:sz="0" w:space="0" w:color="auto"/>
      </w:divBdr>
    </w:div>
    <w:div w:id="99616137">
      <w:bodyDiv w:val="1"/>
      <w:marLeft w:val="0"/>
      <w:marRight w:val="0"/>
      <w:marTop w:val="0"/>
      <w:marBottom w:val="0"/>
      <w:divBdr>
        <w:top w:val="none" w:sz="0" w:space="0" w:color="auto"/>
        <w:left w:val="none" w:sz="0" w:space="0" w:color="auto"/>
        <w:bottom w:val="none" w:sz="0" w:space="0" w:color="auto"/>
        <w:right w:val="none" w:sz="0" w:space="0" w:color="auto"/>
      </w:divBdr>
    </w:div>
    <w:div w:id="127012923">
      <w:bodyDiv w:val="1"/>
      <w:marLeft w:val="0"/>
      <w:marRight w:val="0"/>
      <w:marTop w:val="0"/>
      <w:marBottom w:val="0"/>
      <w:divBdr>
        <w:top w:val="none" w:sz="0" w:space="0" w:color="auto"/>
        <w:left w:val="none" w:sz="0" w:space="0" w:color="auto"/>
        <w:bottom w:val="none" w:sz="0" w:space="0" w:color="auto"/>
        <w:right w:val="none" w:sz="0" w:space="0" w:color="auto"/>
      </w:divBdr>
      <w:divsChild>
        <w:div w:id="1991901985">
          <w:marLeft w:val="0"/>
          <w:marRight w:val="0"/>
          <w:marTop w:val="0"/>
          <w:marBottom w:val="0"/>
          <w:divBdr>
            <w:top w:val="none" w:sz="0" w:space="0" w:color="auto"/>
            <w:left w:val="none" w:sz="0" w:space="0" w:color="auto"/>
            <w:bottom w:val="none" w:sz="0" w:space="0" w:color="auto"/>
            <w:right w:val="none" w:sz="0" w:space="0" w:color="auto"/>
          </w:divBdr>
        </w:div>
      </w:divsChild>
    </w:div>
    <w:div w:id="181676667">
      <w:bodyDiv w:val="1"/>
      <w:marLeft w:val="0"/>
      <w:marRight w:val="0"/>
      <w:marTop w:val="0"/>
      <w:marBottom w:val="0"/>
      <w:divBdr>
        <w:top w:val="none" w:sz="0" w:space="0" w:color="auto"/>
        <w:left w:val="none" w:sz="0" w:space="0" w:color="auto"/>
        <w:bottom w:val="none" w:sz="0" w:space="0" w:color="auto"/>
        <w:right w:val="none" w:sz="0" w:space="0" w:color="auto"/>
      </w:divBdr>
      <w:divsChild>
        <w:div w:id="1689867367">
          <w:marLeft w:val="0"/>
          <w:marRight w:val="0"/>
          <w:marTop w:val="0"/>
          <w:marBottom w:val="0"/>
          <w:divBdr>
            <w:top w:val="none" w:sz="0" w:space="0" w:color="auto"/>
            <w:left w:val="none" w:sz="0" w:space="0" w:color="auto"/>
            <w:bottom w:val="none" w:sz="0" w:space="0" w:color="auto"/>
            <w:right w:val="none" w:sz="0" w:space="0" w:color="auto"/>
          </w:divBdr>
        </w:div>
      </w:divsChild>
    </w:div>
    <w:div w:id="216209228">
      <w:bodyDiv w:val="1"/>
      <w:marLeft w:val="0"/>
      <w:marRight w:val="0"/>
      <w:marTop w:val="0"/>
      <w:marBottom w:val="0"/>
      <w:divBdr>
        <w:top w:val="none" w:sz="0" w:space="0" w:color="auto"/>
        <w:left w:val="none" w:sz="0" w:space="0" w:color="auto"/>
        <w:bottom w:val="none" w:sz="0" w:space="0" w:color="auto"/>
        <w:right w:val="none" w:sz="0" w:space="0" w:color="auto"/>
      </w:divBdr>
    </w:div>
    <w:div w:id="229271784">
      <w:bodyDiv w:val="1"/>
      <w:marLeft w:val="0"/>
      <w:marRight w:val="0"/>
      <w:marTop w:val="0"/>
      <w:marBottom w:val="0"/>
      <w:divBdr>
        <w:top w:val="none" w:sz="0" w:space="0" w:color="auto"/>
        <w:left w:val="none" w:sz="0" w:space="0" w:color="auto"/>
        <w:bottom w:val="none" w:sz="0" w:space="0" w:color="auto"/>
        <w:right w:val="none" w:sz="0" w:space="0" w:color="auto"/>
      </w:divBdr>
      <w:divsChild>
        <w:div w:id="46228047">
          <w:marLeft w:val="0"/>
          <w:marRight w:val="0"/>
          <w:marTop w:val="0"/>
          <w:marBottom w:val="0"/>
          <w:divBdr>
            <w:top w:val="none" w:sz="0" w:space="0" w:color="auto"/>
            <w:left w:val="none" w:sz="0" w:space="0" w:color="auto"/>
            <w:bottom w:val="none" w:sz="0" w:space="0" w:color="auto"/>
            <w:right w:val="none" w:sz="0" w:space="0" w:color="auto"/>
          </w:divBdr>
        </w:div>
      </w:divsChild>
    </w:div>
    <w:div w:id="234245940">
      <w:bodyDiv w:val="1"/>
      <w:marLeft w:val="0"/>
      <w:marRight w:val="0"/>
      <w:marTop w:val="0"/>
      <w:marBottom w:val="0"/>
      <w:divBdr>
        <w:top w:val="none" w:sz="0" w:space="0" w:color="auto"/>
        <w:left w:val="none" w:sz="0" w:space="0" w:color="auto"/>
        <w:bottom w:val="none" w:sz="0" w:space="0" w:color="auto"/>
        <w:right w:val="none" w:sz="0" w:space="0" w:color="auto"/>
      </w:divBdr>
      <w:divsChild>
        <w:div w:id="171652777">
          <w:marLeft w:val="0"/>
          <w:marRight w:val="0"/>
          <w:marTop w:val="0"/>
          <w:marBottom w:val="0"/>
          <w:divBdr>
            <w:top w:val="none" w:sz="0" w:space="0" w:color="auto"/>
            <w:left w:val="none" w:sz="0" w:space="0" w:color="auto"/>
            <w:bottom w:val="none" w:sz="0" w:space="0" w:color="auto"/>
            <w:right w:val="none" w:sz="0" w:space="0" w:color="auto"/>
          </w:divBdr>
        </w:div>
      </w:divsChild>
    </w:div>
    <w:div w:id="271205189">
      <w:bodyDiv w:val="1"/>
      <w:marLeft w:val="0"/>
      <w:marRight w:val="0"/>
      <w:marTop w:val="0"/>
      <w:marBottom w:val="0"/>
      <w:divBdr>
        <w:top w:val="none" w:sz="0" w:space="0" w:color="auto"/>
        <w:left w:val="none" w:sz="0" w:space="0" w:color="auto"/>
        <w:bottom w:val="none" w:sz="0" w:space="0" w:color="auto"/>
        <w:right w:val="none" w:sz="0" w:space="0" w:color="auto"/>
      </w:divBdr>
    </w:div>
    <w:div w:id="287857168">
      <w:bodyDiv w:val="1"/>
      <w:marLeft w:val="0"/>
      <w:marRight w:val="0"/>
      <w:marTop w:val="0"/>
      <w:marBottom w:val="0"/>
      <w:divBdr>
        <w:top w:val="none" w:sz="0" w:space="0" w:color="auto"/>
        <w:left w:val="none" w:sz="0" w:space="0" w:color="auto"/>
        <w:bottom w:val="none" w:sz="0" w:space="0" w:color="auto"/>
        <w:right w:val="none" w:sz="0" w:space="0" w:color="auto"/>
      </w:divBdr>
    </w:div>
    <w:div w:id="394427737">
      <w:bodyDiv w:val="1"/>
      <w:marLeft w:val="0"/>
      <w:marRight w:val="0"/>
      <w:marTop w:val="0"/>
      <w:marBottom w:val="0"/>
      <w:divBdr>
        <w:top w:val="none" w:sz="0" w:space="0" w:color="auto"/>
        <w:left w:val="none" w:sz="0" w:space="0" w:color="auto"/>
        <w:bottom w:val="none" w:sz="0" w:space="0" w:color="auto"/>
        <w:right w:val="none" w:sz="0" w:space="0" w:color="auto"/>
      </w:divBdr>
      <w:divsChild>
        <w:div w:id="1559626609">
          <w:marLeft w:val="0"/>
          <w:marRight w:val="0"/>
          <w:marTop w:val="0"/>
          <w:marBottom w:val="0"/>
          <w:divBdr>
            <w:top w:val="none" w:sz="0" w:space="0" w:color="auto"/>
            <w:left w:val="none" w:sz="0" w:space="0" w:color="auto"/>
            <w:bottom w:val="none" w:sz="0" w:space="0" w:color="auto"/>
            <w:right w:val="none" w:sz="0" w:space="0" w:color="auto"/>
          </w:divBdr>
        </w:div>
      </w:divsChild>
    </w:div>
    <w:div w:id="525414577">
      <w:bodyDiv w:val="1"/>
      <w:marLeft w:val="0"/>
      <w:marRight w:val="0"/>
      <w:marTop w:val="0"/>
      <w:marBottom w:val="0"/>
      <w:divBdr>
        <w:top w:val="none" w:sz="0" w:space="0" w:color="auto"/>
        <w:left w:val="none" w:sz="0" w:space="0" w:color="auto"/>
        <w:bottom w:val="none" w:sz="0" w:space="0" w:color="auto"/>
        <w:right w:val="none" w:sz="0" w:space="0" w:color="auto"/>
      </w:divBdr>
      <w:divsChild>
        <w:div w:id="787774473">
          <w:marLeft w:val="0"/>
          <w:marRight w:val="0"/>
          <w:marTop w:val="0"/>
          <w:marBottom w:val="0"/>
          <w:divBdr>
            <w:top w:val="none" w:sz="0" w:space="0" w:color="auto"/>
            <w:left w:val="none" w:sz="0" w:space="0" w:color="auto"/>
            <w:bottom w:val="none" w:sz="0" w:space="0" w:color="auto"/>
            <w:right w:val="none" w:sz="0" w:space="0" w:color="auto"/>
          </w:divBdr>
        </w:div>
      </w:divsChild>
    </w:div>
    <w:div w:id="528178406">
      <w:bodyDiv w:val="1"/>
      <w:marLeft w:val="0"/>
      <w:marRight w:val="0"/>
      <w:marTop w:val="0"/>
      <w:marBottom w:val="0"/>
      <w:divBdr>
        <w:top w:val="none" w:sz="0" w:space="0" w:color="auto"/>
        <w:left w:val="none" w:sz="0" w:space="0" w:color="auto"/>
        <w:bottom w:val="none" w:sz="0" w:space="0" w:color="auto"/>
        <w:right w:val="none" w:sz="0" w:space="0" w:color="auto"/>
      </w:divBdr>
      <w:divsChild>
        <w:div w:id="1107307507">
          <w:marLeft w:val="0"/>
          <w:marRight w:val="0"/>
          <w:marTop w:val="0"/>
          <w:marBottom w:val="0"/>
          <w:divBdr>
            <w:top w:val="none" w:sz="0" w:space="0" w:color="auto"/>
            <w:left w:val="none" w:sz="0" w:space="0" w:color="auto"/>
            <w:bottom w:val="none" w:sz="0" w:space="0" w:color="auto"/>
            <w:right w:val="none" w:sz="0" w:space="0" w:color="auto"/>
          </w:divBdr>
        </w:div>
      </w:divsChild>
    </w:div>
    <w:div w:id="603537942">
      <w:bodyDiv w:val="1"/>
      <w:marLeft w:val="0"/>
      <w:marRight w:val="0"/>
      <w:marTop w:val="0"/>
      <w:marBottom w:val="0"/>
      <w:divBdr>
        <w:top w:val="none" w:sz="0" w:space="0" w:color="auto"/>
        <w:left w:val="none" w:sz="0" w:space="0" w:color="auto"/>
        <w:bottom w:val="none" w:sz="0" w:space="0" w:color="auto"/>
        <w:right w:val="none" w:sz="0" w:space="0" w:color="auto"/>
      </w:divBdr>
    </w:div>
    <w:div w:id="674110149">
      <w:bodyDiv w:val="1"/>
      <w:marLeft w:val="0"/>
      <w:marRight w:val="0"/>
      <w:marTop w:val="0"/>
      <w:marBottom w:val="0"/>
      <w:divBdr>
        <w:top w:val="none" w:sz="0" w:space="0" w:color="auto"/>
        <w:left w:val="none" w:sz="0" w:space="0" w:color="auto"/>
        <w:bottom w:val="none" w:sz="0" w:space="0" w:color="auto"/>
        <w:right w:val="none" w:sz="0" w:space="0" w:color="auto"/>
      </w:divBdr>
      <w:divsChild>
        <w:div w:id="761685017">
          <w:marLeft w:val="0"/>
          <w:marRight w:val="0"/>
          <w:marTop w:val="0"/>
          <w:marBottom w:val="0"/>
          <w:divBdr>
            <w:top w:val="none" w:sz="0" w:space="0" w:color="auto"/>
            <w:left w:val="none" w:sz="0" w:space="0" w:color="auto"/>
            <w:bottom w:val="none" w:sz="0" w:space="0" w:color="auto"/>
            <w:right w:val="none" w:sz="0" w:space="0" w:color="auto"/>
          </w:divBdr>
        </w:div>
      </w:divsChild>
    </w:div>
    <w:div w:id="703864994">
      <w:bodyDiv w:val="1"/>
      <w:marLeft w:val="0"/>
      <w:marRight w:val="0"/>
      <w:marTop w:val="0"/>
      <w:marBottom w:val="0"/>
      <w:divBdr>
        <w:top w:val="none" w:sz="0" w:space="0" w:color="auto"/>
        <w:left w:val="none" w:sz="0" w:space="0" w:color="auto"/>
        <w:bottom w:val="none" w:sz="0" w:space="0" w:color="auto"/>
        <w:right w:val="none" w:sz="0" w:space="0" w:color="auto"/>
      </w:divBdr>
      <w:divsChild>
        <w:div w:id="1631863267">
          <w:marLeft w:val="0"/>
          <w:marRight w:val="0"/>
          <w:marTop w:val="0"/>
          <w:marBottom w:val="0"/>
          <w:divBdr>
            <w:top w:val="none" w:sz="0" w:space="0" w:color="auto"/>
            <w:left w:val="none" w:sz="0" w:space="0" w:color="auto"/>
            <w:bottom w:val="none" w:sz="0" w:space="0" w:color="auto"/>
            <w:right w:val="none" w:sz="0" w:space="0" w:color="auto"/>
          </w:divBdr>
          <w:divsChild>
            <w:div w:id="234172288">
              <w:marLeft w:val="0"/>
              <w:marRight w:val="0"/>
              <w:marTop w:val="0"/>
              <w:marBottom w:val="0"/>
              <w:divBdr>
                <w:top w:val="none" w:sz="0" w:space="0" w:color="auto"/>
                <w:left w:val="none" w:sz="0" w:space="0" w:color="auto"/>
                <w:bottom w:val="none" w:sz="0" w:space="0" w:color="auto"/>
                <w:right w:val="none" w:sz="0" w:space="0" w:color="auto"/>
              </w:divBdr>
              <w:divsChild>
                <w:div w:id="2021198025">
                  <w:marLeft w:val="0"/>
                  <w:marRight w:val="0"/>
                  <w:marTop w:val="0"/>
                  <w:marBottom w:val="0"/>
                  <w:divBdr>
                    <w:top w:val="none" w:sz="0" w:space="0" w:color="auto"/>
                    <w:left w:val="none" w:sz="0" w:space="0" w:color="auto"/>
                    <w:bottom w:val="none" w:sz="0" w:space="0" w:color="auto"/>
                    <w:right w:val="none" w:sz="0" w:space="0" w:color="auto"/>
                  </w:divBdr>
                  <w:divsChild>
                    <w:div w:id="1498225319">
                      <w:marLeft w:val="0"/>
                      <w:marRight w:val="0"/>
                      <w:marTop w:val="0"/>
                      <w:marBottom w:val="0"/>
                      <w:divBdr>
                        <w:top w:val="none" w:sz="0" w:space="0" w:color="auto"/>
                        <w:left w:val="none" w:sz="0" w:space="0" w:color="auto"/>
                        <w:bottom w:val="none" w:sz="0" w:space="0" w:color="auto"/>
                        <w:right w:val="none" w:sz="0" w:space="0" w:color="auto"/>
                      </w:divBdr>
                      <w:divsChild>
                        <w:div w:id="1303849572">
                          <w:marLeft w:val="0"/>
                          <w:marRight w:val="0"/>
                          <w:marTop w:val="0"/>
                          <w:marBottom w:val="0"/>
                          <w:divBdr>
                            <w:top w:val="none" w:sz="0" w:space="0" w:color="auto"/>
                            <w:left w:val="none" w:sz="0" w:space="0" w:color="auto"/>
                            <w:bottom w:val="none" w:sz="0" w:space="0" w:color="auto"/>
                            <w:right w:val="none" w:sz="0" w:space="0" w:color="auto"/>
                          </w:divBdr>
                          <w:divsChild>
                            <w:div w:id="1021736630">
                              <w:marLeft w:val="0"/>
                              <w:marRight w:val="0"/>
                              <w:marTop w:val="0"/>
                              <w:marBottom w:val="0"/>
                              <w:divBdr>
                                <w:top w:val="none" w:sz="0" w:space="0" w:color="auto"/>
                                <w:left w:val="none" w:sz="0" w:space="0" w:color="auto"/>
                                <w:bottom w:val="none" w:sz="0" w:space="0" w:color="auto"/>
                                <w:right w:val="none" w:sz="0" w:space="0" w:color="auto"/>
                              </w:divBdr>
                              <w:divsChild>
                                <w:div w:id="599066352">
                                  <w:marLeft w:val="0"/>
                                  <w:marRight w:val="0"/>
                                  <w:marTop w:val="0"/>
                                  <w:marBottom w:val="0"/>
                                  <w:divBdr>
                                    <w:top w:val="none" w:sz="0" w:space="0" w:color="auto"/>
                                    <w:left w:val="none" w:sz="0" w:space="0" w:color="auto"/>
                                    <w:bottom w:val="none" w:sz="0" w:space="0" w:color="auto"/>
                                    <w:right w:val="none" w:sz="0" w:space="0" w:color="auto"/>
                                  </w:divBdr>
                                  <w:divsChild>
                                    <w:div w:id="508106978">
                                      <w:marLeft w:val="0"/>
                                      <w:marRight w:val="0"/>
                                      <w:marTop w:val="0"/>
                                      <w:marBottom w:val="0"/>
                                      <w:divBdr>
                                        <w:top w:val="none" w:sz="0" w:space="0" w:color="auto"/>
                                        <w:left w:val="none" w:sz="0" w:space="0" w:color="auto"/>
                                        <w:bottom w:val="none" w:sz="0" w:space="0" w:color="auto"/>
                                        <w:right w:val="none" w:sz="0" w:space="0" w:color="auto"/>
                                      </w:divBdr>
                                      <w:divsChild>
                                        <w:div w:id="1382051552">
                                          <w:marLeft w:val="0"/>
                                          <w:marRight w:val="0"/>
                                          <w:marTop w:val="0"/>
                                          <w:marBottom w:val="0"/>
                                          <w:divBdr>
                                            <w:top w:val="none" w:sz="0" w:space="0" w:color="auto"/>
                                            <w:left w:val="none" w:sz="0" w:space="0" w:color="auto"/>
                                            <w:bottom w:val="none" w:sz="0" w:space="0" w:color="auto"/>
                                            <w:right w:val="none" w:sz="0" w:space="0" w:color="auto"/>
                                          </w:divBdr>
                                          <w:divsChild>
                                            <w:div w:id="211238154">
                                              <w:marLeft w:val="0"/>
                                              <w:marRight w:val="0"/>
                                              <w:marTop w:val="0"/>
                                              <w:marBottom w:val="0"/>
                                              <w:divBdr>
                                                <w:top w:val="none" w:sz="0" w:space="0" w:color="auto"/>
                                                <w:left w:val="none" w:sz="0" w:space="0" w:color="auto"/>
                                                <w:bottom w:val="none" w:sz="0" w:space="0" w:color="auto"/>
                                                <w:right w:val="none" w:sz="0" w:space="0" w:color="auto"/>
                                              </w:divBdr>
                                              <w:divsChild>
                                                <w:div w:id="1207983988">
                                                  <w:marLeft w:val="0"/>
                                                  <w:marRight w:val="0"/>
                                                  <w:marTop w:val="0"/>
                                                  <w:marBottom w:val="0"/>
                                                  <w:divBdr>
                                                    <w:top w:val="none" w:sz="0" w:space="0" w:color="auto"/>
                                                    <w:left w:val="none" w:sz="0" w:space="0" w:color="auto"/>
                                                    <w:bottom w:val="none" w:sz="0" w:space="0" w:color="auto"/>
                                                    <w:right w:val="none" w:sz="0" w:space="0" w:color="auto"/>
                                                  </w:divBdr>
                                                  <w:divsChild>
                                                    <w:div w:id="111945229">
                                                      <w:marLeft w:val="0"/>
                                                      <w:marRight w:val="0"/>
                                                      <w:marTop w:val="0"/>
                                                      <w:marBottom w:val="0"/>
                                                      <w:divBdr>
                                                        <w:top w:val="none" w:sz="0" w:space="0" w:color="auto"/>
                                                        <w:left w:val="none" w:sz="0" w:space="0" w:color="auto"/>
                                                        <w:bottom w:val="none" w:sz="0" w:space="0" w:color="auto"/>
                                                        <w:right w:val="none" w:sz="0" w:space="0" w:color="auto"/>
                                                      </w:divBdr>
                                                      <w:divsChild>
                                                        <w:div w:id="150740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7207722">
      <w:bodyDiv w:val="1"/>
      <w:marLeft w:val="0"/>
      <w:marRight w:val="0"/>
      <w:marTop w:val="0"/>
      <w:marBottom w:val="0"/>
      <w:divBdr>
        <w:top w:val="none" w:sz="0" w:space="0" w:color="auto"/>
        <w:left w:val="none" w:sz="0" w:space="0" w:color="auto"/>
        <w:bottom w:val="none" w:sz="0" w:space="0" w:color="auto"/>
        <w:right w:val="none" w:sz="0" w:space="0" w:color="auto"/>
      </w:divBdr>
      <w:divsChild>
        <w:div w:id="1655449637">
          <w:marLeft w:val="0"/>
          <w:marRight w:val="0"/>
          <w:marTop w:val="0"/>
          <w:marBottom w:val="0"/>
          <w:divBdr>
            <w:top w:val="none" w:sz="0" w:space="0" w:color="auto"/>
            <w:left w:val="none" w:sz="0" w:space="0" w:color="auto"/>
            <w:bottom w:val="none" w:sz="0" w:space="0" w:color="auto"/>
            <w:right w:val="none" w:sz="0" w:space="0" w:color="auto"/>
          </w:divBdr>
        </w:div>
      </w:divsChild>
    </w:div>
    <w:div w:id="874387685">
      <w:bodyDiv w:val="1"/>
      <w:marLeft w:val="0"/>
      <w:marRight w:val="0"/>
      <w:marTop w:val="0"/>
      <w:marBottom w:val="0"/>
      <w:divBdr>
        <w:top w:val="none" w:sz="0" w:space="0" w:color="auto"/>
        <w:left w:val="none" w:sz="0" w:space="0" w:color="auto"/>
        <w:bottom w:val="none" w:sz="0" w:space="0" w:color="auto"/>
        <w:right w:val="none" w:sz="0" w:space="0" w:color="auto"/>
      </w:divBdr>
      <w:divsChild>
        <w:div w:id="1841576191">
          <w:marLeft w:val="0"/>
          <w:marRight w:val="0"/>
          <w:marTop w:val="0"/>
          <w:marBottom w:val="0"/>
          <w:divBdr>
            <w:top w:val="none" w:sz="0" w:space="0" w:color="auto"/>
            <w:left w:val="none" w:sz="0" w:space="0" w:color="auto"/>
            <w:bottom w:val="none" w:sz="0" w:space="0" w:color="auto"/>
            <w:right w:val="none" w:sz="0" w:space="0" w:color="auto"/>
          </w:divBdr>
        </w:div>
      </w:divsChild>
    </w:div>
    <w:div w:id="922493715">
      <w:bodyDiv w:val="1"/>
      <w:marLeft w:val="0"/>
      <w:marRight w:val="0"/>
      <w:marTop w:val="0"/>
      <w:marBottom w:val="0"/>
      <w:divBdr>
        <w:top w:val="none" w:sz="0" w:space="0" w:color="auto"/>
        <w:left w:val="none" w:sz="0" w:space="0" w:color="auto"/>
        <w:bottom w:val="none" w:sz="0" w:space="0" w:color="auto"/>
        <w:right w:val="none" w:sz="0" w:space="0" w:color="auto"/>
      </w:divBdr>
      <w:divsChild>
        <w:div w:id="2134474262">
          <w:marLeft w:val="0"/>
          <w:marRight w:val="0"/>
          <w:marTop w:val="0"/>
          <w:marBottom w:val="567"/>
          <w:divBdr>
            <w:top w:val="none" w:sz="0" w:space="0" w:color="auto"/>
            <w:left w:val="none" w:sz="0" w:space="0" w:color="auto"/>
            <w:bottom w:val="none" w:sz="0" w:space="0" w:color="auto"/>
            <w:right w:val="none" w:sz="0" w:space="0" w:color="auto"/>
          </w:divBdr>
        </w:div>
      </w:divsChild>
    </w:div>
    <w:div w:id="1036275382">
      <w:bodyDiv w:val="1"/>
      <w:marLeft w:val="0"/>
      <w:marRight w:val="0"/>
      <w:marTop w:val="0"/>
      <w:marBottom w:val="0"/>
      <w:divBdr>
        <w:top w:val="none" w:sz="0" w:space="0" w:color="auto"/>
        <w:left w:val="none" w:sz="0" w:space="0" w:color="auto"/>
        <w:bottom w:val="none" w:sz="0" w:space="0" w:color="auto"/>
        <w:right w:val="none" w:sz="0" w:space="0" w:color="auto"/>
      </w:divBdr>
      <w:divsChild>
        <w:div w:id="112795792">
          <w:marLeft w:val="0"/>
          <w:marRight w:val="0"/>
          <w:marTop w:val="0"/>
          <w:marBottom w:val="0"/>
          <w:divBdr>
            <w:top w:val="none" w:sz="0" w:space="0" w:color="auto"/>
            <w:left w:val="none" w:sz="0" w:space="0" w:color="auto"/>
            <w:bottom w:val="none" w:sz="0" w:space="0" w:color="auto"/>
            <w:right w:val="none" w:sz="0" w:space="0" w:color="auto"/>
          </w:divBdr>
        </w:div>
      </w:divsChild>
    </w:div>
    <w:div w:id="1063915712">
      <w:bodyDiv w:val="1"/>
      <w:marLeft w:val="0"/>
      <w:marRight w:val="0"/>
      <w:marTop w:val="0"/>
      <w:marBottom w:val="0"/>
      <w:divBdr>
        <w:top w:val="none" w:sz="0" w:space="0" w:color="auto"/>
        <w:left w:val="none" w:sz="0" w:space="0" w:color="auto"/>
        <w:bottom w:val="none" w:sz="0" w:space="0" w:color="auto"/>
        <w:right w:val="none" w:sz="0" w:space="0" w:color="auto"/>
      </w:divBdr>
      <w:divsChild>
        <w:div w:id="166605132">
          <w:marLeft w:val="0"/>
          <w:marRight w:val="0"/>
          <w:marTop w:val="0"/>
          <w:marBottom w:val="0"/>
          <w:divBdr>
            <w:top w:val="none" w:sz="0" w:space="0" w:color="auto"/>
            <w:left w:val="none" w:sz="0" w:space="0" w:color="auto"/>
            <w:bottom w:val="none" w:sz="0" w:space="0" w:color="auto"/>
            <w:right w:val="none" w:sz="0" w:space="0" w:color="auto"/>
          </w:divBdr>
        </w:div>
      </w:divsChild>
    </w:div>
    <w:div w:id="1068383379">
      <w:bodyDiv w:val="1"/>
      <w:marLeft w:val="0"/>
      <w:marRight w:val="0"/>
      <w:marTop w:val="0"/>
      <w:marBottom w:val="0"/>
      <w:divBdr>
        <w:top w:val="none" w:sz="0" w:space="0" w:color="auto"/>
        <w:left w:val="none" w:sz="0" w:space="0" w:color="auto"/>
        <w:bottom w:val="none" w:sz="0" w:space="0" w:color="auto"/>
        <w:right w:val="none" w:sz="0" w:space="0" w:color="auto"/>
      </w:divBdr>
    </w:div>
    <w:div w:id="1099250477">
      <w:bodyDiv w:val="1"/>
      <w:marLeft w:val="0"/>
      <w:marRight w:val="0"/>
      <w:marTop w:val="0"/>
      <w:marBottom w:val="0"/>
      <w:divBdr>
        <w:top w:val="none" w:sz="0" w:space="0" w:color="auto"/>
        <w:left w:val="none" w:sz="0" w:space="0" w:color="auto"/>
        <w:bottom w:val="none" w:sz="0" w:space="0" w:color="auto"/>
        <w:right w:val="none" w:sz="0" w:space="0" w:color="auto"/>
      </w:divBdr>
      <w:divsChild>
        <w:div w:id="974145649">
          <w:marLeft w:val="0"/>
          <w:marRight w:val="0"/>
          <w:marTop w:val="0"/>
          <w:marBottom w:val="0"/>
          <w:divBdr>
            <w:top w:val="none" w:sz="0" w:space="0" w:color="auto"/>
            <w:left w:val="none" w:sz="0" w:space="0" w:color="auto"/>
            <w:bottom w:val="none" w:sz="0" w:space="0" w:color="auto"/>
            <w:right w:val="none" w:sz="0" w:space="0" w:color="auto"/>
          </w:divBdr>
          <w:divsChild>
            <w:div w:id="1248467344">
              <w:marLeft w:val="0"/>
              <w:marRight w:val="0"/>
              <w:marTop w:val="0"/>
              <w:marBottom w:val="0"/>
              <w:divBdr>
                <w:top w:val="none" w:sz="0" w:space="0" w:color="auto"/>
                <w:left w:val="none" w:sz="0" w:space="0" w:color="auto"/>
                <w:bottom w:val="none" w:sz="0" w:space="0" w:color="auto"/>
                <w:right w:val="none" w:sz="0" w:space="0" w:color="auto"/>
              </w:divBdr>
              <w:divsChild>
                <w:div w:id="360978903">
                  <w:marLeft w:val="0"/>
                  <w:marRight w:val="0"/>
                  <w:marTop w:val="0"/>
                  <w:marBottom w:val="0"/>
                  <w:divBdr>
                    <w:top w:val="none" w:sz="0" w:space="0" w:color="auto"/>
                    <w:left w:val="none" w:sz="0" w:space="0" w:color="auto"/>
                    <w:bottom w:val="none" w:sz="0" w:space="0" w:color="auto"/>
                    <w:right w:val="none" w:sz="0" w:space="0" w:color="auto"/>
                  </w:divBdr>
                  <w:divsChild>
                    <w:div w:id="364789735">
                      <w:marLeft w:val="0"/>
                      <w:marRight w:val="0"/>
                      <w:marTop w:val="0"/>
                      <w:marBottom w:val="0"/>
                      <w:divBdr>
                        <w:top w:val="none" w:sz="0" w:space="0" w:color="auto"/>
                        <w:left w:val="none" w:sz="0" w:space="0" w:color="auto"/>
                        <w:bottom w:val="none" w:sz="0" w:space="0" w:color="auto"/>
                        <w:right w:val="none" w:sz="0" w:space="0" w:color="auto"/>
                      </w:divBdr>
                      <w:divsChild>
                        <w:div w:id="955409963">
                          <w:marLeft w:val="0"/>
                          <w:marRight w:val="0"/>
                          <w:marTop w:val="0"/>
                          <w:marBottom w:val="0"/>
                          <w:divBdr>
                            <w:top w:val="none" w:sz="0" w:space="0" w:color="auto"/>
                            <w:left w:val="none" w:sz="0" w:space="0" w:color="auto"/>
                            <w:bottom w:val="none" w:sz="0" w:space="0" w:color="auto"/>
                            <w:right w:val="none" w:sz="0" w:space="0" w:color="auto"/>
                          </w:divBdr>
                          <w:divsChild>
                            <w:div w:id="148330517">
                              <w:marLeft w:val="0"/>
                              <w:marRight w:val="0"/>
                              <w:marTop w:val="0"/>
                              <w:marBottom w:val="0"/>
                              <w:divBdr>
                                <w:top w:val="none" w:sz="0" w:space="0" w:color="auto"/>
                                <w:left w:val="none" w:sz="0" w:space="0" w:color="auto"/>
                                <w:bottom w:val="none" w:sz="0" w:space="0" w:color="auto"/>
                                <w:right w:val="none" w:sz="0" w:space="0" w:color="auto"/>
                              </w:divBdr>
                              <w:divsChild>
                                <w:div w:id="1906840671">
                                  <w:marLeft w:val="0"/>
                                  <w:marRight w:val="0"/>
                                  <w:marTop w:val="0"/>
                                  <w:marBottom w:val="0"/>
                                  <w:divBdr>
                                    <w:top w:val="none" w:sz="0" w:space="0" w:color="auto"/>
                                    <w:left w:val="none" w:sz="0" w:space="0" w:color="auto"/>
                                    <w:bottom w:val="none" w:sz="0" w:space="0" w:color="auto"/>
                                    <w:right w:val="none" w:sz="0" w:space="0" w:color="auto"/>
                                  </w:divBdr>
                                  <w:divsChild>
                                    <w:div w:id="1168331705">
                                      <w:marLeft w:val="0"/>
                                      <w:marRight w:val="0"/>
                                      <w:marTop w:val="0"/>
                                      <w:marBottom w:val="0"/>
                                      <w:divBdr>
                                        <w:top w:val="none" w:sz="0" w:space="0" w:color="auto"/>
                                        <w:left w:val="none" w:sz="0" w:space="0" w:color="auto"/>
                                        <w:bottom w:val="none" w:sz="0" w:space="0" w:color="auto"/>
                                        <w:right w:val="none" w:sz="0" w:space="0" w:color="auto"/>
                                      </w:divBdr>
                                      <w:divsChild>
                                        <w:div w:id="1639912875">
                                          <w:marLeft w:val="0"/>
                                          <w:marRight w:val="0"/>
                                          <w:marTop w:val="0"/>
                                          <w:marBottom w:val="0"/>
                                          <w:divBdr>
                                            <w:top w:val="none" w:sz="0" w:space="0" w:color="auto"/>
                                            <w:left w:val="none" w:sz="0" w:space="0" w:color="auto"/>
                                            <w:bottom w:val="none" w:sz="0" w:space="0" w:color="auto"/>
                                            <w:right w:val="none" w:sz="0" w:space="0" w:color="auto"/>
                                          </w:divBdr>
                                          <w:divsChild>
                                            <w:div w:id="652292202">
                                              <w:marLeft w:val="0"/>
                                              <w:marRight w:val="0"/>
                                              <w:marTop w:val="0"/>
                                              <w:marBottom w:val="0"/>
                                              <w:divBdr>
                                                <w:top w:val="none" w:sz="0" w:space="0" w:color="auto"/>
                                                <w:left w:val="none" w:sz="0" w:space="0" w:color="auto"/>
                                                <w:bottom w:val="none" w:sz="0" w:space="0" w:color="auto"/>
                                                <w:right w:val="none" w:sz="0" w:space="0" w:color="auto"/>
                                              </w:divBdr>
                                              <w:divsChild>
                                                <w:div w:id="213200673">
                                                  <w:marLeft w:val="0"/>
                                                  <w:marRight w:val="0"/>
                                                  <w:marTop w:val="0"/>
                                                  <w:marBottom w:val="0"/>
                                                  <w:divBdr>
                                                    <w:top w:val="none" w:sz="0" w:space="0" w:color="auto"/>
                                                    <w:left w:val="none" w:sz="0" w:space="0" w:color="auto"/>
                                                    <w:bottom w:val="none" w:sz="0" w:space="0" w:color="auto"/>
                                                    <w:right w:val="none" w:sz="0" w:space="0" w:color="auto"/>
                                                  </w:divBdr>
                                                  <w:divsChild>
                                                    <w:div w:id="289871253">
                                                      <w:marLeft w:val="0"/>
                                                      <w:marRight w:val="0"/>
                                                      <w:marTop w:val="0"/>
                                                      <w:marBottom w:val="0"/>
                                                      <w:divBdr>
                                                        <w:top w:val="none" w:sz="0" w:space="0" w:color="auto"/>
                                                        <w:left w:val="none" w:sz="0" w:space="0" w:color="auto"/>
                                                        <w:bottom w:val="none" w:sz="0" w:space="0" w:color="auto"/>
                                                        <w:right w:val="none" w:sz="0" w:space="0" w:color="auto"/>
                                                      </w:divBdr>
                                                      <w:divsChild>
                                                        <w:div w:id="98285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1536218">
      <w:bodyDiv w:val="1"/>
      <w:marLeft w:val="0"/>
      <w:marRight w:val="0"/>
      <w:marTop w:val="0"/>
      <w:marBottom w:val="0"/>
      <w:divBdr>
        <w:top w:val="none" w:sz="0" w:space="0" w:color="auto"/>
        <w:left w:val="none" w:sz="0" w:space="0" w:color="auto"/>
        <w:bottom w:val="none" w:sz="0" w:space="0" w:color="auto"/>
        <w:right w:val="none" w:sz="0" w:space="0" w:color="auto"/>
      </w:divBdr>
      <w:divsChild>
        <w:div w:id="1499156614">
          <w:marLeft w:val="0"/>
          <w:marRight w:val="0"/>
          <w:marTop w:val="0"/>
          <w:marBottom w:val="0"/>
          <w:divBdr>
            <w:top w:val="none" w:sz="0" w:space="0" w:color="auto"/>
            <w:left w:val="none" w:sz="0" w:space="0" w:color="auto"/>
            <w:bottom w:val="none" w:sz="0" w:space="0" w:color="auto"/>
            <w:right w:val="none" w:sz="0" w:space="0" w:color="auto"/>
          </w:divBdr>
          <w:divsChild>
            <w:div w:id="1310018327">
              <w:marLeft w:val="0"/>
              <w:marRight w:val="0"/>
              <w:marTop w:val="0"/>
              <w:marBottom w:val="0"/>
              <w:divBdr>
                <w:top w:val="none" w:sz="0" w:space="0" w:color="auto"/>
                <w:left w:val="none" w:sz="0" w:space="0" w:color="auto"/>
                <w:bottom w:val="none" w:sz="0" w:space="0" w:color="auto"/>
                <w:right w:val="none" w:sz="0" w:space="0" w:color="auto"/>
              </w:divBdr>
              <w:divsChild>
                <w:div w:id="278217978">
                  <w:marLeft w:val="0"/>
                  <w:marRight w:val="0"/>
                  <w:marTop w:val="0"/>
                  <w:marBottom w:val="0"/>
                  <w:divBdr>
                    <w:top w:val="none" w:sz="0" w:space="0" w:color="auto"/>
                    <w:left w:val="none" w:sz="0" w:space="0" w:color="auto"/>
                    <w:bottom w:val="none" w:sz="0" w:space="0" w:color="auto"/>
                    <w:right w:val="none" w:sz="0" w:space="0" w:color="auto"/>
                  </w:divBdr>
                  <w:divsChild>
                    <w:div w:id="980502336">
                      <w:marLeft w:val="0"/>
                      <w:marRight w:val="0"/>
                      <w:marTop w:val="0"/>
                      <w:marBottom w:val="0"/>
                      <w:divBdr>
                        <w:top w:val="none" w:sz="0" w:space="0" w:color="auto"/>
                        <w:left w:val="none" w:sz="0" w:space="0" w:color="auto"/>
                        <w:bottom w:val="none" w:sz="0" w:space="0" w:color="auto"/>
                        <w:right w:val="none" w:sz="0" w:space="0" w:color="auto"/>
                      </w:divBdr>
                      <w:divsChild>
                        <w:div w:id="433214675">
                          <w:marLeft w:val="0"/>
                          <w:marRight w:val="0"/>
                          <w:marTop w:val="0"/>
                          <w:marBottom w:val="0"/>
                          <w:divBdr>
                            <w:top w:val="none" w:sz="0" w:space="0" w:color="auto"/>
                            <w:left w:val="none" w:sz="0" w:space="0" w:color="auto"/>
                            <w:bottom w:val="none" w:sz="0" w:space="0" w:color="auto"/>
                            <w:right w:val="none" w:sz="0" w:space="0" w:color="auto"/>
                          </w:divBdr>
                          <w:divsChild>
                            <w:div w:id="408694137">
                              <w:marLeft w:val="0"/>
                              <w:marRight w:val="0"/>
                              <w:marTop w:val="0"/>
                              <w:marBottom w:val="0"/>
                              <w:divBdr>
                                <w:top w:val="none" w:sz="0" w:space="0" w:color="auto"/>
                                <w:left w:val="none" w:sz="0" w:space="0" w:color="auto"/>
                                <w:bottom w:val="none" w:sz="0" w:space="0" w:color="auto"/>
                                <w:right w:val="none" w:sz="0" w:space="0" w:color="auto"/>
                              </w:divBdr>
                              <w:divsChild>
                                <w:div w:id="1505046025">
                                  <w:marLeft w:val="0"/>
                                  <w:marRight w:val="0"/>
                                  <w:marTop w:val="0"/>
                                  <w:marBottom w:val="0"/>
                                  <w:divBdr>
                                    <w:top w:val="none" w:sz="0" w:space="0" w:color="auto"/>
                                    <w:left w:val="none" w:sz="0" w:space="0" w:color="auto"/>
                                    <w:bottom w:val="none" w:sz="0" w:space="0" w:color="auto"/>
                                    <w:right w:val="none" w:sz="0" w:space="0" w:color="auto"/>
                                  </w:divBdr>
                                  <w:divsChild>
                                    <w:div w:id="1751925894">
                                      <w:marLeft w:val="0"/>
                                      <w:marRight w:val="0"/>
                                      <w:marTop w:val="0"/>
                                      <w:marBottom w:val="0"/>
                                      <w:divBdr>
                                        <w:top w:val="none" w:sz="0" w:space="0" w:color="auto"/>
                                        <w:left w:val="none" w:sz="0" w:space="0" w:color="auto"/>
                                        <w:bottom w:val="none" w:sz="0" w:space="0" w:color="auto"/>
                                        <w:right w:val="none" w:sz="0" w:space="0" w:color="auto"/>
                                      </w:divBdr>
                                      <w:divsChild>
                                        <w:div w:id="1494830261">
                                          <w:marLeft w:val="0"/>
                                          <w:marRight w:val="0"/>
                                          <w:marTop w:val="0"/>
                                          <w:marBottom w:val="0"/>
                                          <w:divBdr>
                                            <w:top w:val="none" w:sz="0" w:space="0" w:color="auto"/>
                                            <w:left w:val="none" w:sz="0" w:space="0" w:color="auto"/>
                                            <w:bottom w:val="none" w:sz="0" w:space="0" w:color="auto"/>
                                            <w:right w:val="none" w:sz="0" w:space="0" w:color="auto"/>
                                          </w:divBdr>
                                          <w:divsChild>
                                            <w:div w:id="1405184076">
                                              <w:marLeft w:val="0"/>
                                              <w:marRight w:val="0"/>
                                              <w:marTop w:val="0"/>
                                              <w:marBottom w:val="0"/>
                                              <w:divBdr>
                                                <w:top w:val="none" w:sz="0" w:space="0" w:color="auto"/>
                                                <w:left w:val="none" w:sz="0" w:space="0" w:color="auto"/>
                                                <w:bottom w:val="none" w:sz="0" w:space="0" w:color="auto"/>
                                                <w:right w:val="none" w:sz="0" w:space="0" w:color="auto"/>
                                              </w:divBdr>
                                              <w:divsChild>
                                                <w:div w:id="1267035643">
                                                  <w:marLeft w:val="0"/>
                                                  <w:marRight w:val="0"/>
                                                  <w:marTop w:val="0"/>
                                                  <w:marBottom w:val="0"/>
                                                  <w:divBdr>
                                                    <w:top w:val="none" w:sz="0" w:space="0" w:color="auto"/>
                                                    <w:left w:val="none" w:sz="0" w:space="0" w:color="auto"/>
                                                    <w:bottom w:val="none" w:sz="0" w:space="0" w:color="auto"/>
                                                    <w:right w:val="none" w:sz="0" w:space="0" w:color="auto"/>
                                                  </w:divBdr>
                                                  <w:divsChild>
                                                    <w:div w:id="1898975482">
                                                      <w:marLeft w:val="0"/>
                                                      <w:marRight w:val="0"/>
                                                      <w:marTop w:val="0"/>
                                                      <w:marBottom w:val="0"/>
                                                      <w:divBdr>
                                                        <w:top w:val="none" w:sz="0" w:space="0" w:color="auto"/>
                                                        <w:left w:val="none" w:sz="0" w:space="0" w:color="auto"/>
                                                        <w:bottom w:val="none" w:sz="0" w:space="0" w:color="auto"/>
                                                        <w:right w:val="none" w:sz="0" w:space="0" w:color="auto"/>
                                                      </w:divBdr>
                                                      <w:divsChild>
                                                        <w:div w:id="190382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4872351">
      <w:bodyDiv w:val="1"/>
      <w:marLeft w:val="0"/>
      <w:marRight w:val="0"/>
      <w:marTop w:val="0"/>
      <w:marBottom w:val="0"/>
      <w:divBdr>
        <w:top w:val="none" w:sz="0" w:space="0" w:color="auto"/>
        <w:left w:val="none" w:sz="0" w:space="0" w:color="auto"/>
        <w:bottom w:val="none" w:sz="0" w:space="0" w:color="auto"/>
        <w:right w:val="none" w:sz="0" w:space="0" w:color="auto"/>
      </w:divBdr>
      <w:divsChild>
        <w:div w:id="475143649">
          <w:marLeft w:val="0"/>
          <w:marRight w:val="0"/>
          <w:marTop w:val="0"/>
          <w:marBottom w:val="0"/>
          <w:divBdr>
            <w:top w:val="none" w:sz="0" w:space="0" w:color="auto"/>
            <w:left w:val="none" w:sz="0" w:space="0" w:color="auto"/>
            <w:bottom w:val="none" w:sz="0" w:space="0" w:color="auto"/>
            <w:right w:val="none" w:sz="0" w:space="0" w:color="auto"/>
          </w:divBdr>
        </w:div>
      </w:divsChild>
    </w:div>
    <w:div w:id="1323317022">
      <w:bodyDiv w:val="1"/>
      <w:marLeft w:val="0"/>
      <w:marRight w:val="0"/>
      <w:marTop w:val="0"/>
      <w:marBottom w:val="0"/>
      <w:divBdr>
        <w:top w:val="none" w:sz="0" w:space="0" w:color="auto"/>
        <w:left w:val="none" w:sz="0" w:space="0" w:color="auto"/>
        <w:bottom w:val="none" w:sz="0" w:space="0" w:color="auto"/>
        <w:right w:val="none" w:sz="0" w:space="0" w:color="auto"/>
      </w:divBdr>
      <w:divsChild>
        <w:div w:id="1483155658">
          <w:marLeft w:val="0"/>
          <w:marRight w:val="0"/>
          <w:marTop w:val="0"/>
          <w:marBottom w:val="0"/>
          <w:divBdr>
            <w:top w:val="none" w:sz="0" w:space="0" w:color="auto"/>
            <w:left w:val="none" w:sz="0" w:space="0" w:color="auto"/>
            <w:bottom w:val="none" w:sz="0" w:space="0" w:color="auto"/>
            <w:right w:val="none" w:sz="0" w:space="0" w:color="auto"/>
          </w:divBdr>
        </w:div>
      </w:divsChild>
    </w:div>
    <w:div w:id="1404453430">
      <w:bodyDiv w:val="1"/>
      <w:marLeft w:val="0"/>
      <w:marRight w:val="0"/>
      <w:marTop w:val="0"/>
      <w:marBottom w:val="0"/>
      <w:divBdr>
        <w:top w:val="none" w:sz="0" w:space="0" w:color="auto"/>
        <w:left w:val="none" w:sz="0" w:space="0" w:color="auto"/>
        <w:bottom w:val="none" w:sz="0" w:space="0" w:color="auto"/>
        <w:right w:val="none" w:sz="0" w:space="0" w:color="auto"/>
      </w:divBdr>
      <w:divsChild>
        <w:div w:id="247230400">
          <w:marLeft w:val="0"/>
          <w:marRight w:val="0"/>
          <w:marTop w:val="0"/>
          <w:marBottom w:val="0"/>
          <w:divBdr>
            <w:top w:val="none" w:sz="0" w:space="0" w:color="auto"/>
            <w:left w:val="none" w:sz="0" w:space="0" w:color="auto"/>
            <w:bottom w:val="none" w:sz="0" w:space="0" w:color="auto"/>
            <w:right w:val="none" w:sz="0" w:space="0" w:color="auto"/>
          </w:divBdr>
          <w:divsChild>
            <w:div w:id="781874178">
              <w:marLeft w:val="0"/>
              <w:marRight w:val="0"/>
              <w:marTop w:val="0"/>
              <w:marBottom w:val="0"/>
              <w:divBdr>
                <w:top w:val="none" w:sz="0" w:space="0" w:color="auto"/>
                <w:left w:val="none" w:sz="0" w:space="0" w:color="auto"/>
                <w:bottom w:val="none" w:sz="0" w:space="0" w:color="auto"/>
                <w:right w:val="none" w:sz="0" w:space="0" w:color="auto"/>
              </w:divBdr>
              <w:divsChild>
                <w:div w:id="577330644">
                  <w:marLeft w:val="0"/>
                  <w:marRight w:val="0"/>
                  <w:marTop w:val="0"/>
                  <w:marBottom w:val="0"/>
                  <w:divBdr>
                    <w:top w:val="none" w:sz="0" w:space="0" w:color="auto"/>
                    <w:left w:val="none" w:sz="0" w:space="0" w:color="auto"/>
                    <w:bottom w:val="none" w:sz="0" w:space="0" w:color="auto"/>
                    <w:right w:val="none" w:sz="0" w:space="0" w:color="auto"/>
                  </w:divBdr>
                  <w:divsChild>
                    <w:div w:id="1418475985">
                      <w:marLeft w:val="0"/>
                      <w:marRight w:val="0"/>
                      <w:marTop w:val="0"/>
                      <w:marBottom w:val="0"/>
                      <w:divBdr>
                        <w:top w:val="none" w:sz="0" w:space="0" w:color="auto"/>
                        <w:left w:val="none" w:sz="0" w:space="0" w:color="auto"/>
                        <w:bottom w:val="none" w:sz="0" w:space="0" w:color="auto"/>
                        <w:right w:val="none" w:sz="0" w:space="0" w:color="auto"/>
                      </w:divBdr>
                      <w:divsChild>
                        <w:div w:id="721756338">
                          <w:marLeft w:val="0"/>
                          <w:marRight w:val="0"/>
                          <w:marTop w:val="0"/>
                          <w:marBottom w:val="0"/>
                          <w:divBdr>
                            <w:top w:val="none" w:sz="0" w:space="0" w:color="auto"/>
                            <w:left w:val="none" w:sz="0" w:space="0" w:color="auto"/>
                            <w:bottom w:val="none" w:sz="0" w:space="0" w:color="auto"/>
                            <w:right w:val="none" w:sz="0" w:space="0" w:color="auto"/>
                          </w:divBdr>
                          <w:divsChild>
                            <w:div w:id="710107497">
                              <w:marLeft w:val="0"/>
                              <w:marRight w:val="0"/>
                              <w:marTop w:val="0"/>
                              <w:marBottom w:val="0"/>
                              <w:divBdr>
                                <w:top w:val="none" w:sz="0" w:space="0" w:color="auto"/>
                                <w:left w:val="none" w:sz="0" w:space="0" w:color="auto"/>
                                <w:bottom w:val="none" w:sz="0" w:space="0" w:color="auto"/>
                                <w:right w:val="none" w:sz="0" w:space="0" w:color="auto"/>
                              </w:divBdr>
                              <w:divsChild>
                                <w:div w:id="1239636222">
                                  <w:marLeft w:val="0"/>
                                  <w:marRight w:val="0"/>
                                  <w:marTop w:val="0"/>
                                  <w:marBottom w:val="0"/>
                                  <w:divBdr>
                                    <w:top w:val="none" w:sz="0" w:space="0" w:color="auto"/>
                                    <w:left w:val="none" w:sz="0" w:space="0" w:color="auto"/>
                                    <w:bottom w:val="none" w:sz="0" w:space="0" w:color="auto"/>
                                    <w:right w:val="none" w:sz="0" w:space="0" w:color="auto"/>
                                  </w:divBdr>
                                  <w:divsChild>
                                    <w:div w:id="1771854853">
                                      <w:marLeft w:val="0"/>
                                      <w:marRight w:val="0"/>
                                      <w:marTop w:val="0"/>
                                      <w:marBottom w:val="0"/>
                                      <w:divBdr>
                                        <w:top w:val="none" w:sz="0" w:space="0" w:color="auto"/>
                                        <w:left w:val="none" w:sz="0" w:space="0" w:color="auto"/>
                                        <w:bottom w:val="none" w:sz="0" w:space="0" w:color="auto"/>
                                        <w:right w:val="none" w:sz="0" w:space="0" w:color="auto"/>
                                      </w:divBdr>
                                      <w:divsChild>
                                        <w:div w:id="884756855">
                                          <w:marLeft w:val="0"/>
                                          <w:marRight w:val="0"/>
                                          <w:marTop w:val="0"/>
                                          <w:marBottom w:val="0"/>
                                          <w:divBdr>
                                            <w:top w:val="none" w:sz="0" w:space="0" w:color="auto"/>
                                            <w:left w:val="none" w:sz="0" w:space="0" w:color="auto"/>
                                            <w:bottom w:val="none" w:sz="0" w:space="0" w:color="auto"/>
                                            <w:right w:val="none" w:sz="0" w:space="0" w:color="auto"/>
                                          </w:divBdr>
                                          <w:divsChild>
                                            <w:div w:id="1687054732">
                                              <w:marLeft w:val="0"/>
                                              <w:marRight w:val="0"/>
                                              <w:marTop w:val="0"/>
                                              <w:marBottom w:val="0"/>
                                              <w:divBdr>
                                                <w:top w:val="none" w:sz="0" w:space="0" w:color="auto"/>
                                                <w:left w:val="none" w:sz="0" w:space="0" w:color="auto"/>
                                                <w:bottom w:val="none" w:sz="0" w:space="0" w:color="auto"/>
                                                <w:right w:val="none" w:sz="0" w:space="0" w:color="auto"/>
                                              </w:divBdr>
                                              <w:divsChild>
                                                <w:div w:id="2104719187">
                                                  <w:marLeft w:val="0"/>
                                                  <w:marRight w:val="0"/>
                                                  <w:marTop w:val="0"/>
                                                  <w:marBottom w:val="0"/>
                                                  <w:divBdr>
                                                    <w:top w:val="none" w:sz="0" w:space="0" w:color="auto"/>
                                                    <w:left w:val="none" w:sz="0" w:space="0" w:color="auto"/>
                                                    <w:bottom w:val="none" w:sz="0" w:space="0" w:color="auto"/>
                                                    <w:right w:val="none" w:sz="0" w:space="0" w:color="auto"/>
                                                  </w:divBdr>
                                                  <w:divsChild>
                                                    <w:div w:id="1323696321">
                                                      <w:marLeft w:val="0"/>
                                                      <w:marRight w:val="0"/>
                                                      <w:marTop w:val="0"/>
                                                      <w:marBottom w:val="0"/>
                                                      <w:divBdr>
                                                        <w:top w:val="none" w:sz="0" w:space="0" w:color="auto"/>
                                                        <w:left w:val="none" w:sz="0" w:space="0" w:color="auto"/>
                                                        <w:bottom w:val="none" w:sz="0" w:space="0" w:color="auto"/>
                                                        <w:right w:val="none" w:sz="0" w:space="0" w:color="auto"/>
                                                      </w:divBdr>
                                                      <w:divsChild>
                                                        <w:div w:id="33118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 w:id="1478720493">
      <w:bodyDiv w:val="1"/>
      <w:marLeft w:val="0"/>
      <w:marRight w:val="0"/>
      <w:marTop w:val="0"/>
      <w:marBottom w:val="0"/>
      <w:divBdr>
        <w:top w:val="none" w:sz="0" w:space="0" w:color="auto"/>
        <w:left w:val="none" w:sz="0" w:space="0" w:color="auto"/>
        <w:bottom w:val="none" w:sz="0" w:space="0" w:color="auto"/>
        <w:right w:val="none" w:sz="0" w:space="0" w:color="auto"/>
      </w:divBdr>
      <w:divsChild>
        <w:div w:id="518736126">
          <w:marLeft w:val="0"/>
          <w:marRight w:val="0"/>
          <w:marTop w:val="0"/>
          <w:marBottom w:val="0"/>
          <w:divBdr>
            <w:top w:val="none" w:sz="0" w:space="0" w:color="auto"/>
            <w:left w:val="none" w:sz="0" w:space="0" w:color="auto"/>
            <w:bottom w:val="none" w:sz="0" w:space="0" w:color="auto"/>
            <w:right w:val="none" w:sz="0" w:space="0" w:color="auto"/>
          </w:divBdr>
        </w:div>
      </w:divsChild>
    </w:div>
    <w:div w:id="1500779143">
      <w:bodyDiv w:val="1"/>
      <w:marLeft w:val="0"/>
      <w:marRight w:val="0"/>
      <w:marTop w:val="0"/>
      <w:marBottom w:val="0"/>
      <w:divBdr>
        <w:top w:val="none" w:sz="0" w:space="0" w:color="auto"/>
        <w:left w:val="none" w:sz="0" w:space="0" w:color="auto"/>
        <w:bottom w:val="none" w:sz="0" w:space="0" w:color="auto"/>
        <w:right w:val="none" w:sz="0" w:space="0" w:color="auto"/>
      </w:divBdr>
      <w:divsChild>
        <w:div w:id="1582790176">
          <w:marLeft w:val="0"/>
          <w:marRight w:val="0"/>
          <w:marTop w:val="0"/>
          <w:marBottom w:val="0"/>
          <w:divBdr>
            <w:top w:val="none" w:sz="0" w:space="0" w:color="auto"/>
            <w:left w:val="none" w:sz="0" w:space="0" w:color="auto"/>
            <w:bottom w:val="none" w:sz="0" w:space="0" w:color="auto"/>
            <w:right w:val="none" w:sz="0" w:space="0" w:color="auto"/>
          </w:divBdr>
        </w:div>
      </w:divsChild>
    </w:div>
    <w:div w:id="1566140112">
      <w:bodyDiv w:val="1"/>
      <w:marLeft w:val="0"/>
      <w:marRight w:val="0"/>
      <w:marTop w:val="0"/>
      <w:marBottom w:val="0"/>
      <w:divBdr>
        <w:top w:val="none" w:sz="0" w:space="0" w:color="auto"/>
        <w:left w:val="none" w:sz="0" w:space="0" w:color="auto"/>
        <w:bottom w:val="none" w:sz="0" w:space="0" w:color="auto"/>
        <w:right w:val="none" w:sz="0" w:space="0" w:color="auto"/>
      </w:divBdr>
      <w:divsChild>
        <w:div w:id="843276234">
          <w:marLeft w:val="0"/>
          <w:marRight w:val="0"/>
          <w:marTop w:val="0"/>
          <w:marBottom w:val="0"/>
          <w:divBdr>
            <w:top w:val="none" w:sz="0" w:space="0" w:color="auto"/>
            <w:left w:val="none" w:sz="0" w:space="0" w:color="auto"/>
            <w:bottom w:val="none" w:sz="0" w:space="0" w:color="auto"/>
            <w:right w:val="none" w:sz="0" w:space="0" w:color="auto"/>
          </w:divBdr>
        </w:div>
      </w:divsChild>
    </w:div>
    <w:div w:id="1579248513">
      <w:bodyDiv w:val="1"/>
      <w:marLeft w:val="0"/>
      <w:marRight w:val="0"/>
      <w:marTop w:val="0"/>
      <w:marBottom w:val="0"/>
      <w:divBdr>
        <w:top w:val="none" w:sz="0" w:space="0" w:color="auto"/>
        <w:left w:val="none" w:sz="0" w:space="0" w:color="auto"/>
        <w:bottom w:val="none" w:sz="0" w:space="0" w:color="auto"/>
        <w:right w:val="none" w:sz="0" w:space="0" w:color="auto"/>
      </w:divBdr>
      <w:divsChild>
        <w:div w:id="64839826">
          <w:marLeft w:val="0"/>
          <w:marRight w:val="0"/>
          <w:marTop w:val="0"/>
          <w:marBottom w:val="0"/>
          <w:divBdr>
            <w:top w:val="none" w:sz="0" w:space="0" w:color="auto"/>
            <w:left w:val="none" w:sz="0" w:space="0" w:color="auto"/>
            <w:bottom w:val="none" w:sz="0" w:space="0" w:color="auto"/>
            <w:right w:val="none" w:sz="0" w:space="0" w:color="auto"/>
          </w:divBdr>
        </w:div>
      </w:divsChild>
    </w:div>
    <w:div w:id="1602108438">
      <w:bodyDiv w:val="1"/>
      <w:marLeft w:val="0"/>
      <w:marRight w:val="0"/>
      <w:marTop w:val="0"/>
      <w:marBottom w:val="0"/>
      <w:divBdr>
        <w:top w:val="none" w:sz="0" w:space="0" w:color="auto"/>
        <w:left w:val="none" w:sz="0" w:space="0" w:color="auto"/>
        <w:bottom w:val="none" w:sz="0" w:space="0" w:color="auto"/>
        <w:right w:val="none" w:sz="0" w:space="0" w:color="auto"/>
      </w:divBdr>
    </w:div>
    <w:div w:id="1626546108">
      <w:bodyDiv w:val="1"/>
      <w:marLeft w:val="0"/>
      <w:marRight w:val="0"/>
      <w:marTop w:val="0"/>
      <w:marBottom w:val="0"/>
      <w:divBdr>
        <w:top w:val="none" w:sz="0" w:space="0" w:color="auto"/>
        <w:left w:val="none" w:sz="0" w:space="0" w:color="auto"/>
        <w:bottom w:val="none" w:sz="0" w:space="0" w:color="auto"/>
        <w:right w:val="none" w:sz="0" w:space="0" w:color="auto"/>
      </w:divBdr>
      <w:divsChild>
        <w:div w:id="1463425719">
          <w:marLeft w:val="0"/>
          <w:marRight w:val="0"/>
          <w:marTop w:val="0"/>
          <w:marBottom w:val="0"/>
          <w:divBdr>
            <w:top w:val="none" w:sz="0" w:space="0" w:color="auto"/>
            <w:left w:val="none" w:sz="0" w:space="0" w:color="auto"/>
            <w:bottom w:val="none" w:sz="0" w:space="0" w:color="auto"/>
            <w:right w:val="none" w:sz="0" w:space="0" w:color="auto"/>
          </w:divBdr>
        </w:div>
      </w:divsChild>
    </w:div>
    <w:div w:id="1633319046">
      <w:bodyDiv w:val="1"/>
      <w:marLeft w:val="0"/>
      <w:marRight w:val="0"/>
      <w:marTop w:val="0"/>
      <w:marBottom w:val="0"/>
      <w:divBdr>
        <w:top w:val="none" w:sz="0" w:space="0" w:color="auto"/>
        <w:left w:val="none" w:sz="0" w:space="0" w:color="auto"/>
        <w:bottom w:val="none" w:sz="0" w:space="0" w:color="auto"/>
        <w:right w:val="none" w:sz="0" w:space="0" w:color="auto"/>
      </w:divBdr>
      <w:divsChild>
        <w:div w:id="790127492">
          <w:marLeft w:val="0"/>
          <w:marRight w:val="0"/>
          <w:marTop w:val="0"/>
          <w:marBottom w:val="0"/>
          <w:divBdr>
            <w:top w:val="none" w:sz="0" w:space="0" w:color="auto"/>
            <w:left w:val="none" w:sz="0" w:space="0" w:color="auto"/>
            <w:bottom w:val="none" w:sz="0" w:space="0" w:color="auto"/>
            <w:right w:val="none" w:sz="0" w:space="0" w:color="auto"/>
          </w:divBdr>
        </w:div>
      </w:divsChild>
    </w:div>
    <w:div w:id="1716002495">
      <w:bodyDiv w:val="1"/>
      <w:marLeft w:val="0"/>
      <w:marRight w:val="0"/>
      <w:marTop w:val="0"/>
      <w:marBottom w:val="0"/>
      <w:divBdr>
        <w:top w:val="none" w:sz="0" w:space="0" w:color="auto"/>
        <w:left w:val="none" w:sz="0" w:space="0" w:color="auto"/>
        <w:bottom w:val="none" w:sz="0" w:space="0" w:color="auto"/>
        <w:right w:val="none" w:sz="0" w:space="0" w:color="auto"/>
      </w:divBdr>
      <w:divsChild>
        <w:div w:id="1649893542">
          <w:marLeft w:val="0"/>
          <w:marRight w:val="0"/>
          <w:marTop w:val="0"/>
          <w:marBottom w:val="0"/>
          <w:divBdr>
            <w:top w:val="none" w:sz="0" w:space="0" w:color="auto"/>
            <w:left w:val="none" w:sz="0" w:space="0" w:color="auto"/>
            <w:bottom w:val="none" w:sz="0" w:space="0" w:color="auto"/>
            <w:right w:val="none" w:sz="0" w:space="0" w:color="auto"/>
          </w:divBdr>
        </w:div>
      </w:divsChild>
    </w:div>
    <w:div w:id="1947997432">
      <w:bodyDiv w:val="1"/>
      <w:marLeft w:val="0"/>
      <w:marRight w:val="0"/>
      <w:marTop w:val="0"/>
      <w:marBottom w:val="0"/>
      <w:divBdr>
        <w:top w:val="none" w:sz="0" w:space="0" w:color="auto"/>
        <w:left w:val="none" w:sz="0" w:space="0" w:color="auto"/>
        <w:bottom w:val="none" w:sz="0" w:space="0" w:color="auto"/>
        <w:right w:val="none" w:sz="0" w:space="0" w:color="auto"/>
      </w:divBdr>
      <w:divsChild>
        <w:div w:id="1255169520">
          <w:marLeft w:val="0"/>
          <w:marRight w:val="0"/>
          <w:marTop w:val="0"/>
          <w:marBottom w:val="0"/>
          <w:divBdr>
            <w:top w:val="none" w:sz="0" w:space="0" w:color="auto"/>
            <w:left w:val="none" w:sz="0" w:space="0" w:color="auto"/>
            <w:bottom w:val="none" w:sz="0" w:space="0" w:color="auto"/>
            <w:right w:val="none" w:sz="0" w:space="0" w:color="auto"/>
          </w:divBdr>
        </w:div>
      </w:divsChild>
    </w:div>
    <w:div w:id="1987590114">
      <w:bodyDiv w:val="1"/>
      <w:marLeft w:val="0"/>
      <w:marRight w:val="0"/>
      <w:marTop w:val="0"/>
      <w:marBottom w:val="0"/>
      <w:divBdr>
        <w:top w:val="none" w:sz="0" w:space="0" w:color="auto"/>
        <w:left w:val="none" w:sz="0" w:space="0" w:color="auto"/>
        <w:bottom w:val="none" w:sz="0" w:space="0" w:color="auto"/>
        <w:right w:val="none" w:sz="0" w:space="0" w:color="auto"/>
      </w:divBdr>
      <w:divsChild>
        <w:div w:id="671834062">
          <w:marLeft w:val="0"/>
          <w:marRight w:val="0"/>
          <w:marTop w:val="0"/>
          <w:marBottom w:val="0"/>
          <w:divBdr>
            <w:top w:val="none" w:sz="0" w:space="0" w:color="auto"/>
            <w:left w:val="none" w:sz="0" w:space="0" w:color="auto"/>
            <w:bottom w:val="none" w:sz="0" w:space="0" w:color="auto"/>
            <w:right w:val="none" w:sz="0" w:space="0" w:color="auto"/>
          </w:divBdr>
        </w:div>
      </w:divsChild>
    </w:div>
    <w:div w:id="2008827324">
      <w:bodyDiv w:val="1"/>
      <w:marLeft w:val="0"/>
      <w:marRight w:val="0"/>
      <w:marTop w:val="0"/>
      <w:marBottom w:val="0"/>
      <w:divBdr>
        <w:top w:val="none" w:sz="0" w:space="0" w:color="auto"/>
        <w:left w:val="none" w:sz="0" w:space="0" w:color="auto"/>
        <w:bottom w:val="none" w:sz="0" w:space="0" w:color="auto"/>
        <w:right w:val="none" w:sz="0" w:space="0" w:color="auto"/>
      </w:divBdr>
      <w:divsChild>
        <w:div w:id="1371878627">
          <w:marLeft w:val="0"/>
          <w:marRight w:val="0"/>
          <w:marTop w:val="0"/>
          <w:marBottom w:val="567"/>
          <w:divBdr>
            <w:top w:val="none" w:sz="0" w:space="0" w:color="auto"/>
            <w:left w:val="none" w:sz="0" w:space="0" w:color="auto"/>
            <w:bottom w:val="none" w:sz="0" w:space="0" w:color="auto"/>
            <w:right w:val="none" w:sz="0" w:space="0" w:color="auto"/>
          </w:divBdr>
        </w:div>
      </w:divsChild>
    </w:div>
    <w:div w:id="2010713050">
      <w:bodyDiv w:val="1"/>
      <w:marLeft w:val="0"/>
      <w:marRight w:val="0"/>
      <w:marTop w:val="0"/>
      <w:marBottom w:val="0"/>
      <w:divBdr>
        <w:top w:val="none" w:sz="0" w:space="0" w:color="auto"/>
        <w:left w:val="none" w:sz="0" w:space="0" w:color="auto"/>
        <w:bottom w:val="none" w:sz="0" w:space="0" w:color="auto"/>
        <w:right w:val="none" w:sz="0" w:space="0" w:color="auto"/>
      </w:divBdr>
      <w:divsChild>
        <w:div w:id="578640735">
          <w:marLeft w:val="0"/>
          <w:marRight w:val="0"/>
          <w:marTop w:val="0"/>
          <w:marBottom w:val="0"/>
          <w:divBdr>
            <w:top w:val="none" w:sz="0" w:space="0" w:color="auto"/>
            <w:left w:val="none" w:sz="0" w:space="0" w:color="auto"/>
            <w:bottom w:val="none" w:sz="0" w:space="0" w:color="auto"/>
            <w:right w:val="none" w:sz="0" w:space="0" w:color="auto"/>
          </w:divBdr>
        </w:div>
      </w:divsChild>
    </w:div>
    <w:div w:id="2017489545">
      <w:bodyDiv w:val="1"/>
      <w:marLeft w:val="0"/>
      <w:marRight w:val="0"/>
      <w:marTop w:val="0"/>
      <w:marBottom w:val="0"/>
      <w:divBdr>
        <w:top w:val="none" w:sz="0" w:space="0" w:color="auto"/>
        <w:left w:val="none" w:sz="0" w:space="0" w:color="auto"/>
        <w:bottom w:val="none" w:sz="0" w:space="0" w:color="auto"/>
        <w:right w:val="none" w:sz="0" w:space="0" w:color="auto"/>
      </w:divBdr>
      <w:divsChild>
        <w:div w:id="1515731805">
          <w:marLeft w:val="0"/>
          <w:marRight w:val="0"/>
          <w:marTop w:val="0"/>
          <w:marBottom w:val="0"/>
          <w:divBdr>
            <w:top w:val="none" w:sz="0" w:space="0" w:color="auto"/>
            <w:left w:val="none" w:sz="0" w:space="0" w:color="auto"/>
            <w:bottom w:val="none" w:sz="0" w:space="0" w:color="auto"/>
            <w:right w:val="none" w:sz="0" w:space="0" w:color="auto"/>
          </w:divBdr>
        </w:div>
      </w:divsChild>
    </w:div>
    <w:div w:id="2083989886">
      <w:bodyDiv w:val="1"/>
      <w:marLeft w:val="0"/>
      <w:marRight w:val="0"/>
      <w:marTop w:val="0"/>
      <w:marBottom w:val="0"/>
      <w:divBdr>
        <w:top w:val="none" w:sz="0" w:space="0" w:color="auto"/>
        <w:left w:val="none" w:sz="0" w:space="0" w:color="auto"/>
        <w:bottom w:val="none" w:sz="0" w:space="0" w:color="auto"/>
        <w:right w:val="none" w:sz="0" w:space="0" w:color="auto"/>
      </w:divBdr>
      <w:divsChild>
        <w:div w:id="1936204766">
          <w:marLeft w:val="0"/>
          <w:marRight w:val="0"/>
          <w:marTop w:val="0"/>
          <w:marBottom w:val="0"/>
          <w:divBdr>
            <w:top w:val="none" w:sz="0" w:space="0" w:color="auto"/>
            <w:left w:val="none" w:sz="0" w:space="0" w:color="auto"/>
            <w:bottom w:val="none" w:sz="0" w:space="0" w:color="auto"/>
            <w:right w:val="none" w:sz="0" w:space="0" w:color="auto"/>
          </w:divBdr>
        </w:div>
      </w:divsChild>
    </w:div>
    <w:div w:id="2104911946">
      <w:bodyDiv w:val="1"/>
      <w:marLeft w:val="0"/>
      <w:marRight w:val="0"/>
      <w:marTop w:val="0"/>
      <w:marBottom w:val="0"/>
      <w:divBdr>
        <w:top w:val="none" w:sz="0" w:space="0" w:color="auto"/>
        <w:left w:val="none" w:sz="0" w:space="0" w:color="auto"/>
        <w:bottom w:val="none" w:sz="0" w:space="0" w:color="auto"/>
        <w:right w:val="none" w:sz="0" w:space="0" w:color="auto"/>
      </w:divBdr>
      <w:divsChild>
        <w:div w:id="1586382556">
          <w:marLeft w:val="0"/>
          <w:marRight w:val="0"/>
          <w:marTop w:val="0"/>
          <w:marBottom w:val="0"/>
          <w:divBdr>
            <w:top w:val="none" w:sz="0" w:space="0" w:color="auto"/>
            <w:left w:val="none" w:sz="0" w:space="0" w:color="auto"/>
            <w:bottom w:val="none" w:sz="0" w:space="0" w:color="auto"/>
            <w:right w:val="none" w:sz="0" w:space="0" w:color="auto"/>
          </w:divBdr>
        </w:div>
      </w:divsChild>
    </w:div>
    <w:div w:id="2112048414">
      <w:bodyDiv w:val="1"/>
      <w:marLeft w:val="0"/>
      <w:marRight w:val="0"/>
      <w:marTop w:val="0"/>
      <w:marBottom w:val="0"/>
      <w:divBdr>
        <w:top w:val="none" w:sz="0" w:space="0" w:color="auto"/>
        <w:left w:val="none" w:sz="0" w:space="0" w:color="auto"/>
        <w:bottom w:val="none" w:sz="0" w:space="0" w:color="auto"/>
        <w:right w:val="none" w:sz="0" w:space="0" w:color="auto"/>
      </w:divBdr>
      <w:divsChild>
        <w:div w:id="1838763527">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customXml/itemProps2.xml><?xml version="1.0" encoding="utf-8"?>
<ds:datastoreItem xmlns:ds="http://schemas.openxmlformats.org/officeDocument/2006/customXml" ds:itemID="{65C49161-27CE-40A8-BFC4-54EA6DC08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F302C7-45B4-4A52-9D08-EAD3BBB3A90E}">
  <ds:schemaRefs>
    <ds:schemaRef ds:uri="http://schemas.microsoft.com/office/2006/metadata/longProperties"/>
  </ds:schemaRefs>
</ds:datastoreItem>
</file>

<file path=customXml/itemProps4.xml><?xml version="1.0" encoding="utf-8"?>
<ds:datastoreItem xmlns:ds="http://schemas.openxmlformats.org/officeDocument/2006/customXml" ds:itemID="{A2E68B2D-5A9A-4BC7-B342-391C8871E400}">
  <ds:schemaRefs>
    <ds:schemaRef ds:uri="http://schemas.microsoft.com/sharepoint/v3/contenttype/forms"/>
  </ds:schemaRefs>
</ds:datastoreItem>
</file>

<file path=customXml/itemProps5.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9bd55470-554b-43a4-a725-b11197aacd35"/>
    <ds:schemaRef ds:uri="39e29a67-14a6-4bd2-bf5c-c8d713f8fb27"/>
    <ds:schemaRef ds:uri="8230fadb-9988-4f00-b353-34532af48b00"/>
    <ds:schemaRef ds:uri="978be6e4-f890-4aa0-9195-00aa98d15dd1"/>
    <ds:schemaRef ds:uri="d177710c-40cf-4d94-a9f9-6248e9450632"/>
    <ds:schemaRef ds:uri="90e81eab-0ee8-4447-a625-b324b79cd24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7106</Words>
  <Characters>49975</Characters>
  <Application>Microsoft Office Word</Application>
  <DocSecurity>0</DocSecurity>
  <Lines>416</Lines>
  <Paragraphs>113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Rigas Satiksme</Company>
  <LinksUpToDate>false</LinksUpToDate>
  <CharactersWithSpaces>56968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Alena Kamisarova</cp:lastModifiedBy>
  <cp:revision>3</cp:revision>
  <cp:lastPrinted>2021-09-09T02:05:00Z</cp:lastPrinted>
  <dcterms:created xsi:type="dcterms:W3CDTF">2026-06-11T12:05:00Z</dcterms:created>
  <dcterms:modified xsi:type="dcterms:W3CDTF">2026-06-11T12:06:00Z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0x0101007C98C035752B2E4F9BA001D238EDF9B9</vt:lpwstr>
  </property>
  <property fmtid="{D5CDD505-2E9C-101B-9397-08002B2CF9AE}" pid="17" name="MediaServiceImageTags">
    <vt:lpwstr/>
  </property>
</Properties>
</file>