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D8FE2E" w14:textId="59EBC869" w:rsidR="00B67B48" w:rsidRPr="004307B1" w:rsidRDefault="00B67B48" w:rsidP="00610471">
      <w:pPr>
        <w:rPr>
          <w:lang w:val="en-GB"/>
        </w:rPr>
      </w:pPr>
    </w:p>
    <w:p w14:paraId="529861B7" w14:textId="77777777" w:rsidR="00BA486D" w:rsidRPr="004307B1" w:rsidRDefault="00BA486D" w:rsidP="00610471">
      <w:pPr>
        <w:rPr>
          <w:lang w:val="en-GB"/>
        </w:rPr>
      </w:pPr>
    </w:p>
    <w:p w14:paraId="24D34ED9" w14:textId="77777777" w:rsidR="00BA486D" w:rsidRPr="004307B1" w:rsidRDefault="00BA486D" w:rsidP="00610471">
      <w:pPr>
        <w:jc w:val="right"/>
        <w:rPr>
          <w:b/>
          <w:bCs/>
          <w:lang w:val="en-GB"/>
        </w:rPr>
      </w:pPr>
    </w:p>
    <w:p w14:paraId="46A3C670" w14:textId="77777777" w:rsidR="007F3584" w:rsidRPr="004307B1" w:rsidRDefault="007F3584" w:rsidP="00610471">
      <w:pPr>
        <w:pStyle w:val="Default"/>
        <w:tabs>
          <w:tab w:val="left" w:pos="5387"/>
        </w:tabs>
        <w:jc w:val="both"/>
        <w:rPr>
          <w:iCs/>
          <w:lang w:val="en-GB"/>
        </w:rPr>
      </w:pPr>
    </w:p>
    <w:p w14:paraId="5BDD3E68" w14:textId="77777777" w:rsidR="00B74FDD" w:rsidRPr="004307B1" w:rsidRDefault="00B74FDD" w:rsidP="00610471">
      <w:pPr>
        <w:pStyle w:val="Default"/>
        <w:tabs>
          <w:tab w:val="left" w:pos="5387"/>
        </w:tabs>
        <w:ind w:right="4528"/>
        <w:jc w:val="both"/>
        <w:rPr>
          <w:iCs/>
          <w:lang w:val="en-GB"/>
        </w:rPr>
      </w:pPr>
      <w:r w:rsidRPr="004307B1">
        <w:rPr>
          <w:lang w:val="en-GB" w:bidi="en-GB"/>
        </w:rPr>
        <w:t>Regarding the requirements of the open procedure "Supply of buses" (ID No RS 2026/17)</w:t>
      </w:r>
    </w:p>
    <w:p w14:paraId="60CCE50F" w14:textId="77777777" w:rsidR="007F3584" w:rsidRPr="004307B1" w:rsidRDefault="007F3584" w:rsidP="00610471">
      <w:pPr>
        <w:rPr>
          <w:i/>
          <w:lang w:val="en-GB"/>
        </w:rPr>
      </w:pPr>
    </w:p>
    <w:p w14:paraId="2F7C4F3C" w14:textId="3823CEC7" w:rsidR="007F3584" w:rsidRPr="004307B1" w:rsidRDefault="007F3584" w:rsidP="00610471">
      <w:pPr>
        <w:tabs>
          <w:tab w:val="right" w:pos="9355"/>
        </w:tabs>
        <w:ind w:firstLine="426"/>
        <w:jc w:val="both"/>
        <w:rPr>
          <w:lang w:val="en-GB"/>
        </w:rPr>
      </w:pPr>
      <w:r w:rsidRPr="004307B1">
        <w:rPr>
          <w:lang w:val="en-GB" w:bidi="en-GB"/>
        </w:rPr>
        <w:t xml:space="preserve">Riga Municipality Limited Liability Company (SIA) </w:t>
      </w:r>
      <w:proofErr w:type="spellStart"/>
      <w:r w:rsidRPr="004307B1">
        <w:rPr>
          <w:lang w:val="en-GB" w:bidi="en-GB"/>
        </w:rPr>
        <w:t>Rīgas</w:t>
      </w:r>
      <w:proofErr w:type="spellEnd"/>
      <w:r w:rsidRPr="004307B1">
        <w:rPr>
          <w:lang w:val="en-GB" w:bidi="en-GB"/>
        </w:rPr>
        <w:t xml:space="preserve"> </w:t>
      </w:r>
      <w:proofErr w:type="spellStart"/>
      <w:r w:rsidRPr="004307B1">
        <w:rPr>
          <w:lang w:val="en-GB" w:bidi="en-GB"/>
        </w:rPr>
        <w:t>satiksme</w:t>
      </w:r>
      <w:proofErr w:type="spellEnd"/>
      <w:r w:rsidRPr="004307B1">
        <w:rPr>
          <w:lang w:val="en-GB" w:bidi="en-GB"/>
        </w:rPr>
        <w:t xml:space="preserve"> (hereinafter – the Contracting Authority) has received a request from a potential Tenderer to provide answers to questions concerning the requirements of the Regulations of the open procedure "Supply of buses" (ID No RS 2026/17) (hereinafter – the procurement procedure).</w:t>
      </w:r>
    </w:p>
    <w:p w14:paraId="2EA0CFC3" w14:textId="77777777" w:rsidR="007F3584" w:rsidRPr="004307B1" w:rsidRDefault="007F3584" w:rsidP="00610471">
      <w:pPr>
        <w:jc w:val="both"/>
        <w:rPr>
          <w:lang w:val="en-GB"/>
        </w:rPr>
      </w:pPr>
    </w:p>
    <w:p w14:paraId="6A4F2C6D" w14:textId="77777777" w:rsidR="007F3584" w:rsidRPr="004307B1" w:rsidRDefault="007F3584" w:rsidP="00610471">
      <w:pPr>
        <w:jc w:val="both"/>
        <w:rPr>
          <w:b/>
          <w:bCs/>
          <w:lang w:val="en-GB"/>
        </w:rPr>
      </w:pPr>
      <w:r w:rsidRPr="004307B1">
        <w:rPr>
          <w:b/>
          <w:lang w:val="en-GB" w:bidi="en-GB"/>
        </w:rPr>
        <w:t>Question 1:</w:t>
      </w:r>
    </w:p>
    <w:p w14:paraId="66AAC199" w14:textId="77777777" w:rsidR="009136B5" w:rsidRPr="004307B1" w:rsidRDefault="009136B5" w:rsidP="00610471">
      <w:pPr>
        <w:ind w:firstLine="720"/>
        <w:jc w:val="both"/>
        <w:rPr>
          <w:lang w:val="en-GB"/>
        </w:rPr>
      </w:pPr>
      <w:r w:rsidRPr="004307B1">
        <w:rPr>
          <w:lang w:val="en-GB" w:bidi="en-GB"/>
        </w:rPr>
        <w:t xml:space="preserve">Paragraph A.8.3 (Acceleration/deceleration) of the Technical Specification requires that the acceleration and deceleration of the vehicle shall be smoothly adjustable, including the possibility of adjusting their maximum values. At the same time, the same paragraph already sets out certain minimum performance characteristics: average acceleration and deceleration of at least 1.2 m/s², a maximum of 1.5 m/s² (possibly m/s³), and an acceleration time from 0 to 60 km/h of no more than 30 seconds. </w:t>
      </w:r>
    </w:p>
    <w:p w14:paraId="3FD1F308" w14:textId="77777777" w:rsidR="009136B5" w:rsidRPr="004307B1" w:rsidRDefault="009136B5" w:rsidP="00610471">
      <w:pPr>
        <w:ind w:firstLine="720"/>
        <w:jc w:val="both"/>
        <w:rPr>
          <w:lang w:val="en-GB"/>
        </w:rPr>
      </w:pPr>
      <w:r w:rsidRPr="004307B1">
        <w:rPr>
          <w:lang w:val="en-GB" w:bidi="en-GB"/>
        </w:rPr>
        <w:t xml:space="preserve">It is not clear from this wording what exactly the Contracting Authority expects by adjustability. The wording of the requirement, however, allows for a broad interpretation ranging from the driver's ability to select driving modes via the driver interface to the unrestricted adjustment of parameters for different route sections, gradients, or weather conditions. </w:t>
      </w:r>
    </w:p>
    <w:p w14:paraId="6A314D66" w14:textId="74655BAF" w:rsidR="00C80CAD" w:rsidRPr="004307B1" w:rsidRDefault="009136B5" w:rsidP="00610471">
      <w:pPr>
        <w:ind w:firstLine="720"/>
        <w:jc w:val="both"/>
        <w:rPr>
          <w:lang w:val="en-GB"/>
        </w:rPr>
      </w:pPr>
      <w:r w:rsidRPr="004307B1">
        <w:rPr>
          <w:lang w:val="en-GB" w:bidi="en-GB"/>
        </w:rPr>
        <w:t>Therefore, we kindly request the Contracting Authority to specify the type of adjustment envisaged, namely whether it refers to the adjustment of maximum parameter values in the manufacturer's diagnostic environment during acceptance, commissioning and operation, to driver-selectable driving modes (e.g. Eco, Standard, etc.), or to any other type of functionality. We would further request the Contracting Authority to clarify the operating conditions under which the adjustment functionality is required to be available and whether it is intended to be used for different gradients or driving modes, as this clarification will directly impact both the technical solution proposed by the Tenderer and the scope of licences and access rights to be included in the financial proposal.</w:t>
      </w:r>
    </w:p>
    <w:p w14:paraId="4E58D146" w14:textId="77777777" w:rsidR="009136B5" w:rsidRPr="004307B1" w:rsidRDefault="009136B5" w:rsidP="00610471">
      <w:pPr>
        <w:ind w:firstLine="720"/>
        <w:jc w:val="both"/>
        <w:rPr>
          <w:lang w:val="en-GB"/>
        </w:rPr>
      </w:pPr>
    </w:p>
    <w:p w14:paraId="54BCF287" w14:textId="504FCE1B" w:rsidR="007F3584" w:rsidRPr="004307B1" w:rsidRDefault="00A466A6" w:rsidP="00610471">
      <w:pPr>
        <w:jc w:val="both"/>
        <w:rPr>
          <w:b/>
          <w:bCs/>
          <w:lang w:val="en-GB"/>
        </w:rPr>
      </w:pPr>
      <w:r w:rsidRPr="004307B1">
        <w:rPr>
          <w:b/>
          <w:lang w:val="en-GB" w:bidi="en-GB"/>
        </w:rPr>
        <w:t>Answer 1:</w:t>
      </w:r>
    </w:p>
    <w:p w14:paraId="7399D02C" w14:textId="3A10E93A" w:rsidR="00FA4078" w:rsidRPr="004307B1" w:rsidRDefault="00FA4078" w:rsidP="00610471">
      <w:pPr>
        <w:ind w:firstLine="720"/>
        <w:jc w:val="both"/>
        <w:rPr>
          <w:lang w:val="en-GB"/>
        </w:rPr>
      </w:pPr>
      <w:r w:rsidRPr="004307B1">
        <w:rPr>
          <w:lang w:val="en-GB" w:bidi="en-GB"/>
        </w:rPr>
        <w:t>The Contracting Authority clarifies that the requirement specified in Paragraph A.8.3 of the Technical Specification concerning the adjustment of acceleration and deceleration relates to the ability to set maximum acceleration and deceleration values within the vehicle control systems.</w:t>
      </w:r>
    </w:p>
    <w:p w14:paraId="596A69F6" w14:textId="77777777" w:rsidR="00FA4078" w:rsidRPr="004307B1" w:rsidRDefault="00FA4078" w:rsidP="00610471">
      <w:pPr>
        <w:ind w:firstLine="720"/>
        <w:jc w:val="both"/>
        <w:rPr>
          <w:lang w:val="en-GB"/>
        </w:rPr>
      </w:pPr>
      <w:r w:rsidRPr="004307B1">
        <w:rPr>
          <w:lang w:val="en-GB" w:bidi="en-GB"/>
        </w:rPr>
        <w:t>Furthermore, the requirement for smooth adjustment pertains to the vehicle’s dynamic performance, whereby acceleration and deceleration changes shall occur smoothly and proportionally in response to the driver’s inputs via the accelerator and brake pedals, ensuring compliance with the prescribed comfort and performance parameters.</w:t>
      </w:r>
    </w:p>
    <w:p w14:paraId="26D0E0AC" w14:textId="7C9E3E0A" w:rsidR="003A01A5" w:rsidRPr="004307B1" w:rsidRDefault="00FA4078" w:rsidP="00610471">
      <w:pPr>
        <w:ind w:firstLine="720"/>
        <w:jc w:val="both"/>
        <w:rPr>
          <w:lang w:val="en-GB"/>
        </w:rPr>
      </w:pPr>
      <w:r w:rsidRPr="004307B1">
        <w:rPr>
          <w:lang w:val="en-GB" w:bidi="en-GB"/>
        </w:rPr>
        <w:t xml:space="preserve">No continuous or free adjustment of acceleration and deceleration parameters is required during vehicle operation. Standardised driving modes (e.g. Eco, Standard, etc.) are also acceptable </w:t>
      </w:r>
      <w:r w:rsidRPr="004307B1">
        <w:rPr>
          <w:lang w:val="en-GB" w:bidi="en-GB"/>
        </w:rPr>
        <w:lastRenderedPageBreak/>
        <w:t xml:space="preserve">according to the manufacturer's solution, </w:t>
      </w:r>
      <w:proofErr w:type="gramStart"/>
      <w:r w:rsidRPr="004307B1">
        <w:rPr>
          <w:lang w:val="en-GB" w:bidi="en-GB"/>
        </w:rPr>
        <w:t>as long as</w:t>
      </w:r>
      <w:proofErr w:type="gramEnd"/>
      <w:r w:rsidRPr="004307B1">
        <w:rPr>
          <w:lang w:val="en-GB" w:bidi="en-GB"/>
        </w:rPr>
        <w:t xml:space="preserve"> the performance characteristics set out in the technical specification are met.</w:t>
      </w:r>
    </w:p>
    <w:p w14:paraId="43B4889F" w14:textId="77777777" w:rsidR="00DE602E" w:rsidRPr="004307B1" w:rsidRDefault="00DE602E" w:rsidP="00610471">
      <w:pPr>
        <w:jc w:val="both"/>
        <w:rPr>
          <w:b/>
          <w:bCs/>
          <w:lang w:val="en-GB"/>
        </w:rPr>
      </w:pPr>
    </w:p>
    <w:p w14:paraId="7856CF6A" w14:textId="77777777" w:rsidR="00B3501E" w:rsidRPr="004307B1" w:rsidRDefault="00B3501E" w:rsidP="00610471">
      <w:pPr>
        <w:jc w:val="both"/>
        <w:rPr>
          <w:b/>
          <w:bCs/>
          <w:lang w:val="en-GB"/>
        </w:rPr>
      </w:pPr>
    </w:p>
    <w:p w14:paraId="42CEB19F" w14:textId="77777777" w:rsidR="00B3501E" w:rsidRPr="004307B1" w:rsidRDefault="00B3501E" w:rsidP="00610471">
      <w:pPr>
        <w:jc w:val="both"/>
        <w:rPr>
          <w:b/>
          <w:bCs/>
          <w:lang w:val="en-GB"/>
        </w:rPr>
      </w:pPr>
    </w:p>
    <w:p w14:paraId="75D5EC2C" w14:textId="7492EDAA" w:rsidR="00A466A6" w:rsidRPr="004307B1" w:rsidRDefault="00A466A6" w:rsidP="00610471">
      <w:pPr>
        <w:jc w:val="both"/>
        <w:rPr>
          <w:b/>
          <w:bCs/>
          <w:lang w:val="en-GB"/>
        </w:rPr>
      </w:pPr>
      <w:r w:rsidRPr="004307B1">
        <w:rPr>
          <w:b/>
          <w:lang w:val="en-GB" w:bidi="en-GB"/>
        </w:rPr>
        <w:t>Question 2:</w:t>
      </w:r>
    </w:p>
    <w:p w14:paraId="052ED5EB" w14:textId="77777777" w:rsidR="00A240BC" w:rsidRPr="004307B1" w:rsidRDefault="00A240BC" w:rsidP="00610471">
      <w:pPr>
        <w:ind w:firstLine="720"/>
        <w:jc w:val="both"/>
        <w:rPr>
          <w:lang w:val="en-GB"/>
        </w:rPr>
      </w:pPr>
      <w:r w:rsidRPr="004307B1">
        <w:rPr>
          <w:lang w:val="en-GB" w:bidi="en-GB"/>
        </w:rPr>
        <w:t xml:space="preserve">Paragraph A.12 of the Technical Specification (Maintenance and Repair/Training) provides that the Supplier shall ensure the training of the Contracting Authority’s technical staff and vehicle drivers in accordance with the requirements of Paragraph D.2, thereby enabling the Contracting Authority to carry out the maintenance and servicing procedures specified by the manufacturer without invalidating the warranty. At the same time Paragraph E.4 provides that the Supplier shall authorise the Contracting Authority as an authorised warranty service partner, who is entitled to carry out warranty and defect rectification work on behalf of and at the expense of the Supplier. </w:t>
      </w:r>
    </w:p>
    <w:p w14:paraId="6659D9AC" w14:textId="3981913E" w:rsidR="00A240BC" w:rsidRPr="004307B1" w:rsidRDefault="00A240BC" w:rsidP="00610471">
      <w:pPr>
        <w:ind w:firstLine="720"/>
        <w:jc w:val="both"/>
        <w:rPr>
          <w:lang w:val="en-GB"/>
        </w:rPr>
      </w:pPr>
      <w:r w:rsidRPr="004307B1">
        <w:rPr>
          <w:lang w:val="en-GB" w:bidi="en-GB"/>
        </w:rPr>
        <w:t xml:space="preserve">The Technical Specification does not specify for how long the authorisation is granted and what the arrangements are between the Supplier and the Contracting Authority after the authorisation expires. This is a significant issue, as authorisation encompasses not only training but also the provision to the Contracting Authority of resources owned by or subscribed to by the Supplier, including diagnostic equipment, special tools, software licences, and access to the manufacturer’s technical databases (Section E.4). Some of these resources are periodic subscription services or proprietary to the manufacturer, which may be withdrawn after the warranty period. </w:t>
      </w:r>
    </w:p>
    <w:p w14:paraId="597FEFEB" w14:textId="20009698" w:rsidR="00A240BC" w:rsidRPr="004307B1" w:rsidRDefault="00A240BC" w:rsidP="00610471">
      <w:pPr>
        <w:ind w:firstLine="720"/>
        <w:jc w:val="both"/>
        <w:rPr>
          <w:lang w:val="en-GB"/>
        </w:rPr>
      </w:pPr>
      <w:r w:rsidRPr="004307B1">
        <w:rPr>
          <w:lang w:val="en-GB" w:bidi="en-GB"/>
        </w:rPr>
        <w:t>Therefore, we kindly request the Contracting Authority to specify the period for which the Supplier shall provide and maintain the Contracting Authority’s service authorisation, namely whether it is required only for the vehicle’s basic warranty period (3 years or 210,000 km in the case of electric buses), for the entire vehicle service life (12 years), or for any other period. We further request the Contracting Authority to clarify the arrangements applicable upon expiry of the relevant period, including the Supplier’s right to revoke the authorisation, retrieve its tools and diagnostic equipment, and discontinue software licences and subscriptions granting access to technical databases. This clarification will have a direct impact both on the pricing of Item 2 of the financial proposal (equipment and tools) and on the draft warranty performance agreement to be submitted as part of the technical proposal.</w:t>
      </w:r>
    </w:p>
    <w:p w14:paraId="41B2CD94" w14:textId="77777777" w:rsidR="00BE6435" w:rsidRPr="004307B1" w:rsidRDefault="00BE6435" w:rsidP="00610471">
      <w:pPr>
        <w:ind w:firstLine="720"/>
        <w:jc w:val="both"/>
        <w:rPr>
          <w:i/>
          <w:iCs/>
          <w:lang w:val="en-GB"/>
        </w:rPr>
      </w:pPr>
    </w:p>
    <w:p w14:paraId="232A5D4D" w14:textId="77777777" w:rsidR="00E85B8A" w:rsidRPr="004307B1" w:rsidRDefault="00A466A6" w:rsidP="00610471">
      <w:pPr>
        <w:jc w:val="both"/>
        <w:rPr>
          <w:b/>
          <w:bCs/>
          <w:lang w:val="en-GB"/>
        </w:rPr>
      </w:pPr>
      <w:r w:rsidRPr="004307B1">
        <w:rPr>
          <w:b/>
          <w:lang w:val="en-GB" w:bidi="en-GB"/>
        </w:rPr>
        <w:t>Answer 2:</w:t>
      </w:r>
    </w:p>
    <w:p w14:paraId="0FEA243C" w14:textId="77777777" w:rsidR="002D2B27" w:rsidRPr="004307B1" w:rsidRDefault="002D2B27" w:rsidP="00610471">
      <w:pPr>
        <w:pStyle w:val="Tabulasheader"/>
        <w:ind w:firstLine="720"/>
        <w:jc w:val="both"/>
        <w:rPr>
          <w:rFonts w:ascii="Times New Roman" w:hAnsi="Times New Roman" w:cs="Times New Roman"/>
          <w:b w:val="0"/>
          <w:bCs w:val="0"/>
          <w:sz w:val="24"/>
          <w:szCs w:val="24"/>
          <w:lang w:val="en-GB"/>
        </w:rPr>
      </w:pPr>
      <w:r w:rsidRPr="004307B1">
        <w:rPr>
          <w:rFonts w:ascii="Times New Roman" w:eastAsia="Times New Roman" w:hAnsi="Times New Roman" w:cs="Times New Roman"/>
          <w:b w:val="0"/>
          <w:sz w:val="24"/>
          <w:szCs w:val="24"/>
          <w:lang w:val="en-GB" w:bidi="en-GB"/>
        </w:rPr>
        <w:t>In accordance with Paragraph 2.4 of Section E.2 “Warranty Periods” of the Technical Specification, the Supplier shall ensure access to the resources required for warranty performance for at least 10 years or until the expiry of the traction battery warranty period. The Contracting Authority's service authorisation shall therefore cover the period during which the warranty and the related technical support are provided.</w:t>
      </w:r>
    </w:p>
    <w:p w14:paraId="79495624" w14:textId="601F11D1" w:rsidR="00934E5B" w:rsidRPr="004307B1" w:rsidRDefault="002D2B27" w:rsidP="00610471">
      <w:pPr>
        <w:pStyle w:val="Tabulasheader"/>
        <w:spacing w:before="0" w:after="0"/>
        <w:ind w:firstLine="720"/>
        <w:jc w:val="both"/>
        <w:rPr>
          <w:rFonts w:ascii="Times New Roman" w:hAnsi="Times New Roman" w:cs="Times New Roman"/>
          <w:b w:val="0"/>
          <w:bCs w:val="0"/>
          <w:sz w:val="24"/>
          <w:szCs w:val="24"/>
          <w:lang w:val="en-GB"/>
        </w:rPr>
      </w:pPr>
      <w:proofErr w:type="gramStart"/>
      <w:r w:rsidRPr="004307B1">
        <w:rPr>
          <w:rFonts w:ascii="Times New Roman" w:eastAsia="Times New Roman" w:hAnsi="Times New Roman" w:cs="Times New Roman"/>
          <w:b w:val="0"/>
          <w:sz w:val="24"/>
          <w:szCs w:val="24"/>
          <w:lang w:val="en-GB" w:bidi="en-GB"/>
        </w:rPr>
        <w:t>With regard to</w:t>
      </w:r>
      <w:proofErr w:type="gramEnd"/>
      <w:r w:rsidRPr="004307B1">
        <w:rPr>
          <w:rFonts w:ascii="Times New Roman" w:eastAsia="Times New Roman" w:hAnsi="Times New Roman" w:cs="Times New Roman"/>
          <w:b w:val="0"/>
          <w:sz w:val="24"/>
          <w:szCs w:val="24"/>
          <w:lang w:val="en-GB" w:bidi="en-GB"/>
        </w:rPr>
        <w:t xml:space="preserve"> special tools and diagnostic equipment, we reiterate that these are to be supplied and made available to the Contracting Authority without time limit. Furthermore, software resources and access to the manufacturer’s databases shall be made available, at a minimum, to the extent and for the duration required for the fulfilment of warranty obligations, in accordance with the </w:t>
      </w:r>
      <w:proofErr w:type="gramStart"/>
      <w:r w:rsidRPr="004307B1">
        <w:rPr>
          <w:rFonts w:ascii="Times New Roman" w:eastAsia="Times New Roman" w:hAnsi="Times New Roman" w:cs="Times New Roman"/>
          <w:b w:val="0"/>
          <w:sz w:val="24"/>
          <w:szCs w:val="24"/>
          <w:lang w:val="en-GB" w:bidi="en-GB"/>
        </w:rPr>
        <w:t>aforementioned period</w:t>
      </w:r>
      <w:proofErr w:type="gramEnd"/>
      <w:r w:rsidRPr="004307B1">
        <w:rPr>
          <w:rFonts w:ascii="Times New Roman" w:eastAsia="Times New Roman" w:hAnsi="Times New Roman" w:cs="Times New Roman"/>
          <w:b w:val="0"/>
          <w:sz w:val="24"/>
          <w:szCs w:val="24"/>
          <w:lang w:val="en-GB" w:bidi="en-GB"/>
        </w:rPr>
        <w:t>.</w:t>
      </w:r>
    </w:p>
    <w:p w14:paraId="2C223EBC" w14:textId="77777777" w:rsidR="00372B0A" w:rsidRPr="004307B1" w:rsidRDefault="00372B0A" w:rsidP="00610471">
      <w:pPr>
        <w:pStyle w:val="Tabulasheader"/>
        <w:spacing w:before="0" w:after="0"/>
        <w:ind w:firstLine="720"/>
        <w:jc w:val="both"/>
        <w:rPr>
          <w:rFonts w:ascii="Times New Roman" w:hAnsi="Times New Roman" w:cs="Times New Roman"/>
          <w:b w:val="0"/>
          <w:bCs w:val="0"/>
          <w:sz w:val="24"/>
          <w:szCs w:val="24"/>
          <w:lang w:val="en-GB"/>
        </w:rPr>
      </w:pPr>
    </w:p>
    <w:p w14:paraId="3F805828" w14:textId="77777777" w:rsidR="00372B0A" w:rsidRPr="004307B1" w:rsidRDefault="00372B0A" w:rsidP="00610471">
      <w:pPr>
        <w:pStyle w:val="Tabulasheader"/>
        <w:spacing w:before="0" w:after="0"/>
        <w:ind w:firstLine="720"/>
        <w:jc w:val="both"/>
        <w:rPr>
          <w:rFonts w:ascii="Times New Roman" w:hAnsi="Times New Roman" w:cs="Times New Roman"/>
          <w:b w:val="0"/>
          <w:bCs w:val="0"/>
          <w:sz w:val="24"/>
          <w:szCs w:val="24"/>
          <w:lang w:val="en-GB"/>
        </w:rPr>
      </w:pPr>
    </w:p>
    <w:p w14:paraId="40AAF8AB" w14:textId="77777777" w:rsidR="004F05F8" w:rsidRPr="004307B1" w:rsidRDefault="004F05F8" w:rsidP="00610471">
      <w:pPr>
        <w:pStyle w:val="Tabulasheader"/>
        <w:spacing w:before="0" w:after="0"/>
        <w:ind w:firstLine="720"/>
        <w:jc w:val="both"/>
        <w:rPr>
          <w:rFonts w:ascii="Times New Roman" w:hAnsi="Times New Roman" w:cs="Times New Roman"/>
          <w:b w:val="0"/>
          <w:bCs w:val="0"/>
          <w:sz w:val="24"/>
          <w:szCs w:val="24"/>
          <w:lang w:val="en-GB"/>
        </w:rPr>
      </w:pPr>
    </w:p>
    <w:p w14:paraId="6E4B22FF" w14:textId="74535BAC" w:rsidR="00A36920" w:rsidRPr="004307B1" w:rsidRDefault="00A36920" w:rsidP="00610471">
      <w:pPr>
        <w:jc w:val="both"/>
        <w:rPr>
          <w:b/>
          <w:bCs/>
          <w:lang w:val="en-GB"/>
        </w:rPr>
      </w:pPr>
      <w:r w:rsidRPr="004307B1">
        <w:rPr>
          <w:b/>
          <w:lang w:val="en-GB" w:bidi="en-GB"/>
        </w:rPr>
        <w:t>Question 3:</w:t>
      </w:r>
    </w:p>
    <w:p w14:paraId="37F2E7FC" w14:textId="77777777" w:rsidR="00FC6A5F" w:rsidRPr="004307B1" w:rsidRDefault="00FC6A5F" w:rsidP="00610471">
      <w:pPr>
        <w:ind w:firstLine="720"/>
        <w:jc w:val="both"/>
        <w:rPr>
          <w:lang w:val="en-GB"/>
        </w:rPr>
      </w:pPr>
      <w:r w:rsidRPr="004307B1">
        <w:rPr>
          <w:lang w:val="en-GB" w:bidi="en-GB"/>
        </w:rPr>
        <w:t xml:space="preserve">Pursuant to Paragraph A.17 of the Technical Specification (Elements Requiring Approval), prior to the commencement of vehicle manufacturing and no later than six months following the effective date of the Contract, the Supplier shall submit for the Contracting Authority’s written </w:t>
      </w:r>
      <w:r w:rsidRPr="004307B1">
        <w:rPr>
          <w:lang w:val="en-GB" w:bidi="en-GB"/>
        </w:rPr>
        <w:lastRenderedPageBreak/>
        <w:t xml:space="preserve">approval various configurable design and specification elements, including the interior finishing and flooring design, the arrangement of handrails and seats, seat upholstery materials and design, the location of the CCS2 charging interface, as well as the technical specifications and installation locations of the information and communication systems. The obligation to obtain the Contracting Authority’s approval is further stipulated in Paragraph B.1.7.2 (floor covering design), Paragraph B.1.7.6 (handrail arrangement), and elsewhere in the Technical Specification. </w:t>
      </w:r>
    </w:p>
    <w:p w14:paraId="7CBA9169" w14:textId="77777777" w:rsidR="00FC6A5F" w:rsidRPr="004307B1" w:rsidRDefault="00FC6A5F" w:rsidP="00610471">
      <w:pPr>
        <w:ind w:firstLine="720"/>
        <w:jc w:val="both"/>
        <w:rPr>
          <w:lang w:val="en-GB"/>
        </w:rPr>
      </w:pPr>
      <w:r w:rsidRPr="004307B1">
        <w:rPr>
          <w:lang w:val="en-GB" w:bidi="en-GB"/>
        </w:rPr>
        <w:t xml:space="preserve">These paragraphs do not establish any criteria, limits or restrictions against which the choice or requirements of the Contracting Authority </w:t>
      </w:r>
      <w:proofErr w:type="gramStart"/>
      <w:r w:rsidRPr="004307B1">
        <w:rPr>
          <w:lang w:val="en-GB" w:bidi="en-GB"/>
        </w:rPr>
        <w:t>in the course of</w:t>
      </w:r>
      <w:proofErr w:type="gramEnd"/>
      <w:r w:rsidRPr="004307B1">
        <w:rPr>
          <w:lang w:val="en-GB" w:bidi="en-GB"/>
        </w:rPr>
        <w:t xml:space="preserve"> the agreement shall be judged to be reasonable and acceptable. This raises </w:t>
      </w:r>
      <w:proofErr w:type="gramStart"/>
      <w:r w:rsidRPr="004307B1">
        <w:rPr>
          <w:lang w:val="en-GB" w:bidi="en-GB"/>
        </w:rPr>
        <w:t>a number of</w:t>
      </w:r>
      <w:proofErr w:type="gramEnd"/>
      <w:r w:rsidRPr="004307B1">
        <w:rPr>
          <w:lang w:val="en-GB" w:bidi="en-GB"/>
        </w:rPr>
        <w:t xml:space="preserve"> important practical issues. First, as regards materials and design, the Specification does not specify the acceptable categories of materials, price limits or functional requirements. This means that, during the approval process, the Contracting Authority could theoretically request materials that are technically complex to install, difficult to procure, or significantly more expensive than comparable alternatives available on the market (for example, silk fabric for seat upholstery, oak flooring, or another type of non-standard solution), and the Supplier would have no legal basis to refuse such a request, as no such limitation is set out in the Regulations. Secondly, with respect to the arrangement of handrails under Paragraph B.1.7.6, such arrangement is intrinsically linked to the vehicle’s structural design, load-bearing calculations and applicable ergonomic standards. Should the Contracting Authority require a configuration that is incompatible with these constraints, a technical conflict may arise for which the procurement documentation currently provides no resolution mechanism. </w:t>
      </w:r>
    </w:p>
    <w:p w14:paraId="1C697005" w14:textId="77777777" w:rsidR="00FC6A5F" w:rsidRPr="004307B1" w:rsidRDefault="00FC6A5F" w:rsidP="00610471">
      <w:pPr>
        <w:ind w:firstLine="720"/>
        <w:jc w:val="both"/>
        <w:rPr>
          <w:lang w:val="en-GB"/>
        </w:rPr>
      </w:pPr>
      <w:r w:rsidRPr="004307B1">
        <w:rPr>
          <w:lang w:val="en-GB" w:bidi="en-GB"/>
        </w:rPr>
        <w:t xml:space="preserve">Thirdly, </w:t>
      </w:r>
      <w:proofErr w:type="gramStart"/>
      <w:r w:rsidRPr="004307B1">
        <w:rPr>
          <w:lang w:val="en-GB" w:bidi="en-GB"/>
        </w:rPr>
        <w:t>with regard to</w:t>
      </w:r>
      <w:proofErr w:type="gramEnd"/>
      <w:r w:rsidRPr="004307B1">
        <w:rPr>
          <w:lang w:val="en-GB" w:bidi="en-GB"/>
        </w:rPr>
        <w:t xml:space="preserve"> the location of the CCS2 charging connection, the Technical Specification permits certain placement options based on vehicle design and safety requirements. If, during the approval process, the Contracting Authority requests a layout that is not compatible with the manufacturer’s design solutions, it is unclear whether the Supplier may reject such a request and, if so, on what grounds. Fourthly, the Regulations do not address the situation where the parties fail to reach agreement during the approval process. </w:t>
      </w:r>
      <w:proofErr w:type="gramStart"/>
      <w:r w:rsidRPr="004307B1">
        <w:rPr>
          <w:lang w:val="en-GB" w:bidi="en-GB"/>
        </w:rPr>
        <w:t>In particular, they</w:t>
      </w:r>
      <w:proofErr w:type="gramEnd"/>
      <w:r w:rsidRPr="004307B1">
        <w:rPr>
          <w:lang w:val="en-GB" w:bidi="en-GB"/>
        </w:rPr>
        <w:t xml:space="preserve"> do not provide for a dispute resolution mechanism, a reasonable deadline for the Contracting Authority to make its decision, or any consequences in the event of delay. This creates a risk that the commencement of production by the Supplier may be delayed or prevented by circumstances beyond the Supplier’s control. </w:t>
      </w:r>
    </w:p>
    <w:p w14:paraId="0E2B6BF6" w14:textId="578FB935" w:rsidR="008B37D6" w:rsidRPr="004307B1" w:rsidRDefault="00FC6A5F" w:rsidP="00610471">
      <w:pPr>
        <w:ind w:firstLine="720"/>
        <w:jc w:val="both"/>
        <w:rPr>
          <w:lang w:val="en-GB"/>
        </w:rPr>
      </w:pPr>
      <w:r w:rsidRPr="004307B1">
        <w:rPr>
          <w:lang w:val="en-GB" w:bidi="en-GB"/>
        </w:rPr>
        <w:t>In view of the above, we kindly request the Contracting Authority to clarify: 1) the criteria and limitations that will govern the Contracting Authority’s selection of the elements subject to approval under Paragraphs A.17, B.1.7.2, B.1.7.6 and other relevant provisions, in order to ensure that the requirements remain foreseeable, technically feasible and commercially reasonable; 2) whether the Supplier has the right to reject or challenge the Contracting Authority’s selection where it is incompatible with the vehicle’s technical or structural constraints, or where it is disproportionately expensive in comparison with standard market solutions; 3) the procedure to be followed in the event that the parties are unable to reach agreement on any of the elements subject to approval within the six-month period, and how the production and delivery schedule would be adjusted accordingly in such circumstances.</w:t>
      </w:r>
    </w:p>
    <w:p w14:paraId="21DD0239" w14:textId="77777777" w:rsidR="000476FA" w:rsidRPr="004307B1" w:rsidRDefault="000476FA" w:rsidP="00610471">
      <w:pPr>
        <w:pStyle w:val="ListParagraph"/>
        <w:jc w:val="both"/>
        <w:rPr>
          <w:i/>
          <w:iCs/>
          <w:lang w:val="en-GB"/>
        </w:rPr>
      </w:pPr>
    </w:p>
    <w:p w14:paraId="1932ABBD" w14:textId="77777777" w:rsidR="009F0750" w:rsidRPr="004307B1" w:rsidRDefault="00A36920" w:rsidP="00610471">
      <w:pPr>
        <w:jc w:val="both"/>
        <w:rPr>
          <w:b/>
          <w:bCs/>
          <w:lang w:val="en-GB"/>
        </w:rPr>
      </w:pPr>
      <w:r w:rsidRPr="004307B1">
        <w:rPr>
          <w:b/>
          <w:lang w:val="en-GB" w:bidi="en-GB"/>
        </w:rPr>
        <w:t>Answer 3:</w:t>
      </w:r>
    </w:p>
    <w:p w14:paraId="7D85972A" w14:textId="2C310F0B" w:rsidR="00B9273D" w:rsidRPr="004307B1" w:rsidRDefault="00B9273D" w:rsidP="00610471">
      <w:pPr>
        <w:ind w:firstLine="720"/>
        <w:jc w:val="both"/>
        <w:rPr>
          <w:b/>
          <w:bCs/>
          <w:lang w:val="en-GB"/>
        </w:rPr>
      </w:pPr>
      <w:r w:rsidRPr="004307B1">
        <w:rPr>
          <w:lang w:val="en-GB" w:bidi="en-GB"/>
        </w:rPr>
        <w:t>The Contracting Authority explains that these questions were answered. The Contracting Authority refers to the answers to the questions given above and annexed to the procurement procedure on 1 June 2026 (see question 6).</w:t>
      </w:r>
    </w:p>
    <w:p w14:paraId="0B0BFE0C" w14:textId="77777777" w:rsidR="00372B0A" w:rsidRPr="004307B1" w:rsidRDefault="00372B0A" w:rsidP="00610471">
      <w:pPr>
        <w:ind w:firstLine="720"/>
        <w:jc w:val="both"/>
        <w:rPr>
          <w:lang w:val="en-GB"/>
        </w:rPr>
      </w:pPr>
    </w:p>
    <w:p w14:paraId="78AB1A29" w14:textId="77777777" w:rsidR="00565D3A" w:rsidRPr="004307B1" w:rsidRDefault="00565D3A" w:rsidP="00610471">
      <w:pPr>
        <w:ind w:firstLine="720"/>
        <w:jc w:val="both"/>
        <w:rPr>
          <w:lang w:val="en-GB"/>
        </w:rPr>
      </w:pPr>
    </w:p>
    <w:p w14:paraId="3C0A0E7D" w14:textId="77777777" w:rsidR="00565D3A" w:rsidRPr="004307B1" w:rsidRDefault="00565D3A" w:rsidP="00610471">
      <w:pPr>
        <w:ind w:firstLine="720"/>
        <w:jc w:val="both"/>
        <w:rPr>
          <w:lang w:val="en-GB"/>
        </w:rPr>
      </w:pPr>
    </w:p>
    <w:p w14:paraId="1876D142" w14:textId="68244D92" w:rsidR="00423666" w:rsidRPr="004307B1" w:rsidRDefault="00423666" w:rsidP="00610471">
      <w:pPr>
        <w:jc w:val="both"/>
        <w:rPr>
          <w:b/>
          <w:bCs/>
          <w:lang w:val="en-GB"/>
        </w:rPr>
      </w:pPr>
      <w:r w:rsidRPr="004307B1">
        <w:rPr>
          <w:b/>
          <w:lang w:val="en-GB" w:bidi="en-GB"/>
        </w:rPr>
        <w:t>Question 4:</w:t>
      </w:r>
    </w:p>
    <w:p w14:paraId="738AEC52" w14:textId="77777777" w:rsidR="00FC6A5F" w:rsidRPr="004307B1" w:rsidRDefault="00FC6A5F" w:rsidP="00610471">
      <w:pPr>
        <w:jc w:val="both"/>
        <w:outlineLvl w:val="0"/>
        <w:rPr>
          <w:lang w:val="en-GB"/>
        </w:rPr>
      </w:pPr>
      <w:r w:rsidRPr="004307B1">
        <w:rPr>
          <w:lang w:val="en-GB" w:bidi="en-GB"/>
        </w:rPr>
        <w:t xml:space="preserve">Paragraph B.1.8.4 (Control pedals) of the Technical Specification requires, inter alia, that the pedals of the vehicle shall be marked according to size. This wording is not clearly understood. In modern urban buses, the accelerator and brake pedals are designed with distinct dimensions and </w:t>
      </w:r>
      <w:r w:rsidRPr="004307B1">
        <w:rPr>
          <w:lang w:val="en-GB" w:bidi="en-GB"/>
        </w:rPr>
        <w:lastRenderedPageBreak/>
        <w:t xml:space="preserve">positioning, thereby inherently reducing the risk of driver confusion. Their layout and proportions are also subject to vehicle type-approval requirements. </w:t>
      </w:r>
    </w:p>
    <w:p w14:paraId="339909AA" w14:textId="77777777" w:rsidR="00FC6A5F" w:rsidRPr="004307B1" w:rsidRDefault="00FC6A5F" w:rsidP="00610471">
      <w:pPr>
        <w:jc w:val="both"/>
        <w:outlineLvl w:val="0"/>
        <w:rPr>
          <w:lang w:val="en-GB"/>
        </w:rPr>
      </w:pPr>
      <w:r w:rsidRPr="004307B1">
        <w:rPr>
          <w:lang w:val="en-GB" w:bidi="en-GB"/>
        </w:rPr>
        <w:t xml:space="preserve">It is not clear whether this requirement is intended to refer to visual identification on the pedal surfaces (e.g. by means of labels or symbols), colour coding, or another specific solution. Nor is it clear what objective this requirement seeks to achieve, considering that the pedals are already structurally differentiated and that their positioning is prescribed by the preceding paragraphs of the same clause. </w:t>
      </w:r>
    </w:p>
    <w:p w14:paraId="75FA1F19" w14:textId="11148C9D" w:rsidR="00FC6A5F" w:rsidRPr="004307B1" w:rsidRDefault="00FC6A5F" w:rsidP="00610471">
      <w:pPr>
        <w:jc w:val="both"/>
        <w:outlineLvl w:val="0"/>
        <w:rPr>
          <w:lang w:val="en-GB"/>
        </w:rPr>
      </w:pPr>
      <w:r w:rsidRPr="004307B1">
        <w:rPr>
          <w:lang w:val="en-GB" w:bidi="en-GB"/>
        </w:rPr>
        <w:t xml:space="preserve">Therefore, we kindly request the Contracting Authority to clarify what is specifically meant by the requirement that “the pedals shall be marked according to size”. </w:t>
      </w:r>
      <w:proofErr w:type="gramStart"/>
      <w:r w:rsidRPr="004307B1">
        <w:rPr>
          <w:lang w:val="en-GB" w:bidi="en-GB"/>
        </w:rPr>
        <w:t>In particular, please</w:t>
      </w:r>
      <w:proofErr w:type="gramEnd"/>
      <w:r w:rsidRPr="004307B1">
        <w:rPr>
          <w:lang w:val="en-GB" w:bidi="en-GB"/>
        </w:rPr>
        <w:t xml:space="preserve"> clarify whether this wording contains an editorial inaccuracy (for example, if the reference to “size” is erroneous), or whether a specific type of marking is intended. If so, please specify the required form of marking (e.g. pictograms, colour coding or labels) and explain the functional rationale for such a requirement in addition to the structural requirements already prescribed.</w:t>
      </w:r>
    </w:p>
    <w:p w14:paraId="59983FB0" w14:textId="77777777" w:rsidR="00423666" w:rsidRPr="004307B1" w:rsidRDefault="00423666" w:rsidP="00610471">
      <w:pPr>
        <w:jc w:val="both"/>
        <w:outlineLvl w:val="0"/>
        <w:rPr>
          <w:lang w:val="en-GB"/>
        </w:rPr>
      </w:pPr>
    </w:p>
    <w:p w14:paraId="5E06BD2B" w14:textId="5614296F" w:rsidR="00423666" w:rsidRPr="004307B1" w:rsidRDefault="00423666" w:rsidP="00610471">
      <w:pPr>
        <w:jc w:val="both"/>
        <w:rPr>
          <w:b/>
          <w:bCs/>
          <w:lang w:val="en-GB"/>
        </w:rPr>
      </w:pPr>
      <w:r w:rsidRPr="004307B1">
        <w:rPr>
          <w:b/>
          <w:lang w:val="en-GB" w:bidi="en-GB"/>
        </w:rPr>
        <w:t>Answer 4:</w:t>
      </w:r>
    </w:p>
    <w:p w14:paraId="513753EB" w14:textId="3F63A1DF" w:rsidR="00730621" w:rsidRPr="004307B1" w:rsidRDefault="002858CD" w:rsidP="00610471">
      <w:pPr>
        <w:ind w:firstLine="720"/>
        <w:jc w:val="both"/>
        <w:rPr>
          <w:lang w:val="en-GB"/>
        </w:rPr>
      </w:pPr>
      <w:r w:rsidRPr="004307B1">
        <w:rPr>
          <w:lang w:val="en-GB" w:bidi="en-GB"/>
        </w:rPr>
        <w:t>The Contracting Authority clarifies that the requirement "pedals shall be labelled according to size" is not to be interpreted as a mandatory additional visual marking (lettering, colour coding, etc.). The purpose of this requirement is to ensure that the structural design of the pedals, including their size, shape and positioning, enables them to be clearly distinguished from one another and unambiguously identified by the driver. The additional marking is optional if this requirement is met by the pedal design and compliance with the applicable vehicle type-approval requirements.</w:t>
      </w:r>
    </w:p>
    <w:p w14:paraId="20A9E6F3" w14:textId="77777777" w:rsidR="00DE602E" w:rsidRPr="004307B1" w:rsidRDefault="00DE602E" w:rsidP="00610471">
      <w:pPr>
        <w:jc w:val="both"/>
        <w:rPr>
          <w:b/>
          <w:bCs/>
          <w:lang w:val="en-GB"/>
        </w:rPr>
      </w:pPr>
    </w:p>
    <w:p w14:paraId="51524A9C" w14:textId="77777777" w:rsidR="002858CD" w:rsidRPr="004307B1" w:rsidRDefault="002858CD" w:rsidP="00610471">
      <w:pPr>
        <w:jc w:val="both"/>
        <w:rPr>
          <w:b/>
          <w:bCs/>
          <w:lang w:val="en-GB"/>
        </w:rPr>
      </w:pPr>
    </w:p>
    <w:p w14:paraId="275A6851" w14:textId="77777777" w:rsidR="002858CD" w:rsidRPr="004307B1" w:rsidRDefault="002858CD" w:rsidP="00610471">
      <w:pPr>
        <w:jc w:val="both"/>
        <w:rPr>
          <w:b/>
          <w:bCs/>
          <w:lang w:val="en-GB"/>
        </w:rPr>
      </w:pPr>
    </w:p>
    <w:p w14:paraId="0C9F1C9F" w14:textId="7DF44FE4" w:rsidR="007532F0" w:rsidRPr="004307B1" w:rsidRDefault="007532F0" w:rsidP="00610471">
      <w:pPr>
        <w:jc w:val="both"/>
        <w:rPr>
          <w:b/>
          <w:bCs/>
          <w:lang w:val="en-GB"/>
        </w:rPr>
      </w:pPr>
      <w:r w:rsidRPr="004307B1">
        <w:rPr>
          <w:b/>
          <w:lang w:val="en-GB" w:bidi="en-GB"/>
        </w:rPr>
        <w:t>Question 5:</w:t>
      </w:r>
    </w:p>
    <w:p w14:paraId="756510A1" w14:textId="77777777" w:rsidR="00B223A9" w:rsidRPr="004307B1" w:rsidRDefault="00B223A9" w:rsidP="00610471">
      <w:pPr>
        <w:ind w:firstLine="720"/>
        <w:jc w:val="both"/>
        <w:outlineLvl w:val="0"/>
        <w:rPr>
          <w:lang w:val="en-GB"/>
        </w:rPr>
      </w:pPr>
      <w:r w:rsidRPr="004307B1">
        <w:rPr>
          <w:lang w:val="en-GB" w:bidi="en-GB"/>
        </w:rPr>
        <w:t xml:space="preserve">Pursuant to Paragraph B.1.15.7 of the Technical Specification (City Coat of Arms/Operator Identification Markings), the vehicle shall provide a designated area at the front, below the windscreen and between the headlights, for the display of the coat of arms of the City of Riga. Furthermore, designated areas shall be provided at the front, sides and rear of the vehicle for the operator’s markings and identification numbers, with the dimensions of the coat of arms and such markings to be agreed with the Contracting Authority. </w:t>
      </w:r>
    </w:p>
    <w:p w14:paraId="413BEA66" w14:textId="77777777" w:rsidR="00B223A9" w:rsidRPr="004307B1" w:rsidRDefault="00B223A9" w:rsidP="00610471">
      <w:pPr>
        <w:ind w:firstLine="720"/>
        <w:jc w:val="both"/>
        <w:outlineLvl w:val="0"/>
        <w:rPr>
          <w:lang w:val="en-GB"/>
        </w:rPr>
      </w:pPr>
      <w:r w:rsidRPr="004307B1">
        <w:rPr>
          <w:lang w:val="en-GB" w:bidi="en-GB"/>
        </w:rPr>
        <w:t xml:space="preserve">This requirement applies to elements subject to approval without specific dimensional limits. The front section of the vehicle located between the headlights and beneath the windscreen constitutes a structurally fixed area, the dimensions of which are limited by vehicle type-approval requirements and the manufacturer’s design constraints. The Technical Specification does not define any parameters or limitations governing the Contracting Authority’s selection. Consequently, the Contracting Authority could theoretically require a coat of arms of dimensions that exceed the available installation area or interfere with the positioning of the headlights or other safety-critical components, while the Supplier would have no legal grounds to reject such a requirement. </w:t>
      </w:r>
    </w:p>
    <w:p w14:paraId="5D4AA57E" w14:textId="329C12E9" w:rsidR="00B223A9" w:rsidRPr="004307B1" w:rsidRDefault="00B223A9" w:rsidP="00610471">
      <w:pPr>
        <w:ind w:firstLine="720"/>
        <w:jc w:val="both"/>
        <w:outlineLvl w:val="0"/>
        <w:rPr>
          <w:lang w:val="en-GB"/>
        </w:rPr>
      </w:pPr>
      <w:r w:rsidRPr="004307B1">
        <w:rPr>
          <w:lang w:val="en-GB" w:bidi="en-GB"/>
        </w:rPr>
        <w:t xml:space="preserve">Therefore, we kindly request the Contracting Authority to specify the maximum dimensions of the coat of arms and the operator’s markings, or alternatively the range within which the Contracting Authority’s selection may be made during the approval process. Furthermore, please clarify whether this approval process is subject to the six-month period following the effective date of the Contract as specified in Paragraph A.17. The Tenderer requires clarification of these dimensions </w:t>
      </w:r>
      <w:proofErr w:type="gramStart"/>
      <w:r w:rsidRPr="004307B1">
        <w:rPr>
          <w:lang w:val="en-GB" w:bidi="en-GB"/>
        </w:rPr>
        <w:t>in order to</w:t>
      </w:r>
      <w:proofErr w:type="gramEnd"/>
      <w:r w:rsidRPr="004307B1">
        <w:rPr>
          <w:lang w:val="en-GB" w:bidi="en-GB"/>
        </w:rPr>
        <w:t xml:space="preserve"> properly develop the design of the vehicle’s front section and to ensure that the available installation area is compatible with the Contracting Authority’s intended requirements and expectations.</w:t>
      </w:r>
    </w:p>
    <w:p w14:paraId="59467C16" w14:textId="77777777" w:rsidR="00525EB5" w:rsidRPr="004307B1" w:rsidRDefault="00525EB5" w:rsidP="00610471">
      <w:pPr>
        <w:ind w:firstLine="720"/>
        <w:jc w:val="both"/>
        <w:outlineLvl w:val="0"/>
        <w:rPr>
          <w:lang w:val="en-GB"/>
        </w:rPr>
      </w:pPr>
    </w:p>
    <w:p w14:paraId="0CCDDA0F" w14:textId="4E2CBE74" w:rsidR="007532F0" w:rsidRPr="004307B1" w:rsidRDefault="007532F0" w:rsidP="00610471">
      <w:pPr>
        <w:jc w:val="both"/>
        <w:rPr>
          <w:b/>
          <w:bCs/>
          <w:lang w:val="en-GB"/>
        </w:rPr>
      </w:pPr>
      <w:r w:rsidRPr="004307B1">
        <w:rPr>
          <w:b/>
          <w:lang w:val="en-GB" w:bidi="en-GB"/>
        </w:rPr>
        <w:t>Answer 5:</w:t>
      </w:r>
    </w:p>
    <w:p w14:paraId="090EC841" w14:textId="77777777" w:rsidR="00B3501E" w:rsidRPr="004307B1" w:rsidRDefault="00B3501E" w:rsidP="00610471">
      <w:pPr>
        <w:ind w:firstLine="720"/>
        <w:jc w:val="both"/>
        <w:rPr>
          <w:lang w:val="en-GB"/>
        </w:rPr>
      </w:pPr>
      <w:r w:rsidRPr="004307B1">
        <w:rPr>
          <w:lang w:val="en-GB" w:bidi="en-GB"/>
        </w:rPr>
        <w:t xml:space="preserve">The dimensions of the city coat of arms and the operator’s markings have been determined and are 117 × 139 mm for the coat of arms and 126 × 137 mm for the operator’s marking, </w:t>
      </w:r>
      <w:r w:rsidRPr="004307B1">
        <w:rPr>
          <w:lang w:val="en-GB" w:bidi="en-GB"/>
        </w:rPr>
        <w:lastRenderedPageBreak/>
        <w:t>respectively. The Contracting Authority intends to install signs (stickers) of the specified dimensions on the vehicle.</w:t>
      </w:r>
    </w:p>
    <w:p w14:paraId="427799A4" w14:textId="06AA88BC" w:rsidR="000A0105" w:rsidRPr="004307B1" w:rsidRDefault="00B3501E" w:rsidP="00610471">
      <w:pPr>
        <w:ind w:firstLine="720"/>
        <w:jc w:val="both"/>
        <w:rPr>
          <w:lang w:val="en-GB"/>
        </w:rPr>
      </w:pPr>
      <w:r w:rsidRPr="004307B1">
        <w:rPr>
          <w:lang w:val="en-GB" w:bidi="en-GB"/>
        </w:rPr>
        <w:t xml:space="preserve">The positioning of these elements will be coordinated </w:t>
      </w:r>
      <w:proofErr w:type="gramStart"/>
      <w:r w:rsidRPr="004307B1">
        <w:rPr>
          <w:lang w:val="en-GB" w:bidi="en-GB"/>
        </w:rPr>
        <w:t>taking into account</w:t>
      </w:r>
      <w:proofErr w:type="gramEnd"/>
      <w:r w:rsidRPr="004307B1">
        <w:rPr>
          <w:lang w:val="en-GB" w:bidi="en-GB"/>
        </w:rPr>
        <w:t xml:space="preserve"> the specific features of the vehicle design. The relevant approval process shall be carried out in accordance with the deadline set out in Paragraph A.17 of the Technical Specification.</w:t>
      </w:r>
    </w:p>
    <w:p w14:paraId="78241F57" w14:textId="77777777" w:rsidR="00717601" w:rsidRPr="004307B1" w:rsidRDefault="00717601" w:rsidP="00610471">
      <w:pPr>
        <w:ind w:firstLine="720"/>
        <w:jc w:val="both"/>
        <w:rPr>
          <w:lang w:val="en-GB"/>
        </w:rPr>
      </w:pPr>
    </w:p>
    <w:p w14:paraId="2C8CE0CF" w14:textId="77777777" w:rsidR="00B3501E" w:rsidRPr="004307B1" w:rsidRDefault="00B3501E" w:rsidP="00610471">
      <w:pPr>
        <w:ind w:firstLine="720"/>
        <w:jc w:val="both"/>
        <w:rPr>
          <w:lang w:val="en-GB"/>
        </w:rPr>
      </w:pPr>
    </w:p>
    <w:p w14:paraId="4DA4920D" w14:textId="77777777" w:rsidR="00B223A9" w:rsidRPr="004307B1" w:rsidRDefault="00B223A9" w:rsidP="00610471">
      <w:pPr>
        <w:ind w:firstLine="720"/>
        <w:jc w:val="both"/>
        <w:rPr>
          <w:lang w:val="en-GB"/>
        </w:rPr>
      </w:pPr>
    </w:p>
    <w:p w14:paraId="05F69D1D" w14:textId="294E2AC8" w:rsidR="007532F0" w:rsidRPr="004307B1" w:rsidRDefault="007532F0" w:rsidP="00610471">
      <w:pPr>
        <w:jc w:val="both"/>
        <w:rPr>
          <w:b/>
          <w:bCs/>
          <w:lang w:val="en-GB"/>
        </w:rPr>
      </w:pPr>
      <w:r w:rsidRPr="004307B1">
        <w:rPr>
          <w:b/>
          <w:lang w:val="en-GB" w:bidi="en-GB"/>
        </w:rPr>
        <w:t>Question 6:</w:t>
      </w:r>
    </w:p>
    <w:p w14:paraId="5F8F82F6" w14:textId="77777777" w:rsidR="00B223A9" w:rsidRPr="004307B1" w:rsidRDefault="00B223A9" w:rsidP="00610471">
      <w:pPr>
        <w:ind w:firstLine="720"/>
        <w:jc w:val="both"/>
        <w:outlineLvl w:val="0"/>
        <w:rPr>
          <w:lang w:val="en-GB"/>
        </w:rPr>
      </w:pPr>
      <w:r w:rsidRPr="004307B1">
        <w:rPr>
          <w:lang w:val="en-GB" w:bidi="en-GB"/>
        </w:rPr>
        <w:t xml:space="preserve">Pursuant to Paragraph B.4 of the Technical Specification (Central Lubrication System), where a vehicle is fitted with a central lubrication system (CLS), the Tenderer shall provide a description of the system in the technical proposal. The following paragraph lists the technical conditions that such a system must meet if it is installed. </w:t>
      </w:r>
    </w:p>
    <w:p w14:paraId="1F9FF03C" w14:textId="77777777" w:rsidR="00B223A9" w:rsidRPr="004307B1" w:rsidRDefault="00B223A9" w:rsidP="00610471">
      <w:pPr>
        <w:ind w:firstLine="720"/>
        <w:jc w:val="both"/>
        <w:outlineLvl w:val="0"/>
        <w:rPr>
          <w:lang w:val="en-GB"/>
        </w:rPr>
      </w:pPr>
      <w:r w:rsidRPr="004307B1">
        <w:rPr>
          <w:lang w:val="en-GB" w:bidi="en-GB"/>
        </w:rPr>
        <w:t xml:space="preserve">The paragraph does not specify the scope and content of the description required by the Contracting Authority in the technical tender. This requirement is open to a wide range of interpretations, from a simple statement confirming the presence of the system and its compliance with the conditions specified in Clause B.4, to a comprehensive description of the system architecture, lubrication intervals, lubricant specifications and control unit functionality, supported by diagrams and technical parameter tables. This interpretation has a significant impact on the labour intensity and comparability of the technical tender between tenderers. </w:t>
      </w:r>
    </w:p>
    <w:p w14:paraId="44331705" w14:textId="38F4D039" w:rsidR="00B223A9" w:rsidRPr="004307B1" w:rsidRDefault="00B223A9" w:rsidP="00610471">
      <w:pPr>
        <w:ind w:firstLine="720"/>
        <w:jc w:val="both"/>
        <w:outlineLvl w:val="0"/>
        <w:rPr>
          <w:lang w:val="en-GB"/>
        </w:rPr>
      </w:pPr>
      <w:r w:rsidRPr="004307B1">
        <w:rPr>
          <w:lang w:val="en-GB" w:bidi="en-GB"/>
        </w:rPr>
        <w:t xml:space="preserve">Accordingly, we kindly request the Contracting Authority to specify the scope of information concerning the central lubrication system to be provided in the technical proposal. Specifically, please confirm whether a declaration by the Tenderer confirming compliance with the requirements listed in Paragraph B.4 will be sufficient, or whether a more detailed technical description is expected and, if so, which </w:t>
      </w:r>
      <w:proofErr w:type="gramStart"/>
      <w:r w:rsidRPr="004307B1">
        <w:rPr>
          <w:lang w:val="en-GB" w:bidi="en-GB"/>
        </w:rPr>
        <w:t>particular elements</w:t>
      </w:r>
      <w:proofErr w:type="gramEnd"/>
      <w:r w:rsidRPr="004307B1">
        <w:rPr>
          <w:lang w:val="en-GB" w:bidi="en-GB"/>
        </w:rPr>
        <w:t xml:space="preserve"> should be addressed. The same issue arises in relation to other provisions of the Technical Specification that require that “the Tenderer shall describe such a solution in the technical proposal”. Accordingly, we kindly request the Contracting Authority to clarify whether it intends to publish a standard format for the technical proposal or an indicative structure of sections, thereby ensuring the submission of comparable proposals.</w:t>
      </w:r>
    </w:p>
    <w:p w14:paraId="78856118" w14:textId="77777777" w:rsidR="00F127CF" w:rsidRPr="004307B1" w:rsidRDefault="00F127CF" w:rsidP="00610471">
      <w:pPr>
        <w:jc w:val="both"/>
        <w:outlineLvl w:val="0"/>
        <w:rPr>
          <w:lang w:val="en-GB"/>
        </w:rPr>
      </w:pPr>
    </w:p>
    <w:p w14:paraId="2F2E0ED1" w14:textId="205C4912" w:rsidR="007532F0" w:rsidRPr="004307B1" w:rsidRDefault="007532F0" w:rsidP="00610471">
      <w:pPr>
        <w:jc w:val="both"/>
        <w:rPr>
          <w:b/>
          <w:bCs/>
          <w:lang w:val="en-GB"/>
        </w:rPr>
      </w:pPr>
      <w:r w:rsidRPr="004307B1">
        <w:rPr>
          <w:b/>
          <w:lang w:val="en-GB" w:bidi="en-GB"/>
        </w:rPr>
        <w:t>Answer 6:</w:t>
      </w:r>
    </w:p>
    <w:p w14:paraId="536A6C19" w14:textId="77777777" w:rsidR="003852E2" w:rsidRPr="004307B1" w:rsidRDefault="003852E2" w:rsidP="00610471">
      <w:pPr>
        <w:ind w:firstLine="720"/>
        <w:jc w:val="both"/>
        <w:rPr>
          <w:lang w:val="en-GB"/>
        </w:rPr>
      </w:pPr>
      <w:r w:rsidRPr="004307B1">
        <w:rPr>
          <w:lang w:val="en-GB" w:bidi="en-GB"/>
        </w:rPr>
        <w:t xml:space="preserve">Where the vehicle is fitted with a central lubrication system (CLS), the Tenderer shall provide confirmation in the technical proposal that such a system is installed and complies with the requirements specified in Paragraph B.4 of the Technical Specification. The level of detail of the technical description shall remain at the discretion of the Tenderer, </w:t>
      </w:r>
      <w:proofErr w:type="gramStart"/>
      <w:r w:rsidRPr="004307B1">
        <w:rPr>
          <w:lang w:val="en-GB" w:bidi="en-GB"/>
        </w:rPr>
        <w:t>taking into account</w:t>
      </w:r>
      <w:proofErr w:type="gramEnd"/>
      <w:r w:rsidRPr="004307B1">
        <w:rPr>
          <w:lang w:val="en-GB" w:bidi="en-GB"/>
        </w:rPr>
        <w:t xml:space="preserve"> the nature of the proposed solution and the requirements of the Technical Specification.</w:t>
      </w:r>
    </w:p>
    <w:p w14:paraId="49C02C00" w14:textId="34C1E1BC" w:rsidR="006B7E8D" w:rsidRPr="004307B1" w:rsidRDefault="003852E2" w:rsidP="00610471">
      <w:pPr>
        <w:ind w:firstLine="720"/>
        <w:jc w:val="both"/>
        <w:rPr>
          <w:lang w:val="en-GB"/>
        </w:rPr>
      </w:pPr>
      <w:r w:rsidRPr="004307B1">
        <w:rPr>
          <w:lang w:val="en-GB" w:bidi="en-GB"/>
        </w:rPr>
        <w:t>The Contracting Authority does not intend to provide a standard format for the technical proposal or prescribe a specific level of detail for such descriptions. However, the Tenderer shall ensure that the information submitted is sufficient to enable an unambiguous assessment of compliance with the requirements of the Technical Specification.</w:t>
      </w:r>
    </w:p>
    <w:p w14:paraId="38D27ACF" w14:textId="77777777" w:rsidR="00BA486D" w:rsidRPr="004307B1" w:rsidRDefault="00BA486D" w:rsidP="00610471">
      <w:pPr>
        <w:ind w:firstLine="720"/>
        <w:jc w:val="both"/>
        <w:rPr>
          <w:lang w:val="en-GB"/>
        </w:rPr>
      </w:pPr>
    </w:p>
    <w:p w14:paraId="67504AD1" w14:textId="77777777" w:rsidR="003852E2" w:rsidRPr="004307B1" w:rsidRDefault="003852E2" w:rsidP="00610471">
      <w:pPr>
        <w:ind w:firstLine="720"/>
        <w:jc w:val="both"/>
        <w:rPr>
          <w:lang w:val="en-GB"/>
        </w:rPr>
      </w:pPr>
    </w:p>
    <w:p w14:paraId="64D3B4E7" w14:textId="77777777" w:rsidR="00F127CF" w:rsidRPr="004307B1" w:rsidRDefault="00F127CF" w:rsidP="00610471">
      <w:pPr>
        <w:ind w:firstLine="720"/>
        <w:jc w:val="both"/>
        <w:rPr>
          <w:lang w:val="en-GB"/>
        </w:rPr>
      </w:pPr>
    </w:p>
    <w:p w14:paraId="4434F01B" w14:textId="5AB0C676" w:rsidR="005F1D86" w:rsidRPr="004307B1" w:rsidRDefault="005F1D86" w:rsidP="00610471">
      <w:pPr>
        <w:jc w:val="both"/>
        <w:rPr>
          <w:b/>
          <w:bCs/>
          <w:lang w:val="en-GB"/>
        </w:rPr>
      </w:pPr>
      <w:r w:rsidRPr="004307B1">
        <w:rPr>
          <w:b/>
          <w:lang w:val="en-GB" w:bidi="en-GB"/>
        </w:rPr>
        <w:t>Question 7:</w:t>
      </w:r>
    </w:p>
    <w:p w14:paraId="6C19513E" w14:textId="77777777" w:rsidR="00F92B28" w:rsidRPr="004307B1" w:rsidRDefault="00F92B28" w:rsidP="00610471">
      <w:pPr>
        <w:jc w:val="both"/>
        <w:rPr>
          <w:lang w:val="en-GB"/>
        </w:rPr>
      </w:pPr>
      <w:r w:rsidRPr="004307B1">
        <w:rPr>
          <w:lang w:val="en-GB" w:bidi="en-GB"/>
        </w:rPr>
        <w:t xml:space="preserve">Paragraph B.8.7.3 of the Technical Specification (Trip Data Recording) requires the vehicle to be fitted with a trip data recorder capable of capturing an extensive set of operational parameters, including more than 30 individual data fields including the vehicle’s GPS coordinates, speed, battery voltage, charging and discharging currents, SOC, SOH, individual battery temperatures, traction and braking torque of the traction motor, accelerator and brake pedal positions expressed as percentages, the distance travelled from the point at which the recording was initiated, together with approximately 30 additional logical status signals, such as door status, brake pedal status, </w:t>
      </w:r>
      <w:r w:rsidRPr="004307B1">
        <w:rPr>
          <w:lang w:val="en-GB" w:bidi="en-GB"/>
        </w:rPr>
        <w:lastRenderedPageBreak/>
        <w:t xml:space="preserve">ABS, ASR, turn indicators, compressor status and other similar variables. The system shall ensure the recording of data at a resolution of at least every 0.5 seconds or 0.5 metres, and such data shall be transmitted in real time to a centralised telemetry database supported by management software provided by the Supplier. </w:t>
      </w:r>
    </w:p>
    <w:p w14:paraId="224EA778" w14:textId="77777777" w:rsidR="00F92B28" w:rsidRPr="004307B1" w:rsidRDefault="00F92B28" w:rsidP="00610471">
      <w:pPr>
        <w:jc w:val="both"/>
        <w:rPr>
          <w:lang w:val="en-GB"/>
        </w:rPr>
      </w:pPr>
      <w:r w:rsidRPr="004307B1">
        <w:rPr>
          <w:lang w:val="en-GB" w:bidi="en-GB"/>
        </w:rPr>
        <w:t xml:space="preserve">This set of requirements creates </w:t>
      </w:r>
      <w:proofErr w:type="gramStart"/>
      <w:r w:rsidRPr="004307B1">
        <w:rPr>
          <w:lang w:val="en-GB" w:bidi="en-GB"/>
        </w:rPr>
        <w:t>a number of</w:t>
      </w:r>
      <w:proofErr w:type="gramEnd"/>
      <w:r w:rsidRPr="004307B1">
        <w:rPr>
          <w:lang w:val="en-GB" w:bidi="en-GB"/>
        </w:rPr>
        <w:t xml:space="preserve"> uncertainties. Firstly, certain of the listed parameters do not appear to be directly related to the provision of public transport services in Riga. For example, the distance from the point at which the recording commenced, or the brake pedal application level expressed as a percentage and recorded at 0.5-second intervals, are parameters more commonly associated with the manufacturer’s internal diagnostic or development activities than with the operational needs of the transport operator. This set of parameters corresponds in scope and composition to the telemetry platform of a particular manufacturer, which may give the impression of a preference for a particular technical solution. </w:t>
      </w:r>
    </w:p>
    <w:p w14:paraId="3E7B6875" w14:textId="77777777" w:rsidR="00F92B28" w:rsidRPr="004307B1" w:rsidRDefault="00F92B28" w:rsidP="00610471">
      <w:pPr>
        <w:jc w:val="both"/>
        <w:rPr>
          <w:lang w:val="en-GB"/>
        </w:rPr>
      </w:pPr>
      <w:r w:rsidRPr="004307B1">
        <w:rPr>
          <w:lang w:val="en-GB" w:bidi="en-GB"/>
        </w:rPr>
        <w:t xml:space="preserve">Secondly, the Specification does not clearly specify the nature of the system envisaged by the Contracting Authority – it is unclear whether the requirement relates to a dedicated telemetry platform supplied by the Supplier, together with the associated server infrastructure and management software to be integrated into the Contracting Authority’s IT environment, or whether it relates to a solution whose sole purpose is to transmit data to the Contracting Authority’s existing telemetry database via an interface defined by the Contracting Authority. The differences between these options are significant both in terms of functionality and cost. </w:t>
      </w:r>
    </w:p>
    <w:p w14:paraId="1F631D62" w14:textId="77777777" w:rsidR="00F92B28" w:rsidRPr="004307B1" w:rsidRDefault="00F92B28" w:rsidP="00610471">
      <w:pPr>
        <w:jc w:val="both"/>
        <w:rPr>
          <w:lang w:val="en-GB"/>
        </w:rPr>
      </w:pPr>
      <w:r w:rsidRPr="004307B1">
        <w:rPr>
          <w:lang w:val="en-GB" w:bidi="en-GB"/>
        </w:rPr>
        <w:t xml:space="preserve">We therefore ask the Contracting Authority to clarify: </w:t>
      </w:r>
    </w:p>
    <w:p w14:paraId="386AFA04" w14:textId="77777777" w:rsidR="00F92B28" w:rsidRPr="004307B1" w:rsidRDefault="00F92B28" w:rsidP="00610471">
      <w:pPr>
        <w:jc w:val="both"/>
        <w:rPr>
          <w:lang w:val="en-GB"/>
        </w:rPr>
      </w:pPr>
      <w:r w:rsidRPr="004307B1">
        <w:rPr>
          <w:lang w:val="en-GB" w:bidi="en-GB"/>
        </w:rPr>
        <w:t xml:space="preserve">1) which telemetry system is expected – a stand-alone Supplier platform or a data feed to the Contracting Authority's existing system and, if the latter, in which format and through which interface the data is to be </w:t>
      </w:r>
      <w:proofErr w:type="gramStart"/>
      <w:r w:rsidRPr="004307B1">
        <w:rPr>
          <w:lang w:val="en-GB" w:bidi="en-GB"/>
        </w:rPr>
        <w:t>transmitted;</w:t>
      </w:r>
      <w:proofErr w:type="gramEnd"/>
      <w:r w:rsidRPr="004307B1">
        <w:rPr>
          <w:lang w:val="en-GB" w:bidi="en-GB"/>
        </w:rPr>
        <w:t xml:space="preserve"> </w:t>
      </w:r>
    </w:p>
    <w:p w14:paraId="3B7D6AF7" w14:textId="7B0634E1" w:rsidR="005155A1" w:rsidRPr="004307B1" w:rsidRDefault="00F92B28" w:rsidP="00610471">
      <w:pPr>
        <w:jc w:val="both"/>
        <w:rPr>
          <w:b/>
          <w:bCs/>
          <w:lang w:val="en-GB"/>
        </w:rPr>
      </w:pPr>
      <w:r w:rsidRPr="004307B1">
        <w:rPr>
          <w:lang w:val="en-GB" w:bidi="en-GB"/>
        </w:rPr>
        <w:t>2) what is the functional justification for the parameters listed in Paragraph B.8.7.3, as some of them are apparently not necessary for the monitoring of the public transport service, and whether the Contracting Authority is considering reducing the list of mandatory parameters to those that are strictly necessary for the operation of the service.</w:t>
      </w:r>
    </w:p>
    <w:p w14:paraId="75D92BF1" w14:textId="77777777" w:rsidR="00F127CF" w:rsidRPr="004307B1" w:rsidRDefault="00F127CF" w:rsidP="00610471">
      <w:pPr>
        <w:jc w:val="both"/>
        <w:rPr>
          <w:b/>
          <w:bCs/>
          <w:lang w:val="en-GB"/>
        </w:rPr>
      </w:pPr>
    </w:p>
    <w:p w14:paraId="314EFF25" w14:textId="310DBB57" w:rsidR="005F1D86" w:rsidRPr="004307B1" w:rsidRDefault="005F1D86" w:rsidP="00610471">
      <w:pPr>
        <w:jc w:val="both"/>
        <w:rPr>
          <w:b/>
          <w:bCs/>
          <w:lang w:val="en-GB"/>
        </w:rPr>
      </w:pPr>
      <w:r w:rsidRPr="004307B1">
        <w:rPr>
          <w:b/>
          <w:lang w:val="en-GB" w:bidi="en-GB"/>
        </w:rPr>
        <w:t>Answer 7:</w:t>
      </w:r>
    </w:p>
    <w:p w14:paraId="35734017" w14:textId="77777777" w:rsidR="007310C6" w:rsidRPr="004307B1" w:rsidRDefault="007310C6" w:rsidP="00610471">
      <w:pPr>
        <w:ind w:firstLine="720"/>
        <w:jc w:val="both"/>
        <w:rPr>
          <w:lang w:val="en-GB"/>
        </w:rPr>
      </w:pPr>
      <w:r w:rsidRPr="004307B1">
        <w:rPr>
          <w:lang w:val="en-GB" w:bidi="en-GB"/>
        </w:rPr>
        <w:t>The Contracting Authority expects the vehicle to be equipped with an independent and fully functional trip data recording and processing system that includes the collection, transmission and management of data through a telemetry platform provided by the Supplier or an equivalent solution.</w:t>
      </w:r>
    </w:p>
    <w:p w14:paraId="216E8F32" w14:textId="77777777" w:rsidR="007310C6" w:rsidRPr="004307B1" w:rsidRDefault="007310C6" w:rsidP="00610471">
      <w:pPr>
        <w:ind w:firstLine="720"/>
        <w:jc w:val="both"/>
        <w:rPr>
          <w:lang w:val="en-GB"/>
        </w:rPr>
      </w:pPr>
    </w:p>
    <w:p w14:paraId="297826AA" w14:textId="77777777" w:rsidR="007310C6" w:rsidRPr="004307B1" w:rsidRDefault="007310C6" w:rsidP="00610471">
      <w:pPr>
        <w:ind w:firstLine="720"/>
        <w:jc w:val="both"/>
        <w:rPr>
          <w:lang w:val="en-GB"/>
        </w:rPr>
      </w:pPr>
      <w:r w:rsidRPr="004307B1">
        <w:rPr>
          <w:lang w:val="en-GB" w:bidi="en-GB"/>
        </w:rPr>
        <w:t xml:space="preserve">The list of parameters and signals defined in the Technical Specification is based on the Contracting Authority’s operational experience and vehicle monitoring requirements, </w:t>
      </w:r>
      <w:proofErr w:type="gramStart"/>
      <w:r w:rsidRPr="004307B1">
        <w:rPr>
          <w:lang w:val="en-GB" w:bidi="en-GB"/>
        </w:rPr>
        <w:t>taking into account</w:t>
      </w:r>
      <w:proofErr w:type="gramEnd"/>
      <w:r w:rsidRPr="004307B1">
        <w:rPr>
          <w:lang w:val="en-GB" w:bidi="en-GB"/>
        </w:rPr>
        <w:t xml:space="preserve"> that the provision of public transport services also includes the comprehensive maintenance and repair of the vehicles. The availability of relevant data enables analysis of vehicle operating modes, identification of faults, assessment of component performance and timely planning of maintenance and repair work.</w:t>
      </w:r>
    </w:p>
    <w:p w14:paraId="43FF90B0" w14:textId="77777777" w:rsidR="007310C6" w:rsidRPr="004307B1" w:rsidRDefault="007310C6" w:rsidP="00610471">
      <w:pPr>
        <w:ind w:firstLine="720"/>
        <w:jc w:val="both"/>
        <w:rPr>
          <w:lang w:val="en-GB"/>
        </w:rPr>
      </w:pPr>
      <w:r w:rsidRPr="004307B1">
        <w:rPr>
          <w:lang w:val="en-GB" w:bidi="en-GB"/>
        </w:rPr>
        <w:t>The Contracting Authority considers that the list of parameters contained in the requirement is not related to a specific manufacturer or technical solution, but to a set of data necessary to ensure a complete monitoring of the operation and maintenance of the vehicles.</w:t>
      </w:r>
    </w:p>
    <w:p w14:paraId="2EFE617E" w14:textId="4B9EF704" w:rsidR="00C634CD" w:rsidRPr="004307B1" w:rsidRDefault="007310C6" w:rsidP="00610471">
      <w:pPr>
        <w:ind w:firstLine="720"/>
        <w:jc w:val="both"/>
        <w:rPr>
          <w:lang w:val="en-GB"/>
        </w:rPr>
      </w:pPr>
      <w:r w:rsidRPr="004307B1">
        <w:rPr>
          <w:lang w:val="en-GB" w:bidi="en-GB"/>
        </w:rPr>
        <w:t>Consequently, the Contracting Authority does not intend to reduce the scope of the parameters listed in Paragraph B.8.7.3.</w:t>
      </w:r>
    </w:p>
    <w:p w14:paraId="009994BD" w14:textId="77777777" w:rsidR="00231F6F" w:rsidRPr="004307B1" w:rsidRDefault="00231F6F" w:rsidP="00610471">
      <w:pPr>
        <w:jc w:val="both"/>
        <w:outlineLvl w:val="0"/>
        <w:rPr>
          <w:lang w:val="en-GB"/>
        </w:rPr>
      </w:pPr>
    </w:p>
    <w:p w14:paraId="414960C6" w14:textId="77777777" w:rsidR="007310C6" w:rsidRPr="004307B1" w:rsidRDefault="007310C6" w:rsidP="00610471">
      <w:pPr>
        <w:jc w:val="both"/>
        <w:outlineLvl w:val="0"/>
        <w:rPr>
          <w:lang w:val="en-GB"/>
        </w:rPr>
      </w:pPr>
    </w:p>
    <w:p w14:paraId="5B544F57" w14:textId="77777777" w:rsidR="008B7520" w:rsidRPr="004307B1" w:rsidRDefault="008B7520" w:rsidP="00610471">
      <w:pPr>
        <w:jc w:val="both"/>
        <w:outlineLvl w:val="0"/>
        <w:rPr>
          <w:lang w:val="en-GB"/>
        </w:rPr>
      </w:pPr>
    </w:p>
    <w:p w14:paraId="70869EED" w14:textId="23F3B598" w:rsidR="00B134A3" w:rsidRPr="004307B1" w:rsidRDefault="00931A18" w:rsidP="00610471">
      <w:pPr>
        <w:jc w:val="both"/>
        <w:rPr>
          <w:b/>
          <w:bCs/>
          <w:lang w:val="en-GB"/>
        </w:rPr>
      </w:pPr>
      <w:r w:rsidRPr="004307B1">
        <w:rPr>
          <w:b/>
          <w:lang w:val="en-GB" w:bidi="en-GB"/>
        </w:rPr>
        <w:t>Question 8:</w:t>
      </w:r>
    </w:p>
    <w:p w14:paraId="21E86C1A" w14:textId="77777777" w:rsidR="00F92B28" w:rsidRPr="004307B1" w:rsidRDefault="00F92B28" w:rsidP="00610471">
      <w:pPr>
        <w:jc w:val="both"/>
        <w:rPr>
          <w:lang w:val="en-GB"/>
        </w:rPr>
      </w:pPr>
      <w:r w:rsidRPr="004307B1">
        <w:rPr>
          <w:lang w:val="en-GB" w:bidi="en-GB"/>
        </w:rPr>
        <w:t xml:space="preserve">Paragraph B.8.8 of the Technical Specification (Wires and Terminations) sets out a comprehensive range of specific technical requirements relating to wire and cable construction, insulation </w:t>
      </w:r>
      <w:r w:rsidRPr="004307B1">
        <w:rPr>
          <w:lang w:val="en-GB" w:bidi="en-GB"/>
        </w:rPr>
        <w:lastRenderedPageBreak/>
        <w:t xml:space="preserve">properties, compliance with designated standards, and detailed provisions governing identification marking and mechanical protection. </w:t>
      </w:r>
    </w:p>
    <w:p w14:paraId="4D85DF45" w14:textId="6C87EF25" w:rsidR="00B134A3" w:rsidRPr="004307B1" w:rsidRDefault="00F92B28" w:rsidP="00610471">
      <w:pPr>
        <w:jc w:val="both"/>
        <w:rPr>
          <w:lang w:val="en-GB"/>
        </w:rPr>
      </w:pPr>
      <w:r w:rsidRPr="004307B1">
        <w:rPr>
          <w:lang w:val="en-GB" w:bidi="en-GB"/>
        </w:rPr>
        <w:t>The inclusion of such specific wire and cable requirements in the technical specifications of the procurement raises a fundamental objection. The design of the vehicle’s electrical installation falls within the manufacturer’s engineering expertise and is validated through the vehicle type-approval process. A Certificate of Conformity (CoC) issued pursuant to European Union legislation constitutes evidence that the vehicle and its systems comply with the applicable European Union requirements relating to safety, electromagnetic compatibility and operational performance. Specifying the construction, insulation or marking characteristics of individual cables and wires at the procurement level duplicates the certification process and does not provide the Contracting Authority with any additional assurance regarding the safety or quality of the vehicle.</w:t>
      </w:r>
    </w:p>
    <w:p w14:paraId="4A8706A9" w14:textId="77777777" w:rsidR="00F92B28" w:rsidRPr="004307B1" w:rsidRDefault="00F92B28" w:rsidP="00610471">
      <w:pPr>
        <w:jc w:val="both"/>
        <w:rPr>
          <w:lang w:val="en-GB"/>
        </w:rPr>
      </w:pPr>
      <w:r w:rsidRPr="004307B1">
        <w:rPr>
          <w:lang w:val="en-GB" w:bidi="en-GB"/>
        </w:rPr>
        <w:t xml:space="preserve">At the design stage, the manufacturer determines the wire, insulation and connection configurations that are suitable for the specific vehicle’s operating voltage, load characteristics and service conditions, and the adequacy of these solutions is subsequently demonstrated through type-approval testing. There is no economic or functional reason for the Contracting Authority and the Tenderer to intervene at this design level beyond the type-approval requirements, as any non-compliance at this level would prevent the vehicle from being registered for use in the European Union. </w:t>
      </w:r>
    </w:p>
    <w:p w14:paraId="730947D7" w14:textId="39176473" w:rsidR="00F92B28" w:rsidRPr="004307B1" w:rsidRDefault="00F92B28" w:rsidP="00610471">
      <w:pPr>
        <w:jc w:val="both"/>
        <w:rPr>
          <w:lang w:val="en-GB"/>
        </w:rPr>
      </w:pPr>
      <w:r w:rsidRPr="004307B1">
        <w:rPr>
          <w:lang w:val="en-GB" w:bidi="en-GB"/>
        </w:rPr>
        <w:t>Therefore, we kindly request the Contracting Authority to consider simplifying Paragraph B.8.8 by replacing the detailed technical requirements with a functional requirement, namely that the vehicle’s electrical installation shall comply with the applicable vehicle type-approval requirements pursuant to Regulation (EU) 2018/858 and the relevant UNECE Regulations, and that the Tenderer shall demonstrate such compliance by means of a Certificate of Conformity (CoC). Such an approach would preserve the Contracting Authority’s interest in ensuring a safe and high-quality vehicle while eliminating duplication with the already mandatory EU type-approval requirements and reducing the effort required to review and compare documentation, as well as avoiding the imposition of unnecessary and unduly restrictive requirements.</w:t>
      </w:r>
    </w:p>
    <w:p w14:paraId="23D34597" w14:textId="77777777" w:rsidR="00B134A3" w:rsidRPr="004307B1" w:rsidRDefault="00B134A3" w:rsidP="00610471">
      <w:pPr>
        <w:jc w:val="both"/>
        <w:rPr>
          <w:b/>
          <w:bCs/>
          <w:lang w:val="en-GB"/>
        </w:rPr>
      </w:pPr>
    </w:p>
    <w:p w14:paraId="7B217E6E" w14:textId="6F7F720C" w:rsidR="00B134A3" w:rsidRPr="004307B1" w:rsidRDefault="00931A18" w:rsidP="00610471">
      <w:pPr>
        <w:jc w:val="both"/>
        <w:rPr>
          <w:b/>
          <w:bCs/>
          <w:lang w:val="en-GB"/>
        </w:rPr>
      </w:pPr>
      <w:r w:rsidRPr="004307B1">
        <w:rPr>
          <w:b/>
          <w:lang w:val="en-GB" w:bidi="en-GB"/>
        </w:rPr>
        <w:t>Answer 8:</w:t>
      </w:r>
    </w:p>
    <w:p w14:paraId="4D674667" w14:textId="77777777" w:rsidR="00CB0E32" w:rsidRPr="004307B1" w:rsidRDefault="00CB0E32" w:rsidP="00610471">
      <w:pPr>
        <w:ind w:firstLine="720"/>
        <w:jc w:val="both"/>
        <w:rPr>
          <w:lang w:val="en-GB"/>
        </w:rPr>
      </w:pPr>
      <w:r w:rsidRPr="004307B1">
        <w:rPr>
          <w:lang w:val="en-GB" w:bidi="en-GB"/>
        </w:rPr>
        <w:t>The requirements set out in Paragraph B.8.8 of the Technical Specification regarding wires, cables and their installation are functional requirements aimed at ensuring the safe, reliable and long-term operation of the vehicle, as well as facilitating maintenance and repair activities.</w:t>
      </w:r>
    </w:p>
    <w:p w14:paraId="1FF5F48C" w14:textId="77777777" w:rsidR="00CB0E32" w:rsidRPr="004307B1" w:rsidRDefault="00CB0E32" w:rsidP="00610471">
      <w:pPr>
        <w:ind w:firstLine="720"/>
        <w:jc w:val="both"/>
        <w:rPr>
          <w:lang w:val="en-GB"/>
        </w:rPr>
      </w:pPr>
      <w:r w:rsidRPr="004307B1">
        <w:rPr>
          <w:lang w:val="en-GB" w:bidi="en-GB"/>
        </w:rPr>
        <w:t>These requirements do not duplicate the requirements for vehicle type-</w:t>
      </w:r>
      <w:proofErr w:type="gramStart"/>
      <w:r w:rsidRPr="004307B1">
        <w:rPr>
          <w:lang w:val="en-GB" w:bidi="en-GB"/>
        </w:rPr>
        <w:t>approval, but</w:t>
      </w:r>
      <w:proofErr w:type="gramEnd"/>
      <w:r w:rsidRPr="004307B1">
        <w:rPr>
          <w:lang w:val="en-GB" w:bidi="en-GB"/>
        </w:rPr>
        <w:t xml:space="preserve"> complement them by defining practical aspects of operation and maintenance that may not be fully covered in detail by type-approval (e.g. protection of wiring against mechanical damage, accessibility for maintenance, marking, organisation of cable routing, etc.).</w:t>
      </w:r>
    </w:p>
    <w:p w14:paraId="49C37D16" w14:textId="4FA249CC" w:rsidR="00CB0E32" w:rsidRPr="004307B1" w:rsidRDefault="00CB0E32" w:rsidP="00610471">
      <w:pPr>
        <w:ind w:firstLine="720"/>
        <w:jc w:val="both"/>
        <w:rPr>
          <w:lang w:val="en-GB"/>
        </w:rPr>
      </w:pPr>
      <w:r w:rsidRPr="004307B1">
        <w:rPr>
          <w:lang w:val="en-GB" w:bidi="en-GB"/>
        </w:rPr>
        <w:t xml:space="preserve">The Contracting Authority's requirements are not aimed at a specific technical solution or manufacturer-specific </w:t>
      </w:r>
      <w:proofErr w:type="gramStart"/>
      <w:r w:rsidRPr="004307B1">
        <w:rPr>
          <w:lang w:val="en-GB" w:bidi="en-GB"/>
        </w:rPr>
        <w:t>designs, but</w:t>
      </w:r>
      <w:proofErr w:type="gramEnd"/>
      <w:r w:rsidRPr="004307B1">
        <w:rPr>
          <w:lang w:val="en-GB" w:bidi="en-GB"/>
        </w:rPr>
        <w:t xml:space="preserve"> define a minimum level of functional and operational quality that the Supplier must meet, regardless of the technical solution chosen.</w:t>
      </w:r>
    </w:p>
    <w:p w14:paraId="3C6C6F0F" w14:textId="58AFB7A2" w:rsidR="00B134A3" w:rsidRPr="004307B1" w:rsidRDefault="00CB0E32" w:rsidP="00610471">
      <w:pPr>
        <w:ind w:firstLine="720"/>
        <w:jc w:val="both"/>
        <w:rPr>
          <w:lang w:val="en-GB"/>
        </w:rPr>
      </w:pPr>
      <w:r w:rsidRPr="004307B1">
        <w:rPr>
          <w:lang w:val="en-GB" w:bidi="en-GB"/>
        </w:rPr>
        <w:t>Consequently, the Contracting Authority does not intend to simplify or replace the requirements set out in Paragraph B.8.8 by reference to type-approval compliance only.</w:t>
      </w:r>
    </w:p>
    <w:p w14:paraId="7F575232" w14:textId="77777777" w:rsidR="00CB0E32" w:rsidRPr="004307B1" w:rsidRDefault="00CB0E32" w:rsidP="00610471">
      <w:pPr>
        <w:ind w:firstLine="720"/>
        <w:jc w:val="both"/>
        <w:rPr>
          <w:lang w:val="en-GB"/>
        </w:rPr>
      </w:pPr>
    </w:p>
    <w:p w14:paraId="1C239DDD" w14:textId="77777777" w:rsidR="00CB0E32" w:rsidRPr="004307B1" w:rsidRDefault="00CB0E32" w:rsidP="00610471">
      <w:pPr>
        <w:ind w:firstLine="720"/>
        <w:jc w:val="both"/>
        <w:rPr>
          <w:lang w:val="en-GB"/>
        </w:rPr>
      </w:pPr>
    </w:p>
    <w:p w14:paraId="384F1F32" w14:textId="77777777" w:rsidR="00E17D97" w:rsidRPr="004307B1" w:rsidRDefault="00E17D97" w:rsidP="00610471">
      <w:pPr>
        <w:jc w:val="both"/>
        <w:outlineLvl w:val="0"/>
        <w:rPr>
          <w:lang w:val="en-GB"/>
        </w:rPr>
      </w:pPr>
    </w:p>
    <w:p w14:paraId="60828C69" w14:textId="4E1F90DC" w:rsidR="00193BC9" w:rsidRPr="004307B1" w:rsidRDefault="00931A18" w:rsidP="00610471">
      <w:pPr>
        <w:jc w:val="both"/>
        <w:rPr>
          <w:b/>
          <w:bCs/>
          <w:lang w:val="en-GB"/>
        </w:rPr>
      </w:pPr>
      <w:r w:rsidRPr="004307B1">
        <w:rPr>
          <w:b/>
          <w:lang w:val="en-GB" w:bidi="en-GB"/>
        </w:rPr>
        <w:t>Question 9:</w:t>
      </w:r>
    </w:p>
    <w:p w14:paraId="1310C801" w14:textId="77777777" w:rsidR="007A7C32" w:rsidRPr="004307B1" w:rsidRDefault="007A7C32" w:rsidP="00610471">
      <w:pPr>
        <w:jc w:val="both"/>
        <w:rPr>
          <w:lang w:val="en-GB"/>
        </w:rPr>
      </w:pPr>
      <w:r w:rsidRPr="004307B1">
        <w:rPr>
          <w:lang w:val="en-GB" w:bidi="en-GB"/>
        </w:rPr>
        <w:t xml:space="preserve">Paragraph B.9.1 of the Technical Specification (Information and Communication Equipment – General Requirements) provides that the vehicle shall be fully prepared for the installation of equipment supplied by the Contracting Authority, including the Passenger Information System (PIS), Closed-Circuit Television (CCTV) system, electronic ticketing system, data communication system and passenger counting system. The Supplier shall furthermore ensure the compatibility of the vehicle’s systems with the equipment provided by the Contracting Authority, insofar as such compatibility relates to the integration of systems supplied by the Supplier. At the same time, the </w:t>
      </w:r>
      <w:r w:rsidRPr="004307B1">
        <w:rPr>
          <w:lang w:val="en-GB" w:bidi="en-GB"/>
        </w:rPr>
        <w:lastRenderedPageBreak/>
        <w:t xml:space="preserve">same Paragraph provides that all exact technical characteristics and installation locations of the equipment supplied by the Contracting Authority shall be agreed with the Supplier prior to the start of vehicle production but no later than 6 months after the entry into force of the contract. </w:t>
      </w:r>
    </w:p>
    <w:p w14:paraId="05D589B6" w14:textId="77777777" w:rsidR="007A7C32" w:rsidRPr="004307B1" w:rsidRDefault="007A7C32" w:rsidP="00610471">
      <w:pPr>
        <w:jc w:val="both"/>
        <w:rPr>
          <w:lang w:val="en-GB"/>
        </w:rPr>
      </w:pPr>
      <w:r w:rsidRPr="004307B1">
        <w:rPr>
          <w:lang w:val="en-GB" w:bidi="en-GB"/>
        </w:rPr>
        <w:t xml:space="preserve">This structure poses a fundamental problem for the Tenderer at the stage of preparation of the technical and financial proposal. The Tenderer is required to undertake an obligation to adapt the vehicle and ensure compatibility with equipment whose precise technical parameters, dimensions, power requirements, data interfaces and installation locations are not known at the time of tender submission and will only be agreed approximately one year after the conclusion of the Contract. At the same time, the Tenderer is required, at the tender submission stage, to include in the financial proposal all costs related to the integration of such equipment, including cable runs, mounting points, power supply and data interfaces, as well as mechanical mounting solutions, which depend directly on the unknown specifications of the equipment. </w:t>
      </w:r>
    </w:p>
    <w:p w14:paraId="6C10B932" w14:textId="77777777" w:rsidR="007A7C32" w:rsidRPr="004307B1" w:rsidRDefault="007A7C32" w:rsidP="00610471">
      <w:pPr>
        <w:jc w:val="both"/>
        <w:rPr>
          <w:lang w:val="en-GB"/>
        </w:rPr>
      </w:pPr>
      <w:r w:rsidRPr="004307B1">
        <w:rPr>
          <w:lang w:val="en-GB" w:bidi="en-GB"/>
        </w:rPr>
        <w:t xml:space="preserve">This approach effectively reverses the technical logic – the bus is adapted to equipment that is yet to be selected by the Contracting Authority, rather than the equipment being selected according to the design of the bus. This creates an unequal risk between the parties: any incompatibility that becomes apparent after the 6-month agreement period affects the Supplier financially and in terms of time, even though the Supplier does not select and supply the equipment. </w:t>
      </w:r>
    </w:p>
    <w:p w14:paraId="589DA833" w14:textId="77777777" w:rsidR="007A7C32" w:rsidRPr="004307B1" w:rsidRDefault="007A7C32" w:rsidP="00610471">
      <w:pPr>
        <w:jc w:val="both"/>
        <w:rPr>
          <w:lang w:val="en-GB"/>
        </w:rPr>
      </w:pPr>
      <w:r w:rsidRPr="004307B1">
        <w:rPr>
          <w:lang w:val="en-GB" w:bidi="en-GB"/>
        </w:rPr>
        <w:t xml:space="preserve">We therefore ask the Contracting Authority to clarify: </w:t>
      </w:r>
    </w:p>
    <w:p w14:paraId="334AA23E" w14:textId="77777777" w:rsidR="007A7C32" w:rsidRPr="004307B1" w:rsidRDefault="007A7C32" w:rsidP="00610471">
      <w:pPr>
        <w:jc w:val="both"/>
        <w:rPr>
          <w:lang w:val="en-GB"/>
        </w:rPr>
      </w:pPr>
      <w:r w:rsidRPr="004307B1">
        <w:rPr>
          <w:lang w:val="en-GB" w:bidi="en-GB"/>
        </w:rPr>
        <w:t xml:space="preserve">1) whether the Contracting Authority can, already at the procurement stage, provide a detailed annex containing the technical specifications of the equipment intended to be supplied by the Contracting Authority (including dimensions, weight, power supply and data requirements, and mounting interfaces), in order to enable the Tenderer to accurately calculate its financial proposal and propose a technically sound solution; </w:t>
      </w:r>
    </w:p>
    <w:p w14:paraId="513EE5B6" w14:textId="77777777" w:rsidR="007A7C32" w:rsidRPr="004307B1" w:rsidRDefault="007A7C32" w:rsidP="00610471">
      <w:pPr>
        <w:jc w:val="both"/>
        <w:rPr>
          <w:lang w:val="en-GB"/>
        </w:rPr>
      </w:pPr>
      <w:r w:rsidRPr="004307B1">
        <w:rPr>
          <w:lang w:val="en-GB" w:bidi="en-GB"/>
        </w:rPr>
        <w:t xml:space="preserve">2) how the risk and associated costs will be allocated in the event that, during the approval process within the six-month period, an incompatibility is identified between the vehicle and the equipment selected by the Contracting Authority, and whether any resulting increase in costs will be borne by the Supplier, the Contracting Authority, or addressed through another </w:t>
      </w:r>
      <w:proofErr w:type="gramStart"/>
      <w:r w:rsidRPr="004307B1">
        <w:rPr>
          <w:lang w:val="en-GB" w:bidi="en-GB"/>
        </w:rPr>
        <w:t>mechanism;</w:t>
      </w:r>
      <w:proofErr w:type="gramEnd"/>
      <w:r w:rsidRPr="004307B1">
        <w:rPr>
          <w:lang w:val="en-GB" w:bidi="en-GB"/>
        </w:rPr>
        <w:t xml:space="preserve"> </w:t>
      </w:r>
    </w:p>
    <w:p w14:paraId="51DE9C11" w14:textId="74FF5201" w:rsidR="00193BC9" w:rsidRPr="004307B1" w:rsidRDefault="007A7C32" w:rsidP="00610471">
      <w:pPr>
        <w:jc w:val="both"/>
        <w:rPr>
          <w:lang w:val="en-GB"/>
        </w:rPr>
      </w:pPr>
      <w:r w:rsidRPr="004307B1">
        <w:rPr>
          <w:lang w:val="en-GB" w:bidi="en-GB"/>
        </w:rPr>
        <w:t>3) whether the Supplier who has already concluded the contract has the right to refuse the Contracting Authority's request for the location of the equipment if it is not structurally compatible with the vehicle.</w:t>
      </w:r>
    </w:p>
    <w:p w14:paraId="64161D7A" w14:textId="77777777" w:rsidR="00193BC9" w:rsidRPr="004307B1" w:rsidRDefault="00193BC9" w:rsidP="00610471">
      <w:pPr>
        <w:jc w:val="both"/>
        <w:rPr>
          <w:b/>
          <w:bCs/>
          <w:lang w:val="en-GB"/>
        </w:rPr>
      </w:pPr>
    </w:p>
    <w:p w14:paraId="3F75C157" w14:textId="5D71160D" w:rsidR="00193BC9" w:rsidRPr="004307B1" w:rsidRDefault="00931A18" w:rsidP="00610471">
      <w:pPr>
        <w:jc w:val="both"/>
        <w:rPr>
          <w:b/>
          <w:bCs/>
          <w:lang w:val="en-GB"/>
        </w:rPr>
      </w:pPr>
      <w:r w:rsidRPr="004307B1">
        <w:rPr>
          <w:b/>
          <w:lang w:val="en-GB" w:bidi="en-GB"/>
        </w:rPr>
        <w:t>Answer 9:</w:t>
      </w:r>
    </w:p>
    <w:p w14:paraId="4C91B455" w14:textId="77777777" w:rsidR="00092F1A" w:rsidRPr="004307B1" w:rsidRDefault="00092F1A" w:rsidP="00610471">
      <w:pPr>
        <w:ind w:firstLine="720"/>
        <w:jc w:val="both"/>
        <w:rPr>
          <w:lang w:val="en-GB"/>
        </w:rPr>
      </w:pPr>
      <w:r w:rsidRPr="004307B1">
        <w:rPr>
          <w:lang w:val="en-GB" w:bidi="en-GB"/>
        </w:rPr>
        <w:t>The Contracting Authority informs that additional time is required to evaluate the matter. Therefore, the deadline for providing a response to this question is extended until 19 June 2026.</w:t>
      </w:r>
    </w:p>
    <w:p w14:paraId="5B4E28DD" w14:textId="77777777" w:rsidR="00193BC9" w:rsidRPr="004307B1" w:rsidRDefault="00193BC9" w:rsidP="00610471">
      <w:pPr>
        <w:jc w:val="both"/>
        <w:outlineLvl w:val="0"/>
        <w:rPr>
          <w:lang w:val="en-GB"/>
        </w:rPr>
      </w:pPr>
    </w:p>
    <w:p w14:paraId="3252FD6B" w14:textId="77777777" w:rsidR="00CB0E32" w:rsidRPr="004307B1" w:rsidRDefault="00CB0E32" w:rsidP="00610471">
      <w:pPr>
        <w:jc w:val="both"/>
        <w:outlineLvl w:val="0"/>
        <w:rPr>
          <w:lang w:val="en-GB"/>
        </w:rPr>
      </w:pPr>
    </w:p>
    <w:p w14:paraId="31E16C63" w14:textId="77777777" w:rsidR="008B7520" w:rsidRPr="004307B1" w:rsidRDefault="008B7520" w:rsidP="00610471">
      <w:pPr>
        <w:jc w:val="both"/>
        <w:outlineLvl w:val="0"/>
        <w:rPr>
          <w:lang w:val="en-GB"/>
        </w:rPr>
      </w:pPr>
    </w:p>
    <w:p w14:paraId="28767F15" w14:textId="01CBE6B7" w:rsidR="00193BC9" w:rsidRPr="004307B1" w:rsidRDefault="00931A18" w:rsidP="00610471">
      <w:pPr>
        <w:jc w:val="both"/>
        <w:rPr>
          <w:b/>
          <w:bCs/>
          <w:lang w:val="en-GB"/>
        </w:rPr>
      </w:pPr>
      <w:r w:rsidRPr="004307B1">
        <w:rPr>
          <w:b/>
          <w:lang w:val="en-GB" w:bidi="en-GB"/>
        </w:rPr>
        <w:t>Question 10:</w:t>
      </w:r>
    </w:p>
    <w:p w14:paraId="042F40C7" w14:textId="210EE581" w:rsidR="007B2EEF" w:rsidRPr="004307B1" w:rsidRDefault="007A7C32" w:rsidP="00610471">
      <w:pPr>
        <w:jc w:val="both"/>
        <w:rPr>
          <w:lang w:val="en-GB"/>
        </w:rPr>
      </w:pPr>
      <w:r w:rsidRPr="004307B1">
        <w:rPr>
          <w:lang w:val="en-GB" w:bidi="en-GB"/>
        </w:rPr>
        <w:t xml:space="preserve">Paragraph B.9.2.1 of the Technical Specification (Internal and External Displays) provides for mounting locations for TFT and LED displays supplied by the Contracting Authority within the vehicle and, inter alia, stipulates that “where the protective glass is separate from the front windscreen, provision shall be made for its heating”. </w:t>
      </w:r>
    </w:p>
    <w:p w14:paraId="38CCB879" w14:textId="77777777" w:rsidR="009753E9" w:rsidRPr="004307B1" w:rsidRDefault="009753E9" w:rsidP="00610471">
      <w:pPr>
        <w:jc w:val="both"/>
        <w:rPr>
          <w:lang w:val="en-GB"/>
        </w:rPr>
      </w:pPr>
      <w:r w:rsidRPr="004307B1">
        <w:rPr>
          <w:lang w:val="en-GB" w:bidi="en-GB"/>
        </w:rPr>
        <w:t xml:space="preserve">This requirement creates two ambiguities. Firstly, the wording does not clearly identify the component to which the heating requirement applies – the heating of the front LED display enclosure itself, the heating of the protective cover glass as a separate element from the display, or the provision of an additional heated section of the vehicle windscreen in the area adjacent to the display. Secondly, if the requirement concerns the heating of the LED display or its protective cover glass, the technical implementation of such functionality falls within the responsibility of the display manufacturer. As the display itself is to be supplied by the Contracting Authority pursuant to Paragraph B.9.2.1, the Supplier cannot, at the tender stage, determine whether the display ultimately selected by the Contracting Authority incorporates a protective cover glass, the design of such component, or whether its construction permits the integration of a heating system. </w:t>
      </w:r>
    </w:p>
    <w:p w14:paraId="20CDC483" w14:textId="77777777" w:rsidR="009753E9" w:rsidRPr="004307B1" w:rsidRDefault="009753E9" w:rsidP="00610471">
      <w:pPr>
        <w:jc w:val="both"/>
        <w:rPr>
          <w:lang w:val="en-GB"/>
        </w:rPr>
      </w:pPr>
      <w:r w:rsidRPr="004307B1">
        <w:rPr>
          <w:lang w:val="en-GB" w:bidi="en-GB"/>
        </w:rPr>
        <w:lastRenderedPageBreak/>
        <w:t xml:space="preserve">We therefore ask the Contracting Authority to clarify: </w:t>
      </w:r>
    </w:p>
    <w:p w14:paraId="10F8A52B" w14:textId="77777777" w:rsidR="009753E9" w:rsidRPr="004307B1" w:rsidRDefault="009753E9" w:rsidP="00610471">
      <w:pPr>
        <w:jc w:val="both"/>
        <w:rPr>
          <w:lang w:val="en-GB"/>
        </w:rPr>
      </w:pPr>
      <w:r w:rsidRPr="004307B1">
        <w:rPr>
          <w:lang w:val="en-GB" w:bidi="en-GB"/>
        </w:rPr>
        <w:t xml:space="preserve">1) to which element the heating requirement set out in Paragraph B.9.2.1 applies, namely whether it relates to the display unit itself, the display’s protective cover glass, or the area of the vehicle windscreen located opposite the </w:t>
      </w:r>
      <w:proofErr w:type="gramStart"/>
      <w:r w:rsidRPr="004307B1">
        <w:rPr>
          <w:lang w:val="en-GB" w:bidi="en-GB"/>
        </w:rPr>
        <w:t>display;</w:t>
      </w:r>
      <w:proofErr w:type="gramEnd"/>
      <w:r w:rsidRPr="004307B1">
        <w:rPr>
          <w:lang w:val="en-GB" w:bidi="en-GB"/>
        </w:rPr>
        <w:t xml:space="preserve"> </w:t>
      </w:r>
    </w:p>
    <w:p w14:paraId="2DE5125A" w14:textId="77777777" w:rsidR="009753E9" w:rsidRPr="004307B1" w:rsidRDefault="009753E9" w:rsidP="00610471">
      <w:pPr>
        <w:jc w:val="both"/>
        <w:rPr>
          <w:lang w:val="en-GB"/>
        </w:rPr>
      </w:pPr>
      <w:r w:rsidRPr="004307B1">
        <w:rPr>
          <w:lang w:val="en-GB" w:bidi="en-GB"/>
        </w:rPr>
        <w:t>2) which party is responsible for the heating solution – the Contracting Authority (supplying the display) or the Supplier (supplying the vehicle</w:t>
      </w:r>
      <w:proofErr w:type="gramStart"/>
      <w:r w:rsidRPr="004307B1">
        <w:rPr>
          <w:lang w:val="en-GB" w:bidi="en-GB"/>
        </w:rPr>
        <w:t>);</w:t>
      </w:r>
      <w:proofErr w:type="gramEnd"/>
      <w:r w:rsidRPr="004307B1">
        <w:rPr>
          <w:lang w:val="en-GB" w:bidi="en-GB"/>
        </w:rPr>
        <w:t xml:space="preserve"> </w:t>
      </w:r>
    </w:p>
    <w:p w14:paraId="15C6651E" w14:textId="47FDD538" w:rsidR="007A7C32" w:rsidRPr="004307B1" w:rsidRDefault="009753E9" w:rsidP="00610471">
      <w:pPr>
        <w:jc w:val="both"/>
        <w:rPr>
          <w:lang w:val="en-GB"/>
        </w:rPr>
      </w:pPr>
      <w:r w:rsidRPr="004307B1">
        <w:rPr>
          <w:lang w:val="en-GB" w:bidi="en-GB"/>
        </w:rPr>
        <w:t>3) if the requirement relates to the display’s protective cover glass and responsibility for compliance rests with the Supplier, how is this requirement expected to be fulfilled at the tender stage, given that the display selected by the Contracting Authority and its design are not known at the time the tender is being prepared.</w:t>
      </w:r>
    </w:p>
    <w:p w14:paraId="4D7356DB" w14:textId="77777777" w:rsidR="00193BC9" w:rsidRPr="004307B1" w:rsidRDefault="00193BC9" w:rsidP="00610471">
      <w:pPr>
        <w:jc w:val="both"/>
        <w:rPr>
          <w:b/>
          <w:bCs/>
          <w:lang w:val="en-GB"/>
        </w:rPr>
      </w:pPr>
    </w:p>
    <w:p w14:paraId="651E5D53" w14:textId="3D8B6704" w:rsidR="00193BC9" w:rsidRPr="004307B1" w:rsidRDefault="00931A18" w:rsidP="00610471">
      <w:pPr>
        <w:jc w:val="both"/>
        <w:rPr>
          <w:b/>
          <w:bCs/>
          <w:lang w:val="en-GB"/>
        </w:rPr>
      </w:pPr>
      <w:r w:rsidRPr="004307B1">
        <w:rPr>
          <w:b/>
          <w:lang w:val="en-GB" w:bidi="en-GB"/>
        </w:rPr>
        <w:t>Answer 10:</w:t>
      </w:r>
    </w:p>
    <w:p w14:paraId="0C5344BA" w14:textId="3AC51DA8" w:rsidR="00846AD9" w:rsidRPr="004307B1" w:rsidRDefault="00846AD9" w:rsidP="00610471">
      <w:pPr>
        <w:ind w:firstLine="720"/>
        <w:jc w:val="both"/>
        <w:rPr>
          <w:lang w:val="en-GB"/>
        </w:rPr>
      </w:pPr>
      <w:r w:rsidRPr="004307B1">
        <w:rPr>
          <w:lang w:val="en-GB" w:bidi="en-GB"/>
        </w:rPr>
        <w:t>The Contracting Authority informs that additional time is required to evaluate the matter. Therefore, the deadline for providing a response to this question is extended until 19 June 2026.</w:t>
      </w:r>
    </w:p>
    <w:p w14:paraId="6919D087" w14:textId="77777777" w:rsidR="00193BC9" w:rsidRPr="004307B1" w:rsidRDefault="00193BC9" w:rsidP="00610471">
      <w:pPr>
        <w:ind w:firstLine="720"/>
        <w:jc w:val="both"/>
        <w:rPr>
          <w:lang w:val="en-GB"/>
        </w:rPr>
      </w:pPr>
    </w:p>
    <w:p w14:paraId="4BD0E88E" w14:textId="77777777" w:rsidR="00193BC9" w:rsidRPr="004307B1" w:rsidRDefault="00193BC9" w:rsidP="00610471">
      <w:pPr>
        <w:jc w:val="both"/>
        <w:outlineLvl w:val="0"/>
        <w:rPr>
          <w:lang w:val="en-GB"/>
        </w:rPr>
      </w:pPr>
    </w:p>
    <w:p w14:paraId="37E3128E" w14:textId="77777777" w:rsidR="008B7520" w:rsidRPr="004307B1" w:rsidRDefault="008B7520" w:rsidP="00610471">
      <w:pPr>
        <w:jc w:val="both"/>
        <w:outlineLvl w:val="0"/>
        <w:rPr>
          <w:lang w:val="en-GB"/>
        </w:rPr>
      </w:pPr>
    </w:p>
    <w:p w14:paraId="7759E352" w14:textId="3DF33CF1" w:rsidR="00193BC9" w:rsidRPr="004307B1" w:rsidRDefault="00931A18" w:rsidP="00610471">
      <w:pPr>
        <w:jc w:val="both"/>
        <w:rPr>
          <w:b/>
          <w:bCs/>
          <w:lang w:val="en-GB"/>
        </w:rPr>
      </w:pPr>
      <w:r w:rsidRPr="004307B1">
        <w:rPr>
          <w:b/>
          <w:lang w:val="en-GB" w:bidi="en-GB"/>
        </w:rPr>
        <w:t>Question 11:</w:t>
      </w:r>
    </w:p>
    <w:p w14:paraId="0121B92F" w14:textId="77777777" w:rsidR="009753E9" w:rsidRPr="004307B1" w:rsidRDefault="009753E9" w:rsidP="00610471">
      <w:pPr>
        <w:jc w:val="both"/>
        <w:rPr>
          <w:lang w:val="en-GB"/>
        </w:rPr>
      </w:pPr>
      <w:r w:rsidRPr="004307B1">
        <w:rPr>
          <w:lang w:val="en-GB" w:bidi="en-GB"/>
        </w:rPr>
        <w:t xml:space="preserve">Paragraph B.9.4.2 of the Technical Specification (Video Recorder) requires the vehicle to provide a protected (lockable) mounting location for a video recorder with minimum dimensions of 400 × 300 × 200 mm and a weight of up to 10 kg. Paragraph B.9.4.3 of the Technical Specification (Video Monitor) requires the vehicle to provide an installation location within the driver’s cab for a video surveillance monitor with a screen size of up to 15 inches and a maximum weight of 10 kg. </w:t>
      </w:r>
    </w:p>
    <w:p w14:paraId="20DEBEFE" w14:textId="05C9F3A1" w:rsidR="00193BC9" w:rsidRPr="004307B1" w:rsidRDefault="009753E9" w:rsidP="00610471">
      <w:pPr>
        <w:jc w:val="both"/>
        <w:rPr>
          <w:lang w:val="en-GB"/>
        </w:rPr>
      </w:pPr>
      <w:r w:rsidRPr="004307B1">
        <w:rPr>
          <w:lang w:val="en-GB" w:bidi="en-GB"/>
        </w:rPr>
        <w:t xml:space="preserve">We kindly request the Contracting Authority to clarify whether the specified weight of 10 kg and dimensions of 400 × 300 × 200 mm, as well as the corresponding monitor requirements, reflect the video recording equipment </w:t>
      </w:r>
      <w:proofErr w:type="gramStart"/>
      <w:r w:rsidRPr="004307B1">
        <w:rPr>
          <w:lang w:val="en-GB" w:bidi="en-GB"/>
        </w:rPr>
        <w:t>actually selected</w:t>
      </w:r>
      <w:proofErr w:type="gramEnd"/>
      <w:r w:rsidRPr="004307B1">
        <w:rPr>
          <w:lang w:val="en-GB" w:bidi="en-GB"/>
        </w:rPr>
        <w:t xml:space="preserve"> or intended to be selected by the Contracting Authority, or whether these values may have resulted from an error in the preparation of the Regulations.</w:t>
      </w:r>
    </w:p>
    <w:p w14:paraId="1C782D36" w14:textId="77777777" w:rsidR="009753E9" w:rsidRPr="004307B1" w:rsidRDefault="009753E9" w:rsidP="00610471">
      <w:pPr>
        <w:jc w:val="both"/>
        <w:rPr>
          <w:b/>
          <w:bCs/>
          <w:lang w:val="en-GB"/>
        </w:rPr>
      </w:pPr>
    </w:p>
    <w:p w14:paraId="1C51D2AB" w14:textId="77777777" w:rsidR="00193BC9" w:rsidRPr="004307B1" w:rsidRDefault="00193BC9" w:rsidP="00610471">
      <w:pPr>
        <w:jc w:val="both"/>
        <w:rPr>
          <w:b/>
          <w:bCs/>
          <w:lang w:val="en-GB"/>
        </w:rPr>
      </w:pPr>
    </w:p>
    <w:p w14:paraId="0A0BAD09" w14:textId="23159E96" w:rsidR="00193BC9" w:rsidRPr="004307B1" w:rsidRDefault="00931A18" w:rsidP="00610471">
      <w:pPr>
        <w:jc w:val="both"/>
        <w:rPr>
          <w:b/>
          <w:bCs/>
          <w:lang w:val="en-GB"/>
        </w:rPr>
      </w:pPr>
      <w:r w:rsidRPr="004307B1">
        <w:rPr>
          <w:b/>
          <w:lang w:val="en-GB" w:bidi="en-GB"/>
        </w:rPr>
        <w:t>Answer 11:</w:t>
      </w:r>
    </w:p>
    <w:p w14:paraId="345D9365" w14:textId="245D5AEB" w:rsidR="0058788E" w:rsidRPr="004307B1" w:rsidRDefault="0058788E" w:rsidP="00610471">
      <w:pPr>
        <w:ind w:firstLine="720"/>
        <w:jc w:val="both"/>
        <w:rPr>
          <w:lang w:val="en-GB"/>
        </w:rPr>
      </w:pPr>
      <w:r w:rsidRPr="004307B1">
        <w:rPr>
          <w:lang w:val="en-GB" w:bidi="en-GB"/>
        </w:rPr>
        <w:t>We clarify that Paragraphs B.9.4.2 and B.9.4.3 of the Technical Specification distinguish between two separate pieces of equipment: a video recorder (recording device) and a video monitor. The video recorder is a separate unit, usually housed in a lockable equipment compartment for data storage and processing, while the video monitor is installed at the driver's workstation to display the video image.</w:t>
      </w:r>
    </w:p>
    <w:p w14:paraId="1B1D747B" w14:textId="77F5F524" w:rsidR="00193BC9" w:rsidRPr="004307B1" w:rsidRDefault="0058788E" w:rsidP="00610471">
      <w:pPr>
        <w:ind w:firstLine="720"/>
        <w:jc w:val="both"/>
        <w:rPr>
          <w:lang w:val="en-GB"/>
        </w:rPr>
      </w:pPr>
      <w:r w:rsidRPr="004307B1">
        <w:rPr>
          <w:lang w:val="en-GB" w:bidi="en-GB"/>
        </w:rPr>
        <w:t>Consequently, the mounting space dimensions and mass requirements in Paragraph B.9.4.2 apply to the space provided for the installation of the video recorder, with sufficient space for the integration of solutions from different manufacturers. The requirements in Paragraph B.9.4.3 apply to a separate video monitor. The specified parameters are intended as minimum requirements to enable the installation of the equipment chosen by the Contracting Authority.</w:t>
      </w:r>
    </w:p>
    <w:p w14:paraId="5EF5F68D" w14:textId="77777777" w:rsidR="00753E40" w:rsidRPr="004307B1" w:rsidRDefault="00753E40" w:rsidP="00610471">
      <w:pPr>
        <w:ind w:firstLine="720"/>
        <w:jc w:val="both"/>
        <w:rPr>
          <w:lang w:val="en-GB"/>
        </w:rPr>
      </w:pPr>
    </w:p>
    <w:p w14:paraId="150EE452" w14:textId="77777777" w:rsidR="00193BC9" w:rsidRPr="004307B1" w:rsidRDefault="00193BC9" w:rsidP="00610471">
      <w:pPr>
        <w:jc w:val="both"/>
        <w:outlineLvl w:val="0"/>
        <w:rPr>
          <w:lang w:val="en-GB"/>
        </w:rPr>
      </w:pPr>
    </w:p>
    <w:p w14:paraId="1AC1D352" w14:textId="514145CB" w:rsidR="00193BC9" w:rsidRPr="004307B1" w:rsidRDefault="00931A18" w:rsidP="00610471">
      <w:pPr>
        <w:jc w:val="both"/>
        <w:rPr>
          <w:b/>
          <w:bCs/>
          <w:lang w:val="en-GB"/>
        </w:rPr>
      </w:pPr>
      <w:r w:rsidRPr="004307B1">
        <w:rPr>
          <w:b/>
          <w:lang w:val="en-GB" w:bidi="en-GB"/>
        </w:rPr>
        <w:t>Question 12:</w:t>
      </w:r>
    </w:p>
    <w:p w14:paraId="1495625A" w14:textId="77777777" w:rsidR="009753E9" w:rsidRPr="004307B1" w:rsidRDefault="009753E9" w:rsidP="00610471">
      <w:pPr>
        <w:jc w:val="both"/>
        <w:rPr>
          <w:lang w:val="en-GB"/>
        </w:rPr>
      </w:pPr>
      <w:r w:rsidRPr="004307B1">
        <w:rPr>
          <w:lang w:val="en-GB" w:bidi="en-GB"/>
        </w:rPr>
        <w:t>Clause B.9.9 of the Technical Specification (Documentation) requires the Supplier to provide complete installation documentation, including electrical schematics, data network topology diagrams, cable routing plans, installation drawings, and lists of wires, cables and fuses. The documentation shall be provided in either Latvian or English.</w:t>
      </w:r>
    </w:p>
    <w:p w14:paraId="41EACDD8" w14:textId="77777777" w:rsidR="009753E9" w:rsidRPr="004307B1" w:rsidRDefault="009753E9" w:rsidP="00610471">
      <w:pPr>
        <w:jc w:val="both"/>
        <w:rPr>
          <w:lang w:val="en-GB"/>
        </w:rPr>
      </w:pPr>
      <w:r w:rsidRPr="004307B1">
        <w:rPr>
          <w:lang w:val="en-GB" w:bidi="en-GB"/>
        </w:rPr>
        <w:t xml:space="preserve">This documentation is essentially the design documentation for the specific vehicle installation, resulting from the agreed solution between the Contracting Authority and the Supplier for the placement of the PIS, CCTV and other equipment supplied by the Contracting Authority in the </w:t>
      </w:r>
      <w:r w:rsidRPr="004307B1">
        <w:rPr>
          <w:lang w:val="en-GB" w:bidi="en-GB"/>
        </w:rPr>
        <w:lastRenderedPageBreak/>
        <w:t>vehicle. Pursuant to Paragraph B.9.1, these layouts and technical solutions are only agreed within six months following the entry into force of the contract, which means that the corresponding documentation cannot be prepared until the approval process has been completed.</w:t>
      </w:r>
    </w:p>
    <w:p w14:paraId="30D114D3" w14:textId="67E7B0D2" w:rsidR="00193BC9" w:rsidRPr="004307B1" w:rsidRDefault="009753E9" w:rsidP="00610471">
      <w:pPr>
        <w:jc w:val="both"/>
        <w:rPr>
          <w:lang w:val="en-GB"/>
        </w:rPr>
      </w:pPr>
      <w:r w:rsidRPr="004307B1">
        <w:rPr>
          <w:lang w:val="en-GB" w:bidi="en-GB"/>
        </w:rPr>
        <w:t>Therefore, we kindly request the Contracting Authority to confirm that the documentation referred to in Paragraph B.9.9 is not required to be submitted at the tender stage, but rather during contract performance, following completion of the six-month approval process referred to in Paragraph B.9.1 and prior to the commencement of vehicle production or the delivery of the first vehicle.</w:t>
      </w:r>
    </w:p>
    <w:p w14:paraId="6018B0F3" w14:textId="77777777" w:rsidR="00193BC9" w:rsidRPr="004307B1" w:rsidRDefault="00193BC9" w:rsidP="00610471">
      <w:pPr>
        <w:jc w:val="both"/>
        <w:rPr>
          <w:b/>
          <w:bCs/>
          <w:lang w:val="en-GB"/>
        </w:rPr>
      </w:pPr>
    </w:p>
    <w:p w14:paraId="2E49535D" w14:textId="005731A2" w:rsidR="00193BC9" w:rsidRPr="004307B1" w:rsidRDefault="00931A18" w:rsidP="00610471">
      <w:pPr>
        <w:jc w:val="both"/>
        <w:rPr>
          <w:b/>
          <w:bCs/>
          <w:lang w:val="en-GB"/>
        </w:rPr>
      </w:pPr>
      <w:r w:rsidRPr="004307B1">
        <w:rPr>
          <w:b/>
          <w:lang w:val="en-GB" w:bidi="en-GB"/>
        </w:rPr>
        <w:t>Answer 12:</w:t>
      </w:r>
    </w:p>
    <w:p w14:paraId="7369BFDD" w14:textId="28D99C57" w:rsidR="00A46CB4" w:rsidRPr="004307B1" w:rsidRDefault="00A46CB4" w:rsidP="00610471">
      <w:pPr>
        <w:ind w:firstLine="720"/>
        <w:jc w:val="both"/>
        <w:outlineLvl w:val="0"/>
        <w:rPr>
          <w:lang w:val="en-GB"/>
        </w:rPr>
      </w:pPr>
      <w:r w:rsidRPr="004307B1">
        <w:rPr>
          <w:lang w:val="en-GB" w:bidi="en-GB"/>
        </w:rPr>
        <w:t>The Contracting Authority clarifies that the documentation required by Paragraph B.9.9 of the Technical Specification is not to be submitted at the stage of preparation of the tender.</w:t>
      </w:r>
    </w:p>
    <w:p w14:paraId="649DF4B6" w14:textId="3AF27D84" w:rsidR="00193BC9" w:rsidRPr="004307B1" w:rsidRDefault="00A46CB4" w:rsidP="00610471">
      <w:pPr>
        <w:ind w:firstLine="720"/>
        <w:jc w:val="both"/>
        <w:outlineLvl w:val="0"/>
        <w:rPr>
          <w:lang w:val="en-GB"/>
        </w:rPr>
      </w:pPr>
      <w:r w:rsidRPr="004307B1">
        <w:rPr>
          <w:lang w:val="en-GB" w:bidi="en-GB"/>
        </w:rPr>
        <w:t>The aforementioned documentation shall be prepared during contract performance following the completion of the approval process specified in Paragraph B.9.1 of the Technical Specification (within six months of the Contract entering into force) and shall be submitted as part of the technical documentation in accordance with the provisions of the draft contract (no later than 20 working days prior to the delivery of the first vehicle).</w:t>
      </w:r>
    </w:p>
    <w:p w14:paraId="356CFDA9" w14:textId="77777777" w:rsidR="003B073D" w:rsidRPr="004307B1" w:rsidRDefault="003B073D" w:rsidP="00610471">
      <w:pPr>
        <w:jc w:val="both"/>
        <w:outlineLvl w:val="0"/>
        <w:rPr>
          <w:lang w:val="en-GB"/>
        </w:rPr>
      </w:pPr>
    </w:p>
    <w:p w14:paraId="4EDE2EE4" w14:textId="77777777" w:rsidR="003B073D" w:rsidRPr="004307B1" w:rsidRDefault="003B073D" w:rsidP="00610471">
      <w:pPr>
        <w:jc w:val="both"/>
        <w:outlineLvl w:val="0"/>
        <w:rPr>
          <w:lang w:val="en-GB"/>
        </w:rPr>
      </w:pPr>
    </w:p>
    <w:p w14:paraId="2241CE49" w14:textId="77777777" w:rsidR="00A46CB4" w:rsidRPr="004307B1" w:rsidRDefault="00A46CB4" w:rsidP="00610471">
      <w:pPr>
        <w:jc w:val="both"/>
        <w:outlineLvl w:val="0"/>
        <w:rPr>
          <w:lang w:val="en-GB"/>
        </w:rPr>
      </w:pPr>
    </w:p>
    <w:p w14:paraId="07EEC426" w14:textId="668C4200" w:rsidR="00193BC9" w:rsidRPr="004307B1" w:rsidRDefault="00931A18" w:rsidP="00610471">
      <w:pPr>
        <w:jc w:val="both"/>
        <w:rPr>
          <w:b/>
          <w:bCs/>
          <w:lang w:val="en-GB"/>
        </w:rPr>
      </w:pPr>
      <w:r w:rsidRPr="004307B1">
        <w:rPr>
          <w:b/>
          <w:lang w:val="en-GB" w:bidi="en-GB"/>
        </w:rPr>
        <w:t>Question 13:</w:t>
      </w:r>
    </w:p>
    <w:p w14:paraId="1CF08871" w14:textId="77777777" w:rsidR="003B073D" w:rsidRPr="004307B1" w:rsidRDefault="003B073D" w:rsidP="00610471">
      <w:pPr>
        <w:ind w:firstLine="720"/>
        <w:jc w:val="both"/>
        <w:rPr>
          <w:lang w:val="en-GB"/>
        </w:rPr>
      </w:pPr>
      <w:r w:rsidRPr="004307B1">
        <w:rPr>
          <w:lang w:val="en-GB" w:bidi="en-GB"/>
        </w:rPr>
        <w:t xml:space="preserve">Paragraph B.9.10 of the Technical Specification (Testing and Acceptance) provides that the Supplier shall perform functional testing of the installation prior to the delivery and acceptance of the vehicles, including verification of supply voltages, cable continuity testing, network communication and switching tests, as well as inspection of the mechanical integrity and quality of the designated installation locations. Finally, the Contracting Authority reserves the right, and the Supplier shall provide the opportunity, to carry out a factory trial installation and functional testing of all envisaged system equipment on the first vehicle prior to delivery. </w:t>
      </w:r>
    </w:p>
    <w:p w14:paraId="52AF21E7" w14:textId="77777777" w:rsidR="003B073D" w:rsidRPr="004307B1" w:rsidRDefault="003B073D" w:rsidP="00610471">
      <w:pPr>
        <w:ind w:firstLine="720"/>
        <w:jc w:val="both"/>
        <w:rPr>
          <w:lang w:val="en-GB"/>
        </w:rPr>
      </w:pPr>
      <w:r w:rsidRPr="004307B1">
        <w:rPr>
          <w:lang w:val="en-GB" w:bidi="en-GB"/>
        </w:rPr>
        <w:t xml:space="preserve">This requirement raises two fundamental questions. Firstly, the equipment referred to in Paragraph B.9 – including PIS displays, CCTV cameras, the video recorder, validators, the data communication router and other similar devices – does not consist of components manufactured as part of the vehicle manufacturer’s standard production series. Rather, these are additional items supplied by the Contracting Authority, which are not yet known at the stage of preparing the technical proposal and whose selection is made by the Contracting Authority outside the vehicle manufacturer’s control. Secondly, the structure of the procurement procedure allows the Tenderer to be either the vehicle manufacturer or a supplier that is not necessarily based at the vehicle manufacturing facility. Pursuant to Paragraphs 17.1.5 and 17.2.5 of the Regulations, the Tenderer may rely on the experience or technical capacities of another entity, including the manufacturer. Furthermore, the delivery, installation and testing activities may take place at a location other than the manufacturing facility. </w:t>
      </w:r>
    </w:p>
    <w:p w14:paraId="23B4865E" w14:textId="77777777" w:rsidR="003B073D" w:rsidRPr="004307B1" w:rsidRDefault="003B073D" w:rsidP="00610471">
      <w:pPr>
        <w:ind w:firstLine="720"/>
        <w:jc w:val="both"/>
        <w:rPr>
          <w:lang w:val="en-GB"/>
        </w:rPr>
      </w:pPr>
      <w:r w:rsidRPr="004307B1">
        <w:rPr>
          <w:lang w:val="en-GB" w:bidi="en-GB"/>
        </w:rPr>
        <w:t xml:space="preserve">In such circumstances, a requirement that trial installation and functional testing be performed exclusively at the manufacturing plant may have the effect of unduly restricting competition by disadvantaging Tenderers that are not themselves bus manufacturers or whose business model involves the installation and testing of equipment outside the manufacturing facility. </w:t>
      </w:r>
    </w:p>
    <w:p w14:paraId="5F9389C1" w14:textId="77777777" w:rsidR="003B073D" w:rsidRPr="004307B1" w:rsidRDefault="003B073D" w:rsidP="00610471">
      <w:pPr>
        <w:ind w:firstLine="720"/>
        <w:jc w:val="both"/>
        <w:rPr>
          <w:lang w:val="en-GB"/>
        </w:rPr>
      </w:pPr>
      <w:r w:rsidRPr="004307B1">
        <w:rPr>
          <w:lang w:val="en-GB" w:bidi="en-GB"/>
        </w:rPr>
        <w:t>Therefore, we kindly request the Contracting Authority to explain the technical or functional rationale for requiring that trial installation and functional testing be carried out specifically at the manufacturing plant, and to consider permitting such testing to be performed at a service centre in Latvia designated either by the Contracting Authority or the Supplier, where the equipment supplied by the Contracting Authority is available, or at another location selected by the Supplier and approved by the Contracting Authority.</w:t>
      </w:r>
    </w:p>
    <w:p w14:paraId="6860774B" w14:textId="77777777" w:rsidR="00193BC9" w:rsidRPr="004307B1" w:rsidRDefault="00193BC9" w:rsidP="00610471">
      <w:pPr>
        <w:jc w:val="both"/>
        <w:rPr>
          <w:b/>
          <w:bCs/>
          <w:lang w:val="en-GB"/>
        </w:rPr>
      </w:pPr>
    </w:p>
    <w:p w14:paraId="57CD5FDF" w14:textId="77777777" w:rsidR="00193BC9" w:rsidRPr="004307B1" w:rsidRDefault="00193BC9" w:rsidP="00610471">
      <w:pPr>
        <w:jc w:val="both"/>
        <w:rPr>
          <w:b/>
          <w:bCs/>
          <w:lang w:val="en-GB"/>
        </w:rPr>
      </w:pPr>
    </w:p>
    <w:p w14:paraId="7CE3CFDD" w14:textId="3DC806A3" w:rsidR="00193BC9" w:rsidRPr="004307B1" w:rsidRDefault="00931A18" w:rsidP="00610471">
      <w:pPr>
        <w:jc w:val="both"/>
        <w:rPr>
          <w:b/>
          <w:bCs/>
          <w:lang w:val="en-GB"/>
        </w:rPr>
      </w:pPr>
      <w:r w:rsidRPr="004307B1">
        <w:rPr>
          <w:b/>
          <w:lang w:val="en-GB" w:bidi="en-GB"/>
        </w:rPr>
        <w:lastRenderedPageBreak/>
        <w:t>Answer 13:</w:t>
      </w:r>
    </w:p>
    <w:p w14:paraId="54B9DB7D" w14:textId="77777777" w:rsidR="00704AF4" w:rsidRPr="004307B1" w:rsidRDefault="00704AF4" w:rsidP="00610471">
      <w:pPr>
        <w:ind w:firstLine="720"/>
        <w:jc w:val="both"/>
        <w:rPr>
          <w:lang w:val="en-GB"/>
        </w:rPr>
      </w:pPr>
      <w:r w:rsidRPr="004307B1">
        <w:rPr>
          <w:lang w:val="en-GB" w:bidi="en-GB"/>
        </w:rPr>
        <w:t>The Contracting Authority informs that additional time is required to evaluate the matter. Therefore, the deadline for providing a response to this question is extended until 19 June 2026.</w:t>
      </w:r>
    </w:p>
    <w:p w14:paraId="044CAB6B" w14:textId="77777777" w:rsidR="00193BC9" w:rsidRPr="004307B1" w:rsidRDefault="00193BC9" w:rsidP="00610471">
      <w:pPr>
        <w:ind w:firstLine="720"/>
        <w:jc w:val="both"/>
        <w:rPr>
          <w:lang w:val="en-GB"/>
        </w:rPr>
      </w:pPr>
    </w:p>
    <w:p w14:paraId="36588106" w14:textId="77777777" w:rsidR="000A47E6" w:rsidRPr="004307B1" w:rsidRDefault="000A47E6" w:rsidP="00610471">
      <w:pPr>
        <w:ind w:firstLine="720"/>
        <w:jc w:val="both"/>
        <w:rPr>
          <w:lang w:val="en-GB"/>
        </w:rPr>
      </w:pPr>
    </w:p>
    <w:p w14:paraId="3C6BCD4C" w14:textId="77777777" w:rsidR="000A47E6" w:rsidRPr="004307B1" w:rsidRDefault="000A47E6" w:rsidP="00610471">
      <w:pPr>
        <w:ind w:firstLine="720"/>
        <w:jc w:val="both"/>
        <w:rPr>
          <w:lang w:val="en-GB"/>
        </w:rPr>
      </w:pPr>
    </w:p>
    <w:p w14:paraId="06252962" w14:textId="77777777" w:rsidR="000A47E6" w:rsidRPr="004307B1" w:rsidRDefault="000A47E6" w:rsidP="00610471">
      <w:pPr>
        <w:ind w:firstLine="720"/>
        <w:jc w:val="both"/>
        <w:rPr>
          <w:lang w:val="en-GB"/>
        </w:rPr>
      </w:pPr>
    </w:p>
    <w:p w14:paraId="0EB319BB" w14:textId="77777777" w:rsidR="00193BC9" w:rsidRPr="004307B1" w:rsidRDefault="00193BC9" w:rsidP="00610471">
      <w:pPr>
        <w:jc w:val="both"/>
        <w:outlineLvl w:val="0"/>
        <w:rPr>
          <w:lang w:val="en-GB"/>
        </w:rPr>
      </w:pPr>
    </w:p>
    <w:p w14:paraId="41D52098" w14:textId="4743A480" w:rsidR="00193BC9" w:rsidRPr="004307B1" w:rsidRDefault="00931A18" w:rsidP="00610471">
      <w:pPr>
        <w:jc w:val="both"/>
        <w:rPr>
          <w:b/>
          <w:bCs/>
          <w:lang w:val="en-GB"/>
        </w:rPr>
      </w:pPr>
      <w:r w:rsidRPr="004307B1">
        <w:rPr>
          <w:b/>
          <w:lang w:val="en-GB" w:bidi="en-GB"/>
        </w:rPr>
        <w:t>Question 14:</w:t>
      </w:r>
    </w:p>
    <w:p w14:paraId="40C20C07" w14:textId="77777777" w:rsidR="00C01DAB" w:rsidRPr="004307B1" w:rsidRDefault="00C01DAB" w:rsidP="00610471">
      <w:pPr>
        <w:jc w:val="both"/>
        <w:rPr>
          <w:lang w:val="en-GB"/>
        </w:rPr>
      </w:pPr>
      <w:r w:rsidRPr="004307B1">
        <w:rPr>
          <w:lang w:val="en-GB" w:bidi="en-GB"/>
        </w:rPr>
        <w:t>Paragraph C.1 (Maintenance) of the Technical Specification stipulates, inter alia, that "wear parts that are subject to natural degradation and are non-replaceable shall serve for at least one technical maintenance interval."</w:t>
      </w:r>
    </w:p>
    <w:p w14:paraId="6F5430D9" w14:textId="77777777" w:rsidR="00C01DAB" w:rsidRPr="004307B1" w:rsidRDefault="00C01DAB" w:rsidP="00610471">
      <w:pPr>
        <w:jc w:val="both"/>
        <w:rPr>
          <w:lang w:val="en-GB"/>
        </w:rPr>
      </w:pPr>
      <w:r w:rsidRPr="004307B1">
        <w:rPr>
          <w:lang w:val="en-GB" w:bidi="en-GB"/>
        </w:rPr>
        <w:t>This requirement creates interpretive ambiguity. The lifetime of some of the vehicle's wearing parts is not linked to maintenance intervals in terms of time or mileage, but to the intensity and conditions of use. For example, the lifetime of a windscreen wiper blade depends on environmental conditions, weather conditions, frequency of use, not on the maintenance interval or mileage. A strict interpretation could mean that the Supplier must guarantee that, for example, the windscreen wiper blade does not wear out under any circumstances before the maintenance interval, which is technically impossible to ensure.</w:t>
      </w:r>
    </w:p>
    <w:p w14:paraId="27084EB7" w14:textId="0BE2D98A" w:rsidR="00193BC9" w:rsidRPr="004307B1" w:rsidRDefault="00C01DAB" w:rsidP="00610471">
      <w:pPr>
        <w:jc w:val="both"/>
        <w:rPr>
          <w:lang w:val="en-GB"/>
        </w:rPr>
      </w:pPr>
      <w:r w:rsidRPr="004307B1">
        <w:rPr>
          <w:lang w:val="en-GB" w:bidi="en-GB"/>
        </w:rPr>
        <w:t>Therefore, we kindly request the Contracting Authority to clarify the scope of this requirement, namely whether it applies only to those components whose service life is directly linked to maintenance interval parameters (time or mileage</w:t>
      </w:r>
      <w:proofErr w:type="gramStart"/>
      <w:r w:rsidRPr="004307B1">
        <w:rPr>
          <w:lang w:val="en-GB" w:bidi="en-GB"/>
        </w:rPr>
        <w:t>)</w:t>
      </w:r>
      <w:proofErr w:type="gramEnd"/>
      <w:r w:rsidRPr="004307B1">
        <w:rPr>
          <w:lang w:val="en-GB" w:bidi="en-GB"/>
        </w:rPr>
        <w:t xml:space="preserve"> and which are identified in the manufacturer’s maintenance schedule with a specified service life. The same applies to how such a claim is verified and how it affects the </w:t>
      </w:r>
      <w:proofErr w:type="gramStart"/>
      <w:r w:rsidRPr="004307B1">
        <w:rPr>
          <w:lang w:val="en-GB" w:bidi="en-GB"/>
        </w:rPr>
        <w:t>guarantee</w:t>
      </w:r>
      <w:proofErr w:type="gramEnd"/>
      <w:r w:rsidRPr="004307B1">
        <w:rPr>
          <w:lang w:val="en-GB" w:bidi="en-GB"/>
        </w:rPr>
        <w:t xml:space="preserve"> obligations.</w:t>
      </w:r>
    </w:p>
    <w:p w14:paraId="04C07835" w14:textId="77777777" w:rsidR="00193BC9" w:rsidRPr="004307B1" w:rsidRDefault="00193BC9" w:rsidP="00610471">
      <w:pPr>
        <w:jc w:val="both"/>
        <w:rPr>
          <w:b/>
          <w:bCs/>
          <w:lang w:val="en-GB"/>
        </w:rPr>
      </w:pPr>
    </w:p>
    <w:p w14:paraId="66D045CB" w14:textId="72DA3B57" w:rsidR="00193BC9" w:rsidRPr="004307B1" w:rsidRDefault="00931A18" w:rsidP="00610471">
      <w:pPr>
        <w:jc w:val="both"/>
        <w:rPr>
          <w:b/>
          <w:bCs/>
          <w:lang w:val="en-GB"/>
        </w:rPr>
      </w:pPr>
      <w:r w:rsidRPr="004307B1">
        <w:rPr>
          <w:b/>
          <w:lang w:val="en-GB" w:bidi="en-GB"/>
        </w:rPr>
        <w:t>Answer 14:</w:t>
      </w:r>
    </w:p>
    <w:p w14:paraId="59A1084F" w14:textId="77777777" w:rsidR="00A26D83" w:rsidRPr="004307B1" w:rsidRDefault="00A26D83" w:rsidP="00610471">
      <w:pPr>
        <w:ind w:firstLine="720"/>
        <w:jc w:val="both"/>
        <w:rPr>
          <w:lang w:val="en-GB"/>
        </w:rPr>
      </w:pPr>
      <w:r w:rsidRPr="004307B1">
        <w:rPr>
          <w:lang w:val="en-GB" w:bidi="en-GB"/>
        </w:rPr>
        <w:t>The requirement regarding component service life set out in Paragraph C.1 of the Technical Specification applies to those components whose replacement is specified in the manufacturer’s maintenance programme and whose service life is directly associated with a defined maintenance interval (time or mileage). The requirement does not apply to parts whose wear is directly related to the conditions of use, the intensity of use or the external environment (e.g. windscreen wiper blades, etc.).</w:t>
      </w:r>
    </w:p>
    <w:p w14:paraId="11C8B4B7" w14:textId="77777777" w:rsidR="00A26D83" w:rsidRPr="004307B1" w:rsidRDefault="00A26D83" w:rsidP="00610471">
      <w:pPr>
        <w:ind w:firstLine="720"/>
        <w:jc w:val="both"/>
        <w:rPr>
          <w:lang w:val="en-GB"/>
        </w:rPr>
      </w:pPr>
      <w:r w:rsidRPr="004307B1">
        <w:rPr>
          <w:lang w:val="en-GB" w:bidi="en-GB"/>
        </w:rPr>
        <w:t>The objective of this requirement is to ensure that components covered by the manufacturer’s maintenance schedule achieve their intended operational life and are not required to be replaced more frequently than the maintenance intervals specified in the applicable maintenance programme when operated under normal operating conditions.</w:t>
      </w:r>
    </w:p>
    <w:p w14:paraId="61F75777" w14:textId="5BC9872D" w:rsidR="00193BC9" w:rsidRPr="004307B1" w:rsidRDefault="00A26D83" w:rsidP="00610471">
      <w:pPr>
        <w:ind w:firstLine="720"/>
        <w:jc w:val="both"/>
        <w:rPr>
          <w:lang w:val="en-GB"/>
        </w:rPr>
      </w:pPr>
      <w:r w:rsidRPr="004307B1">
        <w:rPr>
          <w:lang w:val="en-GB" w:bidi="en-GB"/>
        </w:rPr>
        <w:t xml:space="preserve">Compliance with this requirement is assessed </w:t>
      </w:r>
      <w:proofErr w:type="gramStart"/>
      <w:r w:rsidRPr="004307B1">
        <w:rPr>
          <w:lang w:val="en-GB" w:bidi="en-GB"/>
        </w:rPr>
        <w:t>on the basis of</w:t>
      </w:r>
      <w:proofErr w:type="gramEnd"/>
      <w:r w:rsidRPr="004307B1">
        <w:rPr>
          <w:lang w:val="en-GB" w:bidi="en-GB"/>
        </w:rPr>
        <w:t xml:space="preserve"> the manufacturer's maintenance documentation and operating conditions.</w:t>
      </w:r>
    </w:p>
    <w:p w14:paraId="679EF766" w14:textId="77777777" w:rsidR="00A26D83" w:rsidRPr="004307B1" w:rsidRDefault="00A26D83" w:rsidP="00610471">
      <w:pPr>
        <w:ind w:firstLine="720"/>
        <w:jc w:val="both"/>
        <w:rPr>
          <w:lang w:val="en-GB"/>
        </w:rPr>
      </w:pPr>
    </w:p>
    <w:p w14:paraId="2475D6A8" w14:textId="77777777" w:rsidR="00A26D83" w:rsidRPr="004307B1" w:rsidRDefault="00A26D83" w:rsidP="00610471">
      <w:pPr>
        <w:ind w:firstLine="720"/>
        <w:jc w:val="both"/>
        <w:rPr>
          <w:lang w:val="en-GB"/>
        </w:rPr>
      </w:pPr>
    </w:p>
    <w:p w14:paraId="7DC9CD47" w14:textId="77777777" w:rsidR="00193BC9" w:rsidRPr="004307B1" w:rsidRDefault="00193BC9" w:rsidP="00610471">
      <w:pPr>
        <w:jc w:val="both"/>
        <w:outlineLvl w:val="0"/>
        <w:rPr>
          <w:lang w:val="en-GB"/>
        </w:rPr>
      </w:pPr>
    </w:p>
    <w:p w14:paraId="51790A5A" w14:textId="5CEE1EE6" w:rsidR="00193BC9" w:rsidRPr="004307B1" w:rsidRDefault="00931A18" w:rsidP="00610471">
      <w:pPr>
        <w:jc w:val="both"/>
        <w:rPr>
          <w:b/>
          <w:bCs/>
          <w:lang w:val="en-GB"/>
        </w:rPr>
      </w:pPr>
      <w:r w:rsidRPr="004307B1">
        <w:rPr>
          <w:b/>
          <w:lang w:val="en-GB" w:bidi="en-GB"/>
        </w:rPr>
        <w:t>Question 15:</w:t>
      </w:r>
    </w:p>
    <w:p w14:paraId="26FF046C" w14:textId="77777777" w:rsidR="00C01DAB" w:rsidRPr="004307B1" w:rsidRDefault="00C01DAB" w:rsidP="00610471">
      <w:pPr>
        <w:jc w:val="both"/>
        <w:rPr>
          <w:lang w:val="en-GB"/>
        </w:rPr>
      </w:pPr>
      <w:r w:rsidRPr="004307B1">
        <w:rPr>
          <w:lang w:val="en-GB" w:bidi="en-GB"/>
        </w:rPr>
        <w:t xml:space="preserve">Paragraph C.2.1 of the Technical Specification (Spare Parts for Periodic Maintenance) requires that the Supplier shall provide a spare parts kit for the periodic maintenance of all vehicles supplied under the contract during the warranty period, comprising wear parts and consumables, together with one spare wheel. </w:t>
      </w:r>
    </w:p>
    <w:p w14:paraId="263D98D1" w14:textId="20596001" w:rsidR="00193BC9" w:rsidRPr="004307B1" w:rsidRDefault="00C01DAB" w:rsidP="00610471">
      <w:pPr>
        <w:jc w:val="both"/>
        <w:rPr>
          <w:lang w:val="en-GB"/>
        </w:rPr>
      </w:pPr>
      <w:r w:rsidRPr="004307B1">
        <w:rPr>
          <w:lang w:val="en-GB" w:bidi="en-GB"/>
        </w:rPr>
        <w:t xml:space="preserve">This requirement creates two ambiguities. First, it is not clear from the wording whether one set is foreseen for the whole batch of buses covered by the contract (60 buses) or one set for each individual bus. The difference between these options is significant, both in the price of the financial proposal (multiplicative difference of the kit) and in the logistics. Secondly, the term “warranty period” used in the wording is ambiguous. Section E of the Technical Specification establishes several parallel warranty periods, including the vehicle’s basic warranty (3 years or 210,000 km), </w:t>
      </w:r>
      <w:r w:rsidRPr="004307B1">
        <w:rPr>
          <w:lang w:val="en-GB" w:bidi="en-GB"/>
        </w:rPr>
        <w:lastRenderedPageBreak/>
        <w:t>the traction battery warranty (10 years, SOH ≥ 70%), the body corrosion warranty (10 years), and the warranty relating to diagnostic software and service data (10 years). In addition, Paragraph A.15 provides for a minimum design service life of 12 years for the vehicle, while the actual warranty period may differ depending on the warranty offered by the Tenderer, including where additional evaluation points are awarded for an extended warranty period (for example, 5 years).</w:t>
      </w:r>
    </w:p>
    <w:p w14:paraId="23EC2638" w14:textId="35E2E42A" w:rsidR="00C01DAB" w:rsidRPr="004307B1" w:rsidRDefault="00C01DAB" w:rsidP="00610471">
      <w:pPr>
        <w:jc w:val="both"/>
        <w:rPr>
          <w:lang w:val="en-GB"/>
        </w:rPr>
      </w:pPr>
      <w:r w:rsidRPr="004307B1">
        <w:rPr>
          <w:lang w:val="en-GB" w:bidi="en-GB"/>
        </w:rPr>
        <w:t>Therefore, we kindly request the Contracting Authority to clarify: 1) whether the required spare parts kit constitutes a single common kit for the entire fleet of vehicles supplied under the contract (60 buses), or whether a separate kit is required for each individual vehicle; 2) to which warranty period the requirement to provide such a spare parts kit relates, namely the basic warranty period of 3 years or 210,000 km, the 10-year traction battery warranty, or another warranty period. The calculation of the financial proposal under item 3 (spare parts kit for maintenance) and the comparability of the offer between tenderers depend directly on these answers.</w:t>
      </w:r>
    </w:p>
    <w:p w14:paraId="241C41AD" w14:textId="77777777" w:rsidR="00193BC9" w:rsidRPr="004307B1" w:rsidRDefault="00193BC9" w:rsidP="00610471">
      <w:pPr>
        <w:jc w:val="both"/>
        <w:rPr>
          <w:b/>
          <w:bCs/>
          <w:lang w:val="en-GB"/>
        </w:rPr>
      </w:pPr>
    </w:p>
    <w:p w14:paraId="6B1042B7" w14:textId="6BC8D647" w:rsidR="00193BC9" w:rsidRPr="004307B1" w:rsidRDefault="00931A18" w:rsidP="00610471">
      <w:pPr>
        <w:jc w:val="both"/>
        <w:rPr>
          <w:b/>
          <w:bCs/>
          <w:lang w:val="en-GB"/>
        </w:rPr>
      </w:pPr>
      <w:r w:rsidRPr="004307B1">
        <w:rPr>
          <w:b/>
          <w:lang w:val="en-GB" w:bidi="en-GB"/>
        </w:rPr>
        <w:t>Answer 15:</w:t>
      </w:r>
    </w:p>
    <w:p w14:paraId="4695C252" w14:textId="7EEEB143" w:rsidR="00193BC9" w:rsidRPr="004307B1" w:rsidRDefault="00B519F3" w:rsidP="00610471">
      <w:pPr>
        <w:ind w:firstLine="720"/>
        <w:jc w:val="both"/>
        <w:rPr>
          <w:lang w:val="en-GB"/>
        </w:rPr>
      </w:pPr>
      <w:r w:rsidRPr="004307B1">
        <w:rPr>
          <w:lang w:val="en-GB" w:bidi="en-GB"/>
        </w:rPr>
        <w:t>The Contracting Authority informs that additional time is required to evaluate the matter. Therefore, the deadline for providing a response to this question is extended until 19 June 2026.</w:t>
      </w:r>
    </w:p>
    <w:p w14:paraId="50E10C59" w14:textId="77777777" w:rsidR="00B519F3" w:rsidRPr="004307B1" w:rsidRDefault="00B519F3" w:rsidP="00610471">
      <w:pPr>
        <w:ind w:firstLine="720"/>
        <w:jc w:val="both"/>
        <w:rPr>
          <w:lang w:val="en-GB"/>
        </w:rPr>
      </w:pPr>
    </w:p>
    <w:p w14:paraId="6F81F9F5" w14:textId="77777777" w:rsidR="00B519F3" w:rsidRPr="004307B1" w:rsidRDefault="00B519F3" w:rsidP="00610471">
      <w:pPr>
        <w:ind w:firstLine="720"/>
        <w:jc w:val="both"/>
        <w:rPr>
          <w:lang w:val="en-GB"/>
        </w:rPr>
      </w:pPr>
    </w:p>
    <w:p w14:paraId="3C1374EA" w14:textId="77777777" w:rsidR="00193BC9" w:rsidRPr="004307B1" w:rsidRDefault="00193BC9" w:rsidP="00610471">
      <w:pPr>
        <w:jc w:val="both"/>
        <w:outlineLvl w:val="0"/>
        <w:rPr>
          <w:lang w:val="en-GB"/>
        </w:rPr>
      </w:pPr>
    </w:p>
    <w:p w14:paraId="1996C30F" w14:textId="0D122E40" w:rsidR="00193BC9" w:rsidRPr="004307B1" w:rsidRDefault="00931A18" w:rsidP="00610471">
      <w:pPr>
        <w:jc w:val="both"/>
        <w:rPr>
          <w:b/>
          <w:bCs/>
          <w:lang w:val="en-GB"/>
        </w:rPr>
      </w:pPr>
      <w:r w:rsidRPr="004307B1">
        <w:rPr>
          <w:b/>
          <w:lang w:val="en-GB" w:bidi="en-GB"/>
        </w:rPr>
        <w:t>Question 16:</w:t>
      </w:r>
    </w:p>
    <w:p w14:paraId="2C35D965" w14:textId="77777777" w:rsidR="00C01DAB" w:rsidRPr="004307B1" w:rsidRDefault="00C01DAB" w:rsidP="00610471">
      <w:pPr>
        <w:jc w:val="both"/>
        <w:rPr>
          <w:lang w:val="en-GB"/>
        </w:rPr>
      </w:pPr>
      <w:r w:rsidRPr="004307B1">
        <w:rPr>
          <w:lang w:val="en-GB" w:bidi="en-GB"/>
        </w:rPr>
        <w:t xml:space="preserve">Paragraph C.2.2 of the Technical Specification (Spare Parts Rotating Stock) requires the Tenderer to submit, as part of the technical proposal, a list of spare parts intended for the rotating stock, including a complete inventory of the parts to be supplied, their catalogue numbers and pricing information. </w:t>
      </w:r>
    </w:p>
    <w:p w14:paraId="28E1C638" w14:textId="77777777" w:rsidR="00C01DAB" w:rsidRPr="004307B1" w:rsidRDefault="00C01DAB" w:rsidP="00610471">
      <w:pPr>
        <w:jc w:val="both"/>
        <w:rPr>
          <w:lang w:val="en-GB"/>
        </w:rPr>
      </w:pPr>
      <w:r w:rsidRPr="004307B1">
        <w:rPr>
          <w:lang w:val="en-GB" w:bidi="en-GB"/>
        </w:rPr>
        <w:t xml:space="preserve">The content of the term "pricing information" is not clear from the wording. The possible interpretations of this requirement vary substantially in terms of their scope and the financial risk imposed on the Tenderer. In particular, it is unclear whether the requirement relates to the unit price of a spare part at the time the spare parts stock is supplied, to a price that the Supplier undertakes to maintain for future orders following the depletion of the stock, or to the pricing methodology, indexation mechanisms and price development applicable throughout the vehicle’s service life, together with any corresponding commitments assumed by the Contracting Authority on the basis of such information. </w:t>
      </w:r>
    </w:p>
    <w:p w14:paraId="787E139A" w14:textId="77777777" w:rsidR="00C01DAB" w:rsidRPr="004307B1" w:rsidRDefault="00C01DAB" w:rsidP="00610471">
      <w:pPr>
        <w:jc w:val="both"/>
        <w:rPr>
          <w:lang w:val="en-GB"/>
        </w:rPr>
      </w:pPr>
      <w:r w:rsidRPr="004307B1">
        <w:rPr>
          <w:lang w:val="en-GB" w:bidi="en-GB"/>
        </w:rPr>
        <w:t xml:space="preserve">The differences between these interpretations are significant. The indication of a simple unit price at the time of delivery is a technical document. A commitment to maintain prices for future additional orders constitutes a commercial obligation that directly affects both the evaluation of the financial proposal and the Supplier’s risk management, as future spare parts costs depend on changes in raw material prices, exchange rates, modifications to the manufacturer’s product range and other external factors. </w:t>
      </w:r>
    </w:p>
    <w:p w14:paraId="17C3032B" w14:textId="77777777" w:rsidR="00C01DAB" w:rsidRPr="004307B1" w:rsidRDefault="00C01DAB" w:rsidP="00610471">
      <w:pPr>
        <w:jc w:val="both"/>
        <w:rPr>
          <w:lang w:val="en-GB"/>
        </w:rPr>
      </w:pPr>
      <w:r w:rsidRPr="004307B1">
        <w:rPr>
          <w:lang w:val="en-GB" w:bidi="en-GB"/>
        </w:rPr>
        <w:t xml:space="preserve">We therefore request the Contracting Authority to clarify exactly what price information, within the meaning of Paragraph C.2.2, is to be provided in the technical tender: </w:t>
      </w:r>
    </w:p>
    <w:p w14:paraId="0C8F5BDD" w14:textId="2557D739" w:rsidR="00193BC9" w:rsidRPr="004307B1" w:rsidRDefault="00C01DAB" w:rsidP="00610471">
      <w:pPr>
        <w:jc w:val="both"/>
        <w:rPr>
          <w:lang w:val="en-GB"/>
        </w:rPr>
      </w:pPr>
      <w:r w:rsidRPr="004307B1">
        <w:rPr>
          <w:lang w:val="en-GB" w:bidi="en-GB"/>
        </w:rPr>
        <w:t>1) is a specific unit price at the time of delivery of the rotating stock sufficient? 2) whether the Tenderer is also required to provide a price indexation mechanism and pricing adjustment methodology; 3) whether the prices quoted for the specified spare parts must also be maintained by the Supplier for additional orders placed after the spare parts rotating stock has been depleted and, if so, for what period of time and subject to what indexation conditions. This clarification is necessary to allow tenderers to prepare comparable tenders and to ensure that the Contracting Authority receives clear commercial terms.</w:t>
      </w:r>
    </w:p>
    <w:p w14:paraId="72C3ECD2" w14:textId="77777777" w:rsidR="00193BC9" w:rsidRPr="004307B1" w:rsidRDefault="00193BC9" w:rsidP="00610471">
      <w:pPr>
        <w:jc w:val="both"/>
        <w:rPr>
          <w:b/>
          <w:bCs/>
          <w:lang w:val="en-GB"/>
        </w:rPr>
      </w:pPr>
    </w:p>
    <w:p w14:paraId="616135B0" w14:textId="146BC703" w:rsidR="00193BC9" w:rsidRPr="004307B1" w:rsidRDefault="00931A18" w:rsidP="00610471">
      <w:pPr>
        <w:jc w:val="both"/>
        <w:rPr>
          <w:b/>
          <w:bCs/>
          <w:lang w:val="en-GB"/>
        </w:rPr>
      </w:pPr>
      <w:r w:rsidRPr="004307B1">
        <w:rPr>
          <w:b/>
          <w:lang w:val="en-GB" w:bidi="en-GB"/>
        </w:rPr>
        <w:t>Answer 16:</w:t>
      </w:r>
    </w:p>
    <w:p w14:paraId="135347EE" w14:textId="723A9A90" w:rsidR="00193BC9" w:rsidRPr="004307B1" w:rsidRDefault="00E80D98" w:rsidP="00610471">
      <w:pPr>
        <w:ind w:firstLine="720"/>
        <w:jc w:val="both"/>
        <w:rPr>
          <w:lang w:val="en-GB"/>
        </w:rPr>
      </w:pPr>
      <w:r w:rsidRPr="004307B1">
        <w:rPr>
          <w:lang w:val="en-GB" w:bidi="en-GB"/>
        </w:rPr>
        <w:t>The Contracting Authority informs that additional time is required to evaluate the matter. Therefore, the deadline for providing a response to this question is extended until 19 June 2026.</w:t>
      </w:r>
    </w:p>
    <w:p w14:paraId="720CCB51" w14:textId="77777777" w:rsidR="00E80D98" w:rsidRPr="004307B1" w:rsidRDefault="00E80D98" w:rsidP="00610471">
      <w:pPr>
        <w:ind w:firstLine="720"/>
        <w:jc w:val="both"/>
        <w:rPr>
          <w:lang w:val="en-GB"/>
        </w:rPr>
      </w:pPr>
    </w:p>
    <w:p w14:paraId="43AB3180" w14:textId="77777777" w:rsidR="00193BC9" w:rsidRPr="004307B1" w:rsidRDefault="00193BC9" w:rsidP="00610471">
      <w:pPr>
        <w:jc w:val="both"/>
        <w:outlineLvl w:val="0"/>
        <w:rPr>
          <w:lang w:val="en-GB"/>
        </w:rPr>
      </w:pPr>
    </w:p>
    <w:p w14:paraId="53B4DD13" w14:textId="77777777" w:rsidR="00994B21" w:rsidRPr="004307B1" w:rsidRDefault="00994B21" w:rsidP="00610471">
      <w:pPr>
        <w:jc w:val="both"/>
        <w:outlineLvl w:val="0"/>
        <w:rPr>
          <w:lang w:val="en-GB"/>
        </w:rPr>
      </w:pPr>
    </w:p>
    <w:p w14:paraId="0937543B" w14:textId="05BE7A30" w:rsidR="00193BC9" w:rsidRPr="004307B1" w:rsidRDefault="00931A18" w:rsidP="00610471">
      <w:pPr>
        <w:jc w:val="both"/>
        <w:rPr>
          <w:b/>
          <w:bCs/>
          <w:lang w:val="en-GB"/>
        </w:rPr>
      </w:pPr>
      <w:r w:rsidRPr="004307B1">
        <w:rPr>
          <w:b/>
          <w:lang w:val="en-GB" w:bidi="en-GB"/>
        </w:rPr>
        <w:t>Question 17:</w:t>
      </w:r>
    </w:p>
    <w:p w14:paraId="4DD6376E" w14:textId="77777777" w:rsidR="00372B0A" w:rsidRPr="004307B1" w:rsidRDefault="00372B0A" w:rsidP="00610471">
      <w:pPr>
        <w:jc w:val="both"/>
        <w:rPr>
          <w:lang w:val="en-GB"/>
        </w:rPr>
      </w:pPr>
      <w:r w:rsidRPr="004307B1">
        <w:rPr>
          <w:lang w:val="en-GB" w:bidi="en-GB"/>
        </w:rPr>
        <w:t xml:space="preserve">Paragraph A.6 of the Technical Specification requires the vehicle to achieve a driving range of not less than 130 km even when the traction battery state of health (SOH) has degraded to no less than 70%. Paragraph E.2 provides for a 10-year warranty for the traction battery, with a guaranteed state of health (SOH) of not less than 70%, while Paragraph A.15 establishes a minimum design service life of 12 years for the vehicle. </w:t>
      </w:r>
    </w:p>
    <w:p w14:paraId="676F413E" w14:textId="2E194D81" w:rsidR="00193BC9" w:rsidRPr="004307B1" w:rsidRDefault="00372B0A" w:rsidP="00610471">
      <w:pPr>
        <w:jc w:val="both"/>
        <w:rPr>
          <w:lang w:val="en-GB"/>
        </w:rPr>
      </w:pPr>
      <w:r w:rsidRPr="004307B1">
        <w:rPr>
          <w:lang w:val="en-GB" w:bidi="en-GB"/>
        </w:rPr>
        <w:t>We kindly request the Contracting Authority to clarify and confirm the period to which the SOH ≥ 70% requirement is intended to apply, specifically whether this requirement relates to the traction battery warranty period of 10 years or to the vehicle’s minimum design service life of 12 years.</w:t>
      </w:r>
    </w:p>
    <w:p w14:paraId="3226E062" w14:textId="77777777" w:rsidR="00193BC9" w:rsidRPr="004307B1" w:rsidRDefault="00193BC9" w:rsidP="00610471">
      <w:pPr>
        <w:jc w:val="both"/>
        <w:rPr>
          <w:b/>
          <w:bCs/>
          <w:lang w:val="en-GB"/>
        </w:rPr>
      </w:pPr>
    </w:p>
    <w:p w14:paraId="187AE8EB" w14:textId="77622A79" w:rsidR="00193BC9" w:rsidRPr="004307B1" w:rsidRDefault="00931A18" w:rsidP="00610471">
      <w:pPr>
        <w:jc w:val="both"/>
        <w:rPr>
          <w:b/>
          <w:bCs/>
          <w:lang w:val="en-GB"/>
        </w:rPr>
      </w:pPr>
      <w:r w:rsidRPr="004307B1">
        <w:rPr>
          <w:b/>
          <w:lang w:val="en-GB" w:bidi="en-GB"/>
        </w:rPr>
        <w:t>Answer 17:</w:t>
      </w:r>
    </w:p>
    <w:p w14:paraId="237D86E6" w14:textId="05ABE86F" w:rsidR="004A66C9" w:rsidRPr="004307B1" w:rsidRDefault="004A66C9" w:rsidP="00610471">
      <w:pPr>
        <w:ind w:firstLine="720"/>
        <w:jc w:val="both"/>
        <w:rPr>
          <w:lang w:val="en-GB"/>
        </w:rPr>
      </w:pPr>
      <w:r w:rsidRPr="004307B1">
        <w:rPr>
          <w:lang w:val="en-GB" w:bidi="en-GB"/>
        </w:rPr>
        <w:t>The Contracting Authority clarifies that the requirement concerning the traction battery state of health (SOH ≥ 70%) applies to the traction battery warranty period specified in Paragraph E.2 of the Technical Specification (at least 10 years).</w:t>
      </w:r>
    </w:p>
    <w:p w14:paraId="21ACF8BA" w14:textId="77777777" w:rsidR="004A66C9" w:rsidRPr="004307B1" w:rsidRDefault="004A66C9" w:rsidP="00610471">
      <w:pPr>
        <w:ind w:firstLine="720"/>
        <w:jc w:val="both"/>
        <w:rPr>
          <w:lang w:val="en-GB"/>
        </w:rPr>
      </w:pPr>
      <w:r w:rsidRPr="004307B1">
        <w:rPr>
          <w:lang w:val="en-GB" w:bidi="en-GB"/>
        </w:rPr>
        <w:t>Accordingly, the minimum driving range requirement set out in Paragraph A.6 of the Technical Specification at the specified SOH level shall be interpreted in conjunction with the traction battery warranty period.</w:t>
      </w:r>
    </w:p>
    <w:p w14:paraId="29105E5D" w14:textId="03CEC2E1" w:rsidR="00193BC9" w:rsidRPr="004307B1" w:rsidRDefault="004A66C9" w:rsidP="00610471">
      <w:pPr>
        <w:ind w:firstLine="720"/>
        <w:jc w:val="both"/>
        <w:rPr>
          <w:lang w:val="en-GB"/>
        </w:rPr>
      </w:pPr>
      <w:r w:rsidRPr="004307B1">
        <w:rPr>
          <w:lang w:val="en-GB" w:bidi="en-GB"/>
        </w:rPr>
        <w:t>The vehicle’s design service life as specified in Paragraph A.14 of the Technical Specification is not associated with any requirement to maintain a particular state of health (SOH) level.</w:t>
      </w:r>
    </w:p>
    <w:p w14:paraId="5ECD68B8" w14:textId="77777777" w:rsidR="00193BC9" w:rsidRPr="004307B1" w:rsidRDefault="00193BC9" w:rsidP="00610471">
      <w:pPr>
        <w:jc w:val="both"/>
        <w:outlineLvl w:val="0"/>
        <w:rPr>
          <w:lang w:val="en-GB"/>
        </w:rPr>
      </w:pPr>
    </w:p>
    <w:p w14:paraId="45061AE7" w14:textId="77777777" w:rsidR="004A66C9" w:rsidRPr="004307B1" w:rsidRDefault="004A66C9" w:rsidP="00610471">
      <w:pPr>
        <w:jc w:val="both"/>
        <w:outlineLvl w:val="0"/>
        <w:rPr>
          <w:lang w:val="en-GB"/>
        </w:rPr>
      </w:pPr>
    </w:p>
    <w:p w14:paraId="228CAC71" w14:textId="77777777" w:rsidR="004A66C9" w:rsidRPr="004307B1" w:rsidRDefault="004A66C9" w:rsidP="00610471">
      <w:pPr>
        <w:jc w:val="both"/>
        <w:outlineLvl w:val="0"/>
        <w:rPr>
          <w:lang w:val="en-GB"/>
        </w:rPr>
      </w:pPr>
    </w:p>
    <w:p w14:paraId="67989379" w14:textId="7D611C82" w:rsidR="00193BC9" w:rsidRPr="004307B1" w:rsidRDefault="00931A18" w:rsidP="00610471">
      <w:pPr>
        <w:jc w:val="both"/>
        <w:rPr>
          <w:b/>
          <w:bCs/>
          <w:lang w:val="en-GB"/>
        </w:rPr>
      </w:pPr>
      <w:r w:rsidRPr="004307B1">
        <w:rPr>
          <w:b/>
          <w:lang w:val="en-GB" w:bidi="en-GB"/>
        </w:rPr>
        <w:t>Question 18:</w:t>
      </w:r>
    </w:p>
    <w:p w14:paraId="6AD82FC5" w14:textId="77777777" w:rsidR="00372B0A" w:rsidRPr="004307B1" w:rsidRDefault="00372B0A" w:rsidP="00610471">
      <w:pPr>
        <w:jc w:val="both"/>
        <w:rPr>
          <w:lang w:val="en-GB"/>
        </w:rPr>
      </w:pPr>
      <w:r w:rsidRPr="004307B1">
        <w:rPr>
          <w:lang w:val="en-GB" w:bidi="en-GB"/>
        </w:rPr>
        <w:t xml:space="preserve">Paragraph E.3 (Fault Diagnosis and Troubleshooting) of the Technical Specification provides that the Supplier shall examine and accept or reject the warranty claim within 48 (forty-eight) hours of receipt of the Contracting Authority's application. The wording implies that these are calendar hours, which are counted continuously from the moment the application is received, regardless of the day of the week or the time of day. </w:t>
      </w:r>
    </w:p>
    <w:p w14:paraId="7935108B" w14:textId="77777777" w:rsidR="00372B0A" w:rsidRPr="004307B1" w:rsidRDefault="00372B0A" w:rsidP="00610471">
      <w:pPr>
        <w:jc w:val="both"/>
        <w:rPr>
          <w:lang w:val="en-GB"/>
        </w:rPr>
      </w:pPr>
      <w:r w:rsidRPr="004307B1">
        <w:rPr>
          <w:lang w:val="en-GB" w:bidi="en-GB"/>
        </w:rPr>
        <w:t xml:space="preserve">This period is disproportionate and, in practice, impossible to comply with in </w:t>
      </w:r>
      <w:proofErr w:type="gramStart"/>
      <w:r w:rsidRPr="004307B1">
        <w:rPr>
          <w:lang w:val="en-GB" w:bidi="en-GB"/>
        </w:rPr>
        <w:t>a number of</w:t>
      </w:r>
      <w:proofErr w:type="gramEnd"/>
      <w:r w:rsidRPr="004307B1">
        <w:rPr>
          <w:lang w:val="en-GB" w:bidi="en-GB"/>
        </w:rPr>
        <w:t xml:space="preserve"> scenarios. Firstly, Section E of the Technical Specification itself (Warranty Performance Conditions) expressly provides in Paragraph E.4 that the Supplier shall ensure the availability of the manufacturer’s technical support on working days from 08:00 to 17:00 EET (UTC+02:00). This means that, within the framework of the operational support arrangements, the Supplier is not required to provide technical support to the Contracting Authority on weekends, public holidays or outside the specified support hours. </w:t>
      </w:r>
    </w:p>
    <w:p w14:paraId="03C8A9A6" w14:textId="5C062452" w:rsidR="00372B0A" w:rsidRPr="004307B1" w:rsidRDefault="00372B0A" w:rsidP="00610471">
      <w:pPr>
        <w:jc w:val="both"/>
        <w:rPr>
          <w:lang w:val="en-GB"/>
        </w:rPr>
      </w:pPr>
      <w:r w:rsidRPr="004307B1">
        <w:rPr>
          <w:lang w:val="en-GB" w:bidi="en-GB"/>
        </w:rPr>
        <w:t xml:space="preserve">These two paragraphs of the same section constitute a direct internal contradiction. In practice, this gives rise to scenarios such as the following: if the Contracting Authority submits a notification on Friday at 17:01, the 48-calendar-day response period would expire on Sunday at 17:01, despite the fact that, pursuant to Paragraph E.4, the Supplier’s technical support service is not available during that period and has not had a single working hour in which to review the claim. An even more illustrative example would be a notification received at 19:30 on 21 December 2029, immediately before the Christmas public holidays, in circumstances where the next officially designated working day falls only on 27 December 2029. In such a case, the 48-hour period shall fall entirely outside any working </w:t>
      </w:r>
      <w:proofErr w:type="gramStart"/>
      <w:r w:rsidRPr="004307B1">
        <w:rPr>
          <w:lang w:val="en-GB" w:bidi="en-GB"/>
        </w:rPr>
        <w:t>hours</w:t>
      </w:r>
      <w:proofErr w:type="gramEnd"/>
      <w:r w:rsidRPr="004307B1">
        <w:rPr>
          <w:lang w:val="en-GB" w:bidi="en-GB"/>
        </w:rPr>
        <w:t xml:space="preserve"> and the Supplier shall be objectively unable to carry out the technical examination of the claim within that period. </w:t>
      </w:r>
    </w:p>
    <w:p w14:paraId="373A7B32" w14:textId="4420F03D" w:rsidR="00193BC9" w:rsidRPr="004307B1" w:rsidRDefault="00372B0A" w:rsidP="00610471">
      <w:pPr>
        <w:jc w:val="both"/>
        <w:rPr>
          <w:lang w:val="en-GB"/>
        </w:rPr>
      </w:pPr>
      <w:r w:rsidRPr="004307B1">
        <w:rPr>
          <w:lang w:val="en-GB" w:bidi="en-GB"/>
        </w:rPr>
        <w:t xml:space="preserve">Therefore, we kindly request the Contracting Authority to align the claim review period specified in Clause E.3 with the Supplier’s actual support hours as set out in Clause E.4. Specifically, we kindly request that the wording “within 48 (forty-eight) hours” be replaced with “within 2 (two) </w:t>
      </w:r>
      <w:r w:rsidRPr="004307B1">
        <w:rPr>
          <w:lang w:val="en-GB" w:bidi="en-GB"/>
        </w:rPr>
        <w:lastRenderedPageBreak/>
        <w:t>working days” or another functionally equivalent formulation that links the deadline to working days and the Supplier’s established working hours. This wording preserves the Contracting Authority's desire for prompt complaint processing while making the requirement objectively enforceable and mutually consistent with the other requirements of Section E.</w:t>
      </w:r>
    </w:p>
    <w:p w14:paraId="445EED46" w14:textId="77777777" w:rsidR="00372B0A" w:rsidRPr="004307B1" w:rsidRDefault="00372B0A" w:rsidP="00610471">
      <w:pPr>
        <w:jc w:val="both"/>
        <w:rPr>
          <w:lang w:val="en-GB"/>
        </w:rPr>
      </w:pPr>
    </w:p>
    <w:p w14:paraId="444ECDA4" w14:textId="5128CB54" w:rsidR="00193BC9" w:rsidRPr="004307B1" w:rsidRDefault="00931A18" w:rsidP="00610471">
      <w:pPr>
        <w:jc w:val="both"/>
        <w:rPr>
          <w:b/>
          <w:bCs/>
          <w:lang w:val="en-GB"/>
        </w:rPr>
      </w:pPr>
      <w:r w:rsidRPr="004307B1">
        <w:rPr>
          <w:b/>
          <w:lang w:val="en-GB" w:bidi="en-GB"/>
        </w:rPr>
        <w:t>Answer 18:</w:t>
      </w:r>
    </w:p>
    <w:p w14:paraId="5AF307BD" w14:textId="77777777" w:rsidR="009B590F" w:rsidRPr="004307B1" w:rsidRDefault="009B590F" w:rsidP="00610471">
      <w:pPr>
        <w:ind w:firstLine="720"/>
        <w:jc w:val="both"/>
        <w:rPr>
          <w:lang w:val="en-GB"/>
        </w:rPr>
      </w:pPr>
      <w:r w:rsidRPr="004307B1">
        <w:rPr>
          <w:lang w:val="en-GB" w:bidi="en-GB"/>
        </w:rPr>
        <w:t>The Contracting Authority informs that additional time is required to evaluate the matter. Therefore, the deadline for providing a response to this question is extended until 19 June 2026.</w:t>
      </w:r>
    </w:p>
    <w:p w14:paraId="571BDEE3" w14:textId="77777777" w:rsidR="00372B0A" w:rsidRPr="004307B1" w:rsidRDefault="00372B0A" w:rsidP="00610471">
      <w:pPr>
        <w:ind w:firstLine="720"/>
        <w:jc w:val="both"/>
        <w:rPr>
          <w:lang w:val="en-GB"/>
        </w:rPr>
      </w:pPr>
    </w:p>
    <w:p w14:paraId="0A534795" w14:textId="77777777" w:rsidR="00372B0A" w:rsidRPr="004307B1" w:rsidRDefault="00372B0A" w:rsidP="00610471">
      <w:pPr>
        <w:ind w:firstLine="720"/>
        <w:jc w:val="both"/>
        <w:rPr>
          <w:lang w:val="en-GB"/>
        </w:rPr>
      </w:pPr>
    </w:p>
    <w:p w14:paraId="3B16E613" w14:textId="77777777" w:rsidR="00372B0A" w:rsidRPr="004307B1" w:rsidRDefault="00372B0A" w:rsidP="00610471">
      <w:pPr>
        <w:ind w:firstLine="720"/>
        <w:jc w:val="both"/>
        <w:rPr>
          <w:lang w:val="en-GB"/>
        </w:rPr>
      </w:pPr>
    </w:p>
    <w:p w14:paraId="171158D3" w14:textId="35565563" w:rsidR="00193BC9" w:rsidRPr="004307B1" w:rsidRDefault="00931A18" w:rsidP="00610471">
      <w:pPr>
        <w:jc w:val="both"/>
        <w:rPr>
          <w:b/>
          <w:bCs/>
          <w:lang w:val="en-GB"/>
        </w:rPr>
      </w:pPr>
      <w:r w:rsidRPr="004307B1">
        <w:rPr>
          <w:b/>
          <w:lang w:val="en-GB" w:bidi="en-GB"/>
        </w:rPr>
        <w:t>Question 19:</w:t>
      </w:r>
    </w:p>
    <w:p w14:paraId="12086936" w14:textId="77777777" w:rsidR="00595C63" w:rsidRPr="004307B1" w:rsidRDefault="00595C63" w:rsidP="00610471">
      <w:pPr>
        <w:jc w:val="both"/>
        <w:rPr>
          <w:lang w:val="en-GB"/>
        </w:rPr>
      </w:pPr>
      <w:r w:rsidRPr="004307B1">
        <w:rPr>
          <w:lang w:val="en-GB" w:bidi="en-GB"/>
        </w:rPr>
        <w:t>Paragraphs 7.8.1.1 and 7.8.1.2 of the Regulations regulate the amount, the period of validity and the eligible items of the Financial Proposal. The wording of these clauses is highly complex and difficult to follow. A single sentence combines several percentage-based calculations, references to different items of the Financial Proposal (Items 3, 4 and 5 in part, and Items 2, 6, 7 and 8 separately), as well as provisions governing the validity period of the guarantee, which is linked to the date of delivery of the last bus plus one month.</w:t>
      </w:r>
    </w:p>
    <w:p w14:paraId="67B8FDCD" w14:textId="77777777" w:rsidR="00595C63" w:rsidRPr="004307B1" w:rsidRDefault="00595C63" w:rsidP="00610471">
      <w:pPr>
        <w:jc w:val="both"/>
        <w:rPr>
          <w:lang w:val="en-GB"/>
        </w:rPr>
      </w:pPr>
      <w:proofErr w:type="gramStart"/>
      <w:r w:rsidRPr="004307B1">
        <w:rPr>
          <w:lang w:val="en-GB" w:bidi="en-GB"/>
        </w:rPr>
        <w:t>In order to</w:t>
      </w:r>
      <w:proofErr w:type="gramEnd"/>
      <w:r w:rsidRPr="004307B1">
        <w:rPr>
          <w:lang w:val="en-GB" w:bidi="en-GB"/>
        </w:rPr>
        <w:t xml:space="preserve"> ensure that Tenderers and guarantee providers, such as banks or insurance companies, have a uniform and unambiguous understanding of how to calculate the exact amount of the contract performance security, determine its validity period and issue date, we kindly request the Contracting Authority to provide an explanation and detailed calculations using the hypothetical sample prices set out below. The explanation should show the amount and validity period for which the contract performance security would be required to be submitted in each procurement lot in the given example, assuming that tenders are submitted on 1 July 2026.</w:t>
      </w:r>
    </w:p>
    <w:p w14:paraId="1FE5318F" w14:textId="3EEDA2B9" w:rsidR="00193BC9" w:rsidRPr="004307B1" w:rsidRDefault="00595C63" w:rsidP="00610471">
      <w:pPr>
        <w:jc w:val="both"/>
        <w:rPr>
          <w:b/>
          <w:bCs/>
          <w:lang w:val="en-GB"/>
        </w:rPr>
      </w:pPr>
      <w:r w:rsidRPr="004307B1">
        <w:rPr>
          <w:b/>
          <w:lang w:val="en-GB" w:bidi="en-GB"/>
        </w:rPr>
        <w:t>Sample prices – Lot 1 (electric buses):</w:t>
      </w:r>
    </w:p>
    <w:tbl>
      <w:tblPr>
        <w:tblStyle w:val="TableGrid"/>
        <w:tblW w:w="0" w:type="auto"/>
        <w:tblLook w:val="04A0" w:firstRow="1" w:lastRow="0" w:firstColumn="1" w:lastColumn="0" w:noHBand="0" w:noVBand="1"/>
      </w:tblPr>
      <w:tblGrid>
        <w:gridCol w:w="988"/>
        <w:gridCol w:w="2746"/>
        <w:gridCol w:w="1868"/>
        <w:gridCol w:w="1868"/>
        <w:gridCol w:w="1868"/>
      </w:tblGrid>
      <w:tr w:rsidR="00291CB1" w:rsidRPr="004307B1" w14:paraId="54DDB7C0" w14:textId="77777777" w:rsidTr="00291CB1">
        <w:tc>
          <w:tcPr>
            <w:tcW w:w="988" w:type="dxa"/>
          </w:tcPr>
          <w:p w14:paraId="78FEAD7A" w14:textId="2B80347B" w:rsidR="00291CB1" w:rsidRPr="004307B1" w:rsidRDefault="00291CB1" w:rsidP="00610471">
            <w:pPr>
              <w:jc w:val="both"/>
              <w:rPr>
                <w:b/>
                <w:bCs/>
                <w:lang w:val="en-GB"/>
              </w:rPr>
            </w:pPr>
            <w:r w:rsidRPr="004307B1">
              <w:rPr>
                <w:b/>
                <w:lang w:val="en-GB" w:bidi="en-GB"/>
              </w:rPr>
              <w:t>No.</w:t>
            </w:r>
          </w:p>
        </w:tc>
        <w:tc>
          <w:tcPr>
            <w:tcW w:w="2746" w:type="dxa"/>
          </w:tcPr>
          <w:p w14:paraId="5D52244B" w14:textId="3B49B008" w:rsidR="00291CB1" w:rsidRPr="004307B1" w:rsidRDefault="00291CB1" w:rsidP="00610471">
            <w:pPr>
              <w:jc w:val="both"/>
              <w:rPr>
                <w:b/>
                <w:bCs/>
                <w:lang w:val="en-GB"/>
              </w:rPr>
            </w:pPr>
            <w:r w:rsidRPr="004307B1">
              <w:rPr>
                <w:b/>
                <w:lang w:val="en-GB" w:bidi="en-GB"/>
              </w:rPr>
              <w:t>Name</w:t>
            </w:r>
          </w:p>
        </w:tc>
        <w:tc>
          <w:tcPr>
            <w:tcW w:w="1868" w:type="dxa"/>
          </w:tcPr>
          <w:p w14:paraId="33473E91" w14:textId="35D92AEF" w:rsidR="00291CB1" w:rsidRPr="004307B1" w:rsidRDefault="00291CB1" w:rsidP="00610471">
            <w:pPr>
              <w:jc w:val="both"/>
              <w:rPr>
                <w:b/>
                <w:bCs/>
                <w:lang w:val="en-GB"/>
              </w:rPr>
            </w:pPr>
            <w:r w:rsidRPr="004307B1">
              <w:rPr>
                <w:b/>
                <w:lang w:val="en-GB" w:bidi="en-GB"/>
              </w:rPr>
              <w:t>Quantity</w:t>
            </w:r>
          </w:p>
        </w:tc>
        <w:tc>
          <w:tcPr>
            <w:tcW w:w="1868" w:type="dxa"/>
          </w:tcPr>
          <w:p w14:paraId="4F381B0A" w14:textId="5C7851B5" w:rsidR="00291CB1" w:rsidRPr="004307B1" w:rsidRDefault="00291CB1" w:rsidP="00610471">
            <w:pPr>
              <w:pStyle w:val="Default"/>
              <w:jc w:val="both"/>
              <w:rPr>
                <w:sz w:val="23"/>
                <w:szCs w:val="23"/>
                <w:lang w:val="en-GB"/>
              </w:rPr>
            </w:pPr>
            <w:r w:rsidRPr="004307B1">
              <w:rPr>
                <w:b/>
                <w:sz w:val="23"/>
                <w:szCs w:val="23"/>
                <w:lang w:val="en-GB" w:bidi="en-GB"/>
              </w:rPr>
              <w:t xml:space="preserve">Unit price, EUR without VAT </w:t>
            </w:r>
          </w:p>
        </w:tc>
        <w:tc>
          <w:tcPr>
            <w:tcW w:w="1868" w:type="dxa"/>
          </w:tcPr>
          <w:p w14:paraId="36722AB8" w14:textId="44B91D59" w:rsidR="00291CB1" w:rsidRPr="004307B1" w:rsidRDefault="00291CB1" w:rsidP="00610471">
            <w:pPr>
              <w:pStyle w:val="Default"/>
              <w:jc w:val="both"/>
              <w:rPr>
                <w:sz w:val="23"/>
                <w:szCs w:val="23"/>
                <w:lang w:val="en-GB"/>
              </w:rPr>
            </w:pPr>
            <w:r w:rsidRPr="004307B1">
              <w:rPr>
                <w:b/>
                <w:sz w:val="23"/>
                <w:szCs w:val="23"/>
                <w:lang w:val="en-GB" w:bidi="en-GB"/>
              </w:rPr>
              <w:t xml:space="preserve">Total price, EUR without VAT </w:t>
            </w:r>
          </w:p>
        </w:tc>
      </w:tr>
      <w:tr w:rsidR="00FC0601" w:rsidRPr="004307B1" w14:paraId="76DBC61B" w14:textId="77777777" w:rsidTr="0087586F">
        <w:tc>
          <w:tcPr>
            <w:tcW w:w="988" w:type="dxa"/>
          </w:tcPr>
          <w:p w14:paraId="58DF1199" w14:textId="486FFE06" w:rsidR="00FC0601" w:rsidRPr="004307B1" w:rsidRDefault="00FC0601" w:rsidP="00610471">
            <w:pPr>
              <w:jc w:val="both"/>
              <w:rPr>
                <w:b/>
                <w:bCs/>
                <w:lang w:val="en-GB"/>
              </w:rPr>
            </w:pPr>
            <w:r w:rsidRPr="004307B1">
              <w:rPr>
                <w:b/>
                <w:lang w:val="en-GB" w:bidi="en-GB"/>
              </w:rPr>
              <w:t>1.</w:t>
            </w:r>
          </w:p>
        </w:tc>
        <w:tc>
          <w:tcPr>
            <w:tcW w:w="2746" w:type="dxa"/>
          </w:tcPr>
          <w:p w14:paraId="00B2F40D" w14:textId="634CE2BE" w:rsidR="00FC0601" w:rsidRPr="004307B1" w:rsidRDefault="00FC0601" w:rsidP="00610471">
            <w:pPr>
              <w:pStyle w:val="Default"/>
              <w:jc w:val="both"/>
              <w:rPr>
                <w:sz w:val="23"/>
                <w:szCs w:val="23"/>
                <w:lang w:val="en-GB"/>
              </w:rPr>
            </w:pPr>
            <w:r w:rsidRPr="004307B1">
              <w:rPr>
                <w:sz w:val="23"/>
                <w:szCs w:val="23"/>
                <w:lang w:val="en-GB" w:bidi="en-GB"/>
              </w:rPr>
              <w:t xml:space="preserve">Supply of buses (60 electric buses) </w:t>
            </w:r>
          </w:p>
        </w:tc>
        <w:tc>
          <w:tcPr>
            <w:tcW w:w="1868" w:type="dxa"/>
            <w:vAlign w:val="center"/>
          </w:tcPr>
          <w:p w14:paraId="6C49458D" w14:textId="418037E5" w:rsidR="00FC0601" w:rsidRPr="004307B1" w:rsidRDefault="00FC0601" w:rsidP="00610471">
            <w:pPr>
              <w:rPr>
                <w:b/>
                <w:bCs/>
                <w:lang w:val="en-GB"/>
              </w:rPr>
            </w:pPr>
            <w:r w:rsidRPr="004307B1">
              <w:rPr>
                <w:sz w:val="23"/>
                <w:szCs w:val="23"/>
                <w:lang w:val="en-GB" w:bidi="en-GB"/>
              </w:rPr>
              <w:t xml:space="preserve">60 </w:t>
            </w:r>
          </w:p>
        </w:tc>
        <w:tc>
          <w:tcPr>
            <w:tcW w:w="1868" w:type="dxa"/>
            <w:vAlign w:val="center"/>
          </w:tcPr>
          <w:p w14:paraId="51FE2038" w14:textId="6EED317E" w:rsidR="00FC0601" w:rsidRPr="004307B1" w:rsidRDefault="00FC0601" w:rsidP="00610471">
            <w:pPr>
              <w:rPr>
                <w:b/>
                <w:bCs/>
                <w:lang w:val="en-GB"/>
              </w:rPr>
            </w:pPr>
            <w:r w:rsidRPr="004307B1">
              <w:rPr>
                <w:sz w:val="23"/>
                <w:szCs w:val="23"/>
                <w:lang w:val="en-GB" w:bidi="en-GB"/>
              </w:rPr>
              <w:t xml:space="preserve">900 000 </w:t>
            </w:r>
          </w:p>
        </w:tc>
        <w:tc>
          <w:tcPr>
            <w:tcW w:w="1868" w:type="dxa"/>
            <w:vAlign w:val="center"/>
          </w:tcPr>
          <w:p w14:paraId="1D26DC3D" w14:textId="1C909ECB" w:rsidR="00FC0601" w:rsidRPr="004307B1" w:rsidRDefault="00FC0601" w:rsidP="00610471">
            <w:pPr>
              <w:rPr>
                <w:b/>
                <w:bCs/>
                <w:lang w:val="en-GB"/>
              </w:rPr>
            </w:pPr>
            <w:r w:rsidRPr="004307B1">
              <w:rPr>
                <w:sz w:val="23"/>
                <w:szCs w:val="23"/>
                <w:lang w:val="en-GB" w:bidi="en-GB"/>
              </w:rPr>
              <w:t xml:space="preserve">54 000 000 </w:t>
            </w:r>
          </w:p>
        </w:tc>
      </w:tr>
      <w:tr w:rsidR="00FC0601" w:rsidRPr="004307B1" w14:paraId="423A2FA1" w14:textId="77777777" w:rsidTr="0087586F">
        <w:tc>
          <w:tcPr>
            <w:tcW w:w="988" w:type="dxa"/>
          </w:tcPr>
          <w:p w14:paraId="684BF19E" w14:textId="0A3FFCA6" w:rsidR="00FC0601" w:rsidRPr="004307B1" w:rsidRDefault="00FC0601" w:rsidP="00610471">
            <w:pPr>
              <w:jc w:val="both"/>
              <w:rPr>
                <w:b/>
                <w:bCs/>
                <w:lang w:val="en-GB"/>
              </w:rPr>
            </w:pPr>
            <w:r w:rsidRPr="004307B1">
              <w:rPr>
                <w:b/>
                <w:lang w:val="en-GB" w:bidi="en-GB"/>
              </w:rPr>
              <w:t>2.</w:t>
            </w:r>
          </w:p>
        </w:tc>
        <w:tc>
          <w:tcPr>
            <w:tcW w:w="2746" w:type="dxa"/>
          </w:tcPr>
          <w:p w14:paraId="44812552" w14:textId="2E20ED5A" w:rsidR="00FC0601" w:rsidRPr="004307B1" w:rsidRDefault="00FC0601" w:rsidP="00610471">
            <w:pPr>
              <w:pStyle w:val="Default"/>
              <w:jc w:val="both"/>
              <w:rPr>
                <w:sz w:val="23"/>
                <w:szCs w:val="23"/>
                <w:lang w:val="en-GB"/>
              </w:rPr>
            </w:pPr>
            <w:r w:rsidRPr="004307B1">
              <w:rPr>
                <w:sz w:val="23"/>
                <w:szCs w:val="23"/>
                <w:lang w:val="en-GB" w:bidi="en-GB"/>
              </w:rPr>
              <w:t xml:space="preserve">Special tools and diagnostic equipment </w:t>
            </w:r>
          </w:p>
        </w:tc>
        <w:tc>
          <w:tcPr>
            <w:tcW w:w="1868" w:type="dxa"/>
            <w:vAlign w:val="center"/>
          </w:tcPr>
          <w:p w14:paraId="29819C59" w14:textId="5E28B0EE" w:rsidR="00FC0601" w:rsidRPr="004307B1" w:rsidRDefault="00FC0601" w:rsidP="00610471">
            <w:pPr>
              <w:rPr>
                <w:b/>
                <w:bCs/>
                <w:lang w:val="en-GB"/>
              </w:rPr>
            </w:pPr>
            <w:r w:rsidRPr="004307B1">
              <w:rPr>
                <w:sz w:val="23"/>
                <w:szCs w:val="23"/>
                <w:lang w:val="en-GB" w:bidi="en-GB"/>
              </w:rPr>
              <w:t xml:space="preserve">X </w:t>
            </w:r>
          </w:p>
        </w:tc>
        <w:tc>
          <w:tcPr>
            <w:tcW w:w="1868" w:type="dxa"/>
            <w:vAlign w:val="center"/>
          </w:tcPr>
          <w:p w14:paraId="6C57C8D6" w14:textId="5A189019" w:rsidR="00FC0601" w:rsidRPr="004307B1" w:rsidRDefault="00FC0601" w:rsidP="00610471">
            <w:pPr>
              <w:rPr>
                <w:b/>
                <w:bCs/>
                <w:lang w:val="en-GB"/>
              </w:rPr>
            </w:pPr>
            <w:r w:rsidRPr="004307B1">
              <w:rPr>
                <w:sz w:val="23"/>
                <w:szCs w:val="23"/>
                <w:lang w:val="en-GB" w:bidi="en-GB"/>
              </w:rPr>
              <w:t xml:space="preserve">X </w:t>
            </w:r>
          </w:p>
        </w:tc>
        <w:tc>
          <w:tcPr>
            <w:tcW w:w="1868" w:type="dxa"/>
            <w:vAlign w:val="center"/>
          </w:tcPr>
          <w:p w14:paraId="7EC0B705" w14:textId="7B5CEFA9" w:rsidR="00FC0601" w:rsidRPr="004307B1" w:rsidRDefault="00FC0601" w:rsidP="00610471">
            <w:pPr>
              <w:rPr>
                <w:b/>
                <w:bCs/>
                <w:lang w:val="en-GB"/>
              </w:rPr>
            </w:pPr>
            <w:r w:rsidRPr="004307B1">
              <w:rPr>
                <w:sz w:val="23"/>
                <w:szCs w:val="23"/>
                <w:lang w:val="en-GB" w:bidi="en-GB"/>
              </w:rPr>
              <w:t xml:space="preserve">1 800 000 </w:t>
            </w:r>
          </w:p>
        </w:tc>
      </w:tr>
      <w:tr w:rsidR="00FC0601" w:rsidRPr="004307B1" w14:paraId="3B6D50ED" w14:textId="77777777" w:rsidTr="0087586F">
        <w:tc>
          <w:tcPr>
            <w:tcW w:w="988" w:type="dxa"/>
          </w:tcPr>
          <w:p w14:paraId="4D421438" w14:textId="56C42628" w:rsidR="00FC0601" w:rsidRPr="004307B1" w:rsidRDefault="00FC0601" w:rsidP="00610471">
            <w:pPr>
              <w:jc w:val="both"/>
              <w:rPr>
                <w:b/>
                <w:bCs/>
                <w:lang w:val="en-GB"/>
              </w:rPr>
            </w:pPr>
            <w:r w:rsidRPr="004307B1">
              <w:rPr>
                <w:b/>
                <w:lang w:val="en-GB" w:bidi="en-GB"/>
              </w:rPr>
              <w:t>3.</w:t>
            </w:r>
          </w:p>
        </w:tc>
        <w:tc>
          <w:tcPr>
            <w:tcW w:w="2746" w:type="dxa"/>
          </w:tcPr>
          <w:p w14:paraId="7B0E9549" w14:textId="451A4899" w:rsidR="00FC0601" w:rsidRPr="004307B1" w:rsidRDefault="00FC0601" w:rsidP="00610471">
            <w:pPr>
              <w:pStyle w:val="Default"/>
              <w:jc w:val="both"/>
              <w:rPr>
                <w:sz w:val="23"/>
                <w:szCs w:val="23"/>
                <w:lang w:val="en-GB"/>
              </w:rPr>
            </w:pPr>
            <w:r w:rsidRPr="004307B1">
              <w:rPr>
                <w:sz w:val="23"/>
                <w:szCs w:val="23"/>
                <w:lang w:val="en-GB" w:bidi="en-GB"/>
              </w:rPr>
              <w:t xml:space="preserve">Spare parts and materials for periodic maintenance (for 60 vehicles) </w:t>
            </w:r>
          </w:p>
        </w:tc>
        <w:tc>
          <w:tcPr>
            <w:tcW w:w="1868" w:type="dxa"/>
            <w:vAlign w:val="center"/>
          </w:tcPr>
          <w:p w14:paraId="798215C4" w14:textId="02EC537B" w:rsidR="00FC0601" w:rsidRPr="004307B1" w:rsidRDefault="00FC0601" w:rsidP="00610471">
            <w:pPr>
              <w:rPr>
                <w:b/>
                <w:bCs/>
                <w:lang w:val="en-GB"/>
              </w:rPr>
            </w:pPr>
            <w:r w:rsidRPr="004307B1">
              <w:rPr>
                <w:sz w:val="23"/>
                <w:szCs w:val="23"/>
                <w:lang w:val="en-GB" w:bidi="en-GB"/>
              </w:rPr>
              <w:t xml:space="preserve">60 </w:t>
            </w:r>
          </w:p>
        </w:tc>
        <w:tc>
          <w:tcPr>
            <w:tcW w:w="1868" w:type="dxa"/>
            <w:vAlign w:val="center"/>
          </w:tcPr>
          <w:p w14:paraId="0E89F0F9" w14:textId="3F4B4051" w:rsidR="00FC0601" w:rsidRPr="004307B1" w:rsidRDefault="00FC0601" w:rsidP="00610471">
            <w:pPr>
              <w:rPr>
                <w:b/>
                <w:bCs/>
                <w:lang w:val="en-GB"/>
              </w:rPr>
            </w:pPr>
            <w:r w:rsidRPr="004307B1">
              <w:rPr>
                <w:sz w:val="23"/>
                <w:szCs w:val="23"/>
                <w:lang w:val="en-GB" w:bidi="en-GB"/>
              </w:rPr>
              <w:t xml:space="preserve">50 000 </w:t>
            </w:r>
          </w:p>
        </w:tc>
        <w:tc>
          <w:tcPr>
            <w:tcW w:w="1868" w:type="dxa"/>
            <w:vAlign w:val="center"/>
          </w:tcPr>
          <w:p w14:paraId="5CEE422B" w14:textId="44EF4AD4" w:rsidR="00FC0601" w:rsidRPr="004307B1" w:rsidRDefault="00FC0601" w:rsidP="00610471">
            <w:pPr>
              <w:rPr>
                <w:b/>
                <w:bCs/>
                <w:lang w:val="en-GB"/>
              </w:rPr>
            </w:pPr>
            <w:r w:rsidRPr="004307B1">
              <w:rPr>
                <w:sz w:val="23"/>
                <w:szCs w:val="23"/>
                <w:lang w:val="en-GB" w:bidi="en-GB"/>
              </w:rPr>
              <w:t xml:space="preserve">3 000 000 </w:t>
            </w:r>
          </w:p>
        </w:tc>
      </w:tr>
      <w:tr w:rsidR="00FC0601" w:rsidRPr="004307B1" w14:paraId="763C28CE" w14:textId="77777777" w:rsidTr="0087586F">
        <w:tc>
          <w:tcPr>
            <w:tcW w:w="988" w:type="dxa"/>
          </w:tcPr>
          <w:p w14:paraId="6BC65DC0" w14:textId="0A99F394" w:rsidR="00FC0601" w:rsidRPr="004307B1" w:rsidRDefault="00FC0601" w:rsidP="00610471">
            <w:pPr>
              <w:jc w:val="both"/>
              <w:rPr>
                <w:b/>
                <w:bCs/>
                <w:lang w:val="en-GB"/>
              </w:rPr>
            </w:pPr>
            <w:r w:rsidRPr="004307B1">
              <w:rPr>
                <w:b/>
                <w:lang w:val="en-GB" w:bidi="en-GB"/>
              </w:rPr>
              <w:t>4</w:t>
            </w:r>
          </w:p>
        </w:tc>
        <w:tc>
          <w:tcPr>
            <w:tcW w:w="2746" w:type="dxa"/>
          </w:tcPr>
          <w:p w14:paraId="34077DCB" w14:textId="6E3B5884" w:rsidR="00FC0601" w:rsidRPr="004307B1" w:rsidRDefault="00FC0601" w:rsidP="00610471">
            <w:pPr>
              <w:pStyle w:val="Default"/>
              <w:jc w:val="both"/>
              <w:rPr>
                <w:sz w:val="23"/>
                <w:szCs w:val="23"/>
                <w:lang w:val="en-GB"/>
              </w:rPr>
            </w:pPr>
            <w:r w:rsidRPr="004307B1">
              <w:rPr>
                <w:sz w:val="23"/>
                <w:szCs w:val="23"/>
                <w:lang w:val="en-GB" w:bidi="en-GB"/>
              </w:rPr>
              <w:t xml:space="preserve">Spare parts and materials for periodic maintenance (for 90 vehicles) </w:t>
            </w:r>
          </w:p>
        </w:tc>
        <w:tc>
          <w:tcPr>
            <w:tcW w:w="1868" w:type="dxa"/>
            <w:vAlign w:val="center"/>
          </w:tcPr>
          <w:p w14:paraId="1E71B615" w14:textId="5692A41B" w:rsidR="00FC0601" w:rsidRPr="004307B1" w:rsidRDefault="00FC0601" w:rsidP="00610471">
            <w:pPr>
              <w:rPr>
                <w:b/>
                <w:bCs/>
                <w:lang w:val="en-GB"/>
              </w:rPr>
            </w:pPr>
            <w:r w:rsidRPr="004307B1">
              <w:rPr>
                <w:sz w:val="23"/>
                <w:szCs w:val="23"/>
                <w:lang w:val="en-GB" w:bidi="en-GB"/>
              </w:rPr>
              <w:t xml:space="preserve">90 </w:t>
            </w:r>
          </w:p>
        </w:tc>
        <w:tc>
          <w:tcPr>
            <w:tcW w:w="1868" w:type="dxa"/>
            <w:vAlign w:val="center"/>
          </w:tcPr>
          <w:p w14:paraId="0B62F53C" w14:textId="52AE7A2C" w:rsidR="00FC0601" w:rsidRPr="004307B1" w:rsidRDefault="00FC0601" w:rsidP="00610471">
            <w:pPr>
              <w:rPr>
                <w:b/>
                <w:bCs/>
                <w:lang w:val="en-GB"/>
              </w:rPr>
            </w:pPr>
            <w:r w:rsidRPr="004307B1">
              <w:rPr>
                <w:sz w:val="23"/>
                <w:szCs w:val="23"/>
                <w:lang w:val="en-GB" w:bidi="en-GB"/>
              </w:rPr>
              <w:t xml:space="preserve">50 000 </w:t>
            </w:r>
          </w:p>
        </w:tc>
        <w:tc>
          <w:tcPr>
            <w:tcW w:w="1868" w:type="dxa"/>
            <w:vAlign w:val="center"/>
          </w:tcPr>
          <w:p w14:paraId="6E66BBB6" w14:textId="0A91C613" w:rsidR="00FC0601" w:rsidRPr="004307B1" w:rsidRDefault="00FC0601" w:rsidP="00610471">
            <w:pPr>
              <w:rPr>
                <w:b/>
                <w:bCs/>
                <w:lang w:val="en-GB"/>
              </w:rPr>
            </w:pPr>
            <w:r w:rsidRPr="004307B1">
              <w:rPr>
                <w:sz w:val="23"/>
                <w:szCs w:val="23"/>
                <w:lang w:val="en-GB" w:bidi="en-GB"/>
              </w:rPr>
              <w:t xml:space="preserve">4 500 000 </w:t>
            </w:r>
          </w:p>
        </w:tc>
      </w:tr>
      <w:tr w:rsidR="00FC0601" w:rsidRPr="004307B1" w14:paraId="6E04AB1A" w14:textId="77777777" w:rsidTr="0087586F">
        <w:tc>
          <w:tcPr>
            <w:tcW w:w="988" w:type="dxa"/>
          </w:tcPr>
          <w:p w14:paraId="7CF6520E" w14:textId="6DEA131F" w:rsidR="00FC0601" w:rsidRPr="004307B1" w:rsidRDefault="00FC0601" w:rsidP="00610471">
            <w:pPr>
              <w:jc w:val="both"/>
              <w:rPr>
                <w:b/>
                <w:bCs/>
                <w:lang w:val="en-GB"/>
              </w:rPr>
            </w:pPr>
            <w:r w:rsidRPr="004307B1">
              <w:rPr>
                <w:b/>
                <w:lang w:val="en-GB" w:bidi="en-GB"/>
              </w:rPr>
              <w:t>5.</w:t>
            </w:r>
          </w:p>
        </w:tc>
        <w:tc>
          <w:tcPr>
            <w:tcW w:w="2746" w:type="dxa"/>
          </w:tcPr>
          <w:p w14:paraId="10B6E098" w14:textId="2AC71712" w:rsidR="00FC0601" w:rsidRPr="004307B1" w:rsidRDefault="00FC0601" w:rsidP="00610471">
            <w:pPr>
              <w:pStyle w:val="Default"/>
              <w:jc w:val="both"/>
              <w:rPr>
                <w:sz w:val="23"/>
                <w:szCs w:val="23"/>
                <w:lang w:val="en-GB"/>
              </w:rPr>
            </w:pPr>
            <w:r w:rsidRPr="004307B1">
              <w:rPr>
                <w:sz w:val="23"/>
                <w:szCs w:val="23"/>
                <w:lang w:val="en-GB" w:bidi="en-GB"/>
              </w:rPr>
              <w:t xml:space="preserve">Revolving stock of spare parts </w:t>
            </w:r>
          </w:p>
        </w:tc>
        <w:tc>
          <w:tcPr>
            <w:tcW w:w="1868" w:type="dxa"/>
            <w:vAlign w:val="center"/>
          </w:tcPr>
          <w:p w14:paraId="52D2E449" w14:textId="73ACE9F4" w:rsidR="00FC0601" w:rsidRPr="004307B1" w:rsidRDefault="00FC0601" w:rsidP="00610471">
            <w:pPr>
              <w:rPr>
                <w:b/>
                <w:bCs/>
                <w:lang w:val="en-GB"/>
              </w:rPr>
            </w:pPr>
            <w:r w:rsidRPr="004307B1">
              <w:rPr>
                <w:sz w:val="23"/>
                <w:szCs w:val="23"/>
                <w:lang w:val="en-GB" w:bidi="en-GB"/>
              </w:rPr>
              <w:t xml:space="preserve">X </w:t>
            </w:r>
          </w:p>
        </w:tc>
        <w:tc>
          <w:tcPr>
            <w:tcW w:w="1868" w:type="dxa"/>
            <w:vAlign w:val="center"/>
          </w:tcPr>
          <w:p w14:paraId="7F8C9FC7" w14:textId="4B982775" w:rsidR="00FC0601" w:rsidRPr="004307B1" w:rsidRDefault="00FC0601" w:rsidP="00610471">
            <w:pPr>
              <w:rPr>
                <w:b/>
                <w:bCs/>
                <w:lang w:val="en-GB"/>
              </w:rPr>
            </w:pPr>
            <w:r w:rsidRPr="004307B1">
              <w:rPr>
                <w:sz w:val="23"/>
                <w:szCs w:val="23"/>
                <w:lang w:val="en-GB" w:bidi="en-GB"/>
              </w:rPr>
              <w:t xml:space="preserve">X </w:t>
            </w:r>
          </w:p>
        </w:tc>
        <w:tc>
          <w:tcPr>
            <w:tcW w:w="1868" w:type="dxa"/>
            <w:vAlign w:val="center"/>
          </w:tcPr>
          <w:p w14:paraId="50DA9EA3" w14:textId="272E8A0C" w:rsidR="00FC0601" w:rsidRPr="004307B1" w:rsidRDefault="00FC0601" w:rsidP="00610471">
            <w:pPr>
              <w:rPr>
                <w:b/>
                <w:bCs/>
                <w:lang w:val="en-GB"/>
              </w:rPr>
            </w:pPr>
            <w:r w:rsidRPr="004307B1">
              <w:rPr>
                <w:sz w:val="23"/>
                <w:szCs w:val="23"/>
                <w:lang w:val="en-GB" w:bidi="en-GB"/>
              </w:rPr>
              <w:t xml:space="preserve">90 000 </w:t>
            </w:r>
          </w:p>
        </w:tc>
      </w:tr>
      <w:tr w:rsidR="0087586F" w:rsidRPr="004307B1" w14:paraId="52F9ADA0" w14:textId="77777777" w:rsidTr="0087586F">
        <w:tc>
          <w:tcPr>
            <w:tcW w:w="988" w:type="dxa"/>
          </w:tcPr>
          <w:p w14:paraId="0D2FC125" w14:textId="57BBCFA6" w:rsidR="0087586F" w:rsidRPr="004307B1" w:rsidRDefault="0087586F" w:rsidP="00610471">
            <w:pPr>
              <w:jc w:val="both"/>
              <w:rPr>
                <w:b/>
                <w:bCs/>
                <w:lang w:val="en-GB"/>
              </w:rPr>
            </w:pPr>
            <w:r w:rsidRPr="004307B1">
              <w:rPr>
                <w:b/>
                <w:lang w:val="en-GB" w:bidi="en-GB"/>
              </w:rPr>
              <w:t>6.</w:t>
            </w:r>
          </w:p>
        </w:tc>
        <w:tc>
          <w:tcPr>
            <w:tcW w:w="2746" w:type="dxa"/>
          </w:tcPr>
          <w:p w14:paraId="7C115206" w14:textId="17962C3D" w:rsidR="0087586F" w:rsidRPr="004307B1" w:rsidRDefault="0087586F" w:rsidP="00610471">
            <w:pPr>
              <w:pStyle w:val="Default"/>
              <w:jc w:val="both"/>
              <w:rPr>
                <w:sz w:val="23"/>
                <w:szCs w:val="23"/>
                <w:lang w:val="en-GB"/>
              </w:rPr>
            </w:pPr>
            <w:r w:rsidRPr="004307B1">
              <w:rPr>
                <w:sz w:val="23"/>
                <w:szCs w:val="23"/>
                <w:lang w:val="en-GB" w:bidi="en-GB"/>
              </w:rPr>
              <w:t xml:space="preserve">Technical documentation </w:t>
            </w:r>
          </w:p>
        </w:tc>
        <w:tc>
          <w:tcPr>
            <w:tcW w:w="1868" w:type="dxa"/>
            <w:vAlign w:val="center"/>
          </w:tcPr>
          <w:p w14:paraId="3F84A91D" w14:textId="0547BE71" w:rsidR="0087586F" w:rsidRPr="004307B1" w:rsidRDefault="0087586F" w:rsidP="00610471">
            <w:pPr>
              <w:rPr>
                <w:b/>
                <w:bCs/>
                <w:lang w:val="en-GB"/>
              </w:rPr>
            </w:pPr>
            <w:r w:rsidRPr="004307B1">
              <w:rPr>
                <w:sz w:val="23"/>
                <w:szCs w:val="23"/>
                <w:lang w:val="en-GB" w:bidi="en-GB"/>
              </w:rPr>
              <w:t xml:space="preserve">X </w:t>
            </w:r>
          </w:p>
        </w:tc>
        <w:tc>
          <w:tcPr>
            <w:tcW w:w="1868" w:type="dxa"/>
            <w:vAlign w:val="center"/>
          </w:tcPr>
          <w:p w14:paraId="5F589DF7" w14:textId="2C61B2F1" w:rsidR="0087586F" w:rsidRPr="004307B1" w:rsidRDefault="0087586F" w:rsidP="00610471">
            <w:pPr>
              <w:rPr>
                <w:b/>
                <w:bCs/>
                <w:lang w:val="en-GB"/>
              </w:rPr>
            </w:pPr>
            <w:r w:rsidRPr="004307B1">
              <w:rPr>
                <w:sz w:val="23"/>
                <w:szCs w:val="23"/>
                <w:lang w:val="en-GB" w:bidi="en-GB"/>
              </w:rPr>
              <w:t xml:space="preserve">X </w:t>
            </w:r>
          </w:p>
        </w:tc>
        <w:tc>
          <w:tcPr>
            <w:tcW w:w="1868" w:type="dxa"/>
            <w:vAlign w:val="center"/>
          </w:tcPr>
          <w:p w14:paraId="65B1042A" w14:textId="3B1AA2BD" w:rsidR="0087586F" w:rsidRPr="004307B1" w:rsidRDefault="0087586F" w:rsidP="00610471">
            <w:pPr>
              <w:rPr>
                <w:b/>
                <w:bCs/>
                <w:lang w:val="en-GB"/>
              </w:rPr>
            </w:pPr>
            <w:r w:rsidRPr="004307B1">
              <w:rPr>
                <w:sz w:val="23"/>
                <w:szCs w:val="23"/>
                <w:lang w:val="en-GB" w:bidi="en-GB"/>
              </w:rPr>
              <w:t xml:space="preserve">125 000 </w:t>
            </w:r>
          </w:p>
        </w:tc>
      </w:tr>
      <w:tr w:rsidR="0087586F" w:rsidRPr="004307B1" w14:paraId="2156C9CB" w14:textId="77777777" w:rsidTr="0087586F">
        <w:tc>
          <w:tcPr>
            <w:tcW w:w="988" w:type="dxa"/>
          </w:tcPr>
          <w:p w14:paraId="4F86C251" w14:textId="10ADA7F2" w:rsidR="0087586F" w:rsidRPr="004307B1" w:rsidRDefault="0087586F" w:rsidP="00610471">
            <w:pPr>
              <w:jc w:val="both"/>
              <w:rPr>
                <w:b/>
                <w:bCs/>
                <w:lang w:val="en-GB"/>
              </w:rPr>
            </w:pPr>
            <w:r w:rsidRPr="004307B1">
              <w:rPr>
                <w:b/>
                <w:lang w:val="en-GB" w:bidi="en-GB"/>
              </w:rPr>
              <w:t>7</w:t>
            </w:r>
          </w:p>
        </w:tc>
        <w:tc>
          <w:tcPr>
            <w:tcW w:w="2746" w:type="dxa"/>
          </w:tcPr>
          <w:p w14:paraId="7FD98C8A" w14:textId="62170F05" w:rsidR="0087586F" w:rsidRPr="004307B1" w:rsidRDefault="0087586F" w:rsidP="00610471">
            <w:pPr>
              <w:pStyle w:val="Default"/>
              <w:jc w:val="both"/>
              <w:rPr>
                <w:sz w:val="23"/>
                <w:szCs w:val="23"/>
                <w:lang w:val="en-GB"/>
              </w:rPr>
            </w:pPr>
            <w:r w:rsidRPr="004307B1">
              <w:rPr>
                <w:sz w:val="23"/>
                <w:szCs w:val="23"/>
                <w:lang w:val="en-GB" w:bidi="en-GB"/>
              </w:rPr>
              <w:t xml:space="preserve">Training for the Contracting Authority's technical staff </w:t>
            </w:r>
          </w:p>
        </w:tc>
        <w:tc>
          <w:tcPr>
            <w:tcW w:w="1868" w:type="dxa"/>
            <w:vAlign w:val="center"/>
          </w:tcPr>
          <w:p w14:paraId="57F198A5" w14:textId="1636B62F" w:rsidR="0087586F" w:rsidRPr="004307B1" w:rsidRDefault="0087586F" w:rsidP="00610471">
            <w:pPr>
              <w:rPr>
                <w:b/>
                <w:bCs/>
                <w:lang w:val="en-GB"/>
              </w:rPr>
            </w:pPr>
            <w:r w:rsidRPr="004307B1">
              <w:rPr>
                <w:sz w:val="23"/>
                <w:szCs w:val="23"/>
                <w:lang w:val="en-GB" w:bidi="en-GB"/>
              </w:rPr>
              <w:t xml:space="preserve">X </w:t>
            </w:r>
          </w:p>
        </w:tc>
        <w:tc>
          <w:tcPr>
            <w:tcW w:w="1868" w:type="dxa"/>
            <w:vAlign w:val="center"/>
          </w:tcPr>
          <w:p w14:paraId="6A79DE5C" w14:textId="4BF7E1B8" w:rsidR="0087586F" w:rsidRPr="004307B1" w:rsidRDefault="0087586F" w:rsidP="00610471">
            <w:pPr>
              <w:rPr>
                <w:b/>
                <w:bCs/>
                <w:lang w:val="en-GB"/>
              </w:rPr>
            </w:pPr>
            <w:r w:rsidRPr="004307B1">
              <w:rPr>
                <w:sz w:val="23"/>
                <w:szCs w:val="23"/>
                <w:lang w:val="en-GB" w:bidi="en-GB"/>
              </w:rPr>
              <w:t xml:space="preserve">X </w:t>
            </w:r>
          </w:p>
        </w:tc>
        <w:tc>
          <w:tcPr>
            <w:tcW w:w="1868" w:type="dxa"/>
            <w:vAlign w:val="center"/>
          </w:tcPr>
          <w:p w14:paraId="60546941" w14:textId="7F9B35F8" w:rsidR="0087586F" w:rsidRPr="004307B1" w:rsidRDefault="0087586F" w:rsidP="00610471">
            <w:pPr>
              <w:rPr>
                <w:b/>
                <w:bCs/>
                <w:lang w:val="en-GB"/>
              </w:rPr>
            </w:pPr>
            <w:r w:rsidRPr="004307B1">
              <w:rPr>
                <w:sz w:val="23"/>
                <w:szCs w:val="23"/>
                <w:lang w:val="en-GB" w:bidi="en-GB"/>
              </w:rPr>
              <w:t xml:space="preserve">210 000 </w:t>
            </w:r>
          </w:p>
        </w:tc>
      </w:tr>
      <w:tr w:rsidR="0087586F" w:rsidRPr="004307B1" w14:paraId="531B4B12" w14:textId="77777777" w:rsidTr="0087586F">
        <w:tc>
          <w:tcPr>
            <w:tcW w:w="988" w:type="dxa"/>
          </w:tcPr>
          <w:p w14:paraId="198828CC" w14:textId="29DE9DB6" w:rsidR="0087586F" w:rsidRPr="004307B1" w:rsidRDefault="0087586F" w:rsidP="00610471">
            <w:pPr>
              <w:jc w:val="both"/>
              <w:rPr>
                <w:b/>
                <w:bCs/>
                <w:lang w:val="en-GB"/>
              </w:rPr>
            </w:pPr>
            <w:r w:rsidRPr="004307B1">
              <w:rPr>
                <w:b/>
                <w:lang w:val="en-GB" w:bidi="en-GB"/>
              </w:rPr>
              <w:t>8.</w:t>
            </w:r>
          </w:p>
        </w:tc>
        <w:tc>
          <w:tcPr>
            <w:tcW w:w="2746" w:type="dxa"/>
          </w:tcPr>
          <w:p w14:paraId="1791C87E" w14:textId="1628679D" w:rsidR="0087586F" w:rsidRPr="004307B1" w:rsidRDefault="0087586F" w:rsidP="00610471">
            <w:pPr>
              <w:pStyle w:val="Default"/>
              <w:jc w:val="both"/>
              <w:rPr>
                <w:sz w:val="23"/>
                <w:szCs w:val="23"/>
                <w:lang w:val="en-GB"/>
              </w:rPr>
            </w:pPr>
            <w:r w:rsidRPr="004307B1">
              <w:rPr>
                <w:sz w:val="23"/>
                <w:szCs w:val="23"/>
                <w:lang w:val="en-GB" w:bidi="en-GB"/>
              </w:rPr>
              <w:t xml:space="preserve">Training for the Contracting Authority's drivers </w:t>
            </w:r>
          </w:p>
        </w:tc>
        <w:tc>
          <w:tcPr>
            <w:tcW w:w="1868" w:type="dxa"/>
            <w:vAlign w:val="center"/>
          </w:tcPr>
          <w:p w14:paraId="4EC54DF5" w14:textId="59869DC9" w:rsidR="0087586F" w:rsidRPr="004307B1" w:rsidRDefault="0087586F" w:rsidP="00610471">
            <w:pPr>
              <w:rPr>
                <w:b/>
                <w:bCs/>
                <w:lang w:val="en-GB"/>
              </w:rPr>
            </w:pPr>
            <w:r w:rsidRPr="004307B1">
              <w:rPr>
                <w:sz w:val="23"/>
                <w:szCs w:val="23"/>
                <w:lang w:val="en-GB" w:bidi="en-GB"/>
              </w:rPr>
              <w:t xml:space="preserve">X </w:t>
            </w:r>
          </w:p>
        </w:tc>
        <w:tc>
          <w:tcPr>
            <w:tcW w:w="1868" w:type="dxa"/>
            <w:vAlign w:val="center"/>
          </w:tcPr>
          <w:p w14:paraId="024C9516" w14:textId="1C602048" w:rsidR="0087586F" w:rsidRPr="004307B1" w:rsidRDefault="0087586F" w:rsidP="00610471">
            <w:pPr>
              <w:rPr>
                <w:b/>
                <w:bCs/>
                <w:lang w:val="en-GB"/>
              </w:rPr>
            </w:pPr>
            <w:r w:rsidRPr="004307B1">
              <w:rPr>
                <w:sz w:val="23"/>
                <w:szCs w:val="23"/>
                <w:lang w:val="en-GB" w:bidi="en-GB"/>
              </w:rPr>
              <w:t xml:space="preserve">X </w:t>
            </w:r>
          </w:p>
        </w:tc>
        <w:tc>
          <w:tcPr>
            <w:tcW w:w="1868" w:type="dxa"/>
            <w:vAlign w:val="center"/>
          </w:tcPr>
          <w:p w14:paraId="4F0021BE" w14:textId="2EC33217" w:rsidR="0087586F" w:rsidRPr="004307B1" w:rsidRDefault="0087586F" w:rsidP="00610471">
            <w:pPr>
              <w:rPr>
                <w:b/>
                <w:bCs/>
                <w:lang w:val="en-GB"/>
              </w:rPr>
            </w:pPr>
            <w:r w:rsidRPr="004307B1">
              <w:rPr>
                <w:sz w:val="23"/>
                <w:szCs w:val="23"/>
                <w:lang w:val="en-GB" w:bidi="en-GB"/>
              </w:rPr>
              <w:t xml:space="preserve">250 000 </w:t>
            </w:r>
          </w:p>
        </w:tc>
      </w:tr>
      <w:tr w:rsidR="00291CB1" w:rsidRPr="004307B1" w14:paraId="21A49739" w14:textId="77777777" w:rsidTr="0087586F">
        <w:tc>
          <w:tcPr>
            <w:tcW w:w="988" w:type="dxa"/>
          </w:tcPr>
          <w:p w14:paraId="591BC23C" w14:textId="6478A1E4" w:rsidR="00291CB1" w:rsidRPr="004307B1" w:rsidRDefault="00291CB1" w:rsidP="00610471">
            <w:pPr>
              <w:jc w:val="both"/>
              <w:rPr>
                <w:b/>
                <w:bCs/>
                <w:lang w:val="en-GB"/>
              </w:rPr>
            </w:pPr>
          </w:p>
        </w:tc>
        <w:tc>
          <w:tcPr>
            <w:tcW w:w="2746" w:type="dxa"/>
          </w:tcPr>
          <w:p w14:paraId="18F769B1" w14:textId="685DE5C4" w:rsidR="00291CB1" w:rsidRPr="004307B1" w:rsidRDefault="00FC0601" w:rsidP="00610471">
            <w:pPr>
              <w:pStyle w:val="Default"/>
              <w:jc w:val="both"/>
              <w:rPr>
                <w:sz w:val="23"/>
                <w:szCs w:val="23"/>
                <w:lang w:val="en-GB"/>
              </w:rPr>
            </w:pPr>
            <w:r w:rsidRPr="004307B1">
              <w:rPr>
                <w:sz w:val="23"/>
                <w:szCs w:val="23"/>
                <w:lang w:val="en-GB" w:bidi="en-GB"/>
              </w:rPr>
              <w:t xml:space="preserve">Total price in EUR, VAT excluded </w:t>
            </w:r>
          </w:p>
        </w:tc>
        <w:tc>
          <w:tcPr>
            <w:tcW w:w="1868" w:type="dxa"/>
            <w:vAlign w:val="center"/>
          </w:tcPr>
          <w:p w14:paraId="669E625F" w14:textId="77777777" w:rsidR="00291CB1" w:rsidRPr="004307B1" w:rsidRDefault="00291CB1" w:rsidP="00610471">
            <w:pPr>
              <w:rPr>
                <w:b/>
                <w:bCs/>
                <w:lang w:val="en-GB"/>
              </w:rPr>
            </w:pPr>
          </w:p>
        </w:tc>
        <w:tc>
          <w:tcPr>
            <w:tcW w:w="1868" w:type="dxa"/>
            <w:vAlign w:val="center"/>
          </w:tcPr>
          <w:p w14:paraId="6530C3C1" w14:textId="77777777" w:rsidR="00291CB1" w:rsidRPr="004307B1" w:rsidRDefault="00291CB1" w:rsidP="00610471">
            <w:pPr>
              <w:rPr>
                <w:b/>
                <w:bCs/>
                <w:lang w:val="en-GB"/>
              </w:rPr>
            </w:pPr>
          </w:p>
        </w:tc>
        <w:tc>
          <w:tcPr>
            <w:tcW w:w="1868" w:type="dxa"/>
            <w:vAlign w:val="center"/>
          </w:tcPr>
          <w:p w14:paraId="1AD2BCE0" w14:textId="638A1FA8" w:rsidR="00291CB1" w:rsidRPr="004307B1" w:rsidRDefault="0087586F" w:rsidP="00610471">
            <w:pPr>
              <w:pStyle w:val="Default"/>
              <w:rPr>
                <w:sz w:val="23"/>
                <w:szCs w:val="23"/>
                <w:lang w:val="en-GB"/>
              </w:rPr>
            </w:pPr>
            <w:r w:rsidRPr="004307B1">
              <w:rPr>
                <w:sz w:val="23"/>
                <w:szCs w:val="23"/>
                <w:lang w:val="en-GB" w:bidi="en-GB"/>
              </w:rPr>
              <w:t xml:space="preserve">63 975 000 </w:t>
            </w:r>
          </w:p>
        </w:tc>
      </w:tr>
    </w:tbl>
    <w:p w14:paraId="0032AE7F" w14:textId="77777777" w:rsidR="00291CB1" w:rsidRPr="004307B1" w:rsidRDefault="00291CB1" w:rsidP="00610471">
      <w:pPr>
        <w:jc w:val="both"/>
        <w:rPr>
          <w:b/>
          <w:bCs/>
          <w:lang w:val="en-GB"/>
        </w:rPr>
      </w:pPr>
    </w:p>
    <w:p w14:paraId="223670C7" w14:textId="77777777" w:rsidR="00EE1E88" w:rsidRPr="004307B1" w:rsidRDefault="00EE1E88" w:rsidP="00610471">
      <w:pPr>
        <w:jc w:val="both"/>
        <w:rPr>
          <w:lang w:val="en-GB"/>
        </w:rPr>
      </w:pPr>
      <w:r w:rsidRPr="004307B1">
        <w:rPr>
          <w:lang w:val="en-GB" w:bidi="en-GB"/>
        </w:rPr>
        <w:t xml:space="preserve">It is assumed that the delivery date of the last bus under Lot 1, in accordance with the Delivery Schedule, is 31 March 2028 if the option is not exercised, and 31 July 2028 if the additional option is exercised, for example in respect of 45 electric buses. Option exercised on 11.10.2027. </w:t>
      </w:r>
    </w:p>
    <w:p w14:paraId="3F56BEE1" w14:textId="1D9145A8" w:rsidR="00EE1E88" w:rsidRPr="004307B1" w:rsidRDefault="00EE1E88" w:rsidP="00610471">
      <w:pPr>
        <w:jc w:val="both"/>
        <w:rPr>
          <w:b/>
          <w:bCs/>
          <w:lang w:val="en-GB"/>
        </w:rPr>
      </w:pPr>
      <w:r w:rsidRPr="004307B1">
        <w:rPr>
          <w:b/>
          <w:lang w:val="en-GB" w:bidi="en-GB"/>
        </w:rPr>
        <w:lastRenderedPageBreak/>
        <w:t>Sample prices – Lot 2 (diesel buses):</w:t>
      </w:r>
    </w:p>
    <w:tbl>
      <w:tblPr>
        <w:tblStyle w:val="TableGrid"/>
        <w:tblW w:w="0" w:type="auto"/>
        <w:tblLook w:val="04A0" w:firstRow="1" w:lastRow="0" w:firstColumn="1" w:lastColumn="0" w:noHBand="0" w:noVBand="1"/>
      </w:tblPr>
      <w:tblGrid>
        <w:gridCol w:w="988"/>
        <w:gridCol w:w="2746"/>
        <w:gridCol w:w="1868"/>
        <w:gridCol w:w="1868"/>
        <w:gridCol w:w="1868"/>
      </w:tblGrid>
      <w:tr w:rsidR="00847FAC" w:rsidRPr="004307B1" w14:paraId="7C75A13A" w14:textId="77777777" w:rsidTr="00956FA5">
        <w:tc>
          <w:tcPr>
            <w:tcW w:w="988" w:type="dxa"/>
          </w:tcPr>
          <w:p w14:paraId="292B4413" w14:textId="77777777" w:rsidR="00847FAC" w:rsidRPr="004307B1" w:rsidRDefault="00847FAC" w:rsidP="00610471">
            <w:pPr>
              <w:jc w:val="both"/>
              <w:rPr>
                <w:b/>
                <w:bCs/>
                <w:lang w:val="en-GB"/>
              </w:rPr>
            </w:pPr>
            <w:r w:rsidRPr="004307B1">
              <w:rPr>
                <w:b/>
                <w:lang w:val="en-GB" w:bidi="en-GB"/>
              </w:rPr>
              <w:t>No.</w:t>
            </w:r>
          </w:p>
        </w:tc>
        <w:tc>
          <w:tcPr>
            <w:tcW w:w="2746" w:type="dxa"/>
          </w:tcPr>
          <w:p w14:paraId="7BDF525C" w14:textId="77777777" w:rsidR="00847FAC" w:rsidRPr="004307B1" w:rsidRDefault="00847FAC" w:rsidP="00610471">
            <w:pPr>
              <w:jc w:val="both"/>
              <w:rPr>
                <w:b/>
                <w:bCs/>
                <w:lang w:val="en-GB"/>
              </w:rPr>
            </w:pPr>
            <w:r w:rsidRPr="004307B1">
              <w:rPr>
                <w:b/>
                <w:lang w:val="en-GB" w:bidi="en-GB"/>
              </w:rPr>
              <w:t>Name</w:t>
            </w:r>
          </w:p>
        </w:tc>
        <w:tc>
          <w:tcPr>
            <w:tcW w:w="1868" w:type="dxa"/>
          </w:tcPr>
          <w:p w14:paraId="41677BDF" w14:textId="77777777" w:rsidR="00847FAC" w:rsidRPr="004307B1" w:rsidRDefault="00847FAC" w:rsidP="00610471">
            <w:pPr>
              <w:jc w:val="both"/>
              <w:rPr>
                <w:b/>
                <w:bCs/>
                <w:lang w:val="en-GB"/>
              </w:rPr>
            </w:pPr>
            <w:r w:rsidRPr="004307B1">
              <w:rPr>
                <w:b/>
                <w:lang w:val="en-GB" w:bidi="en-GB"/>
              </w:rPr>
              <w:t>Quantity</w:t>
            </w:r>
          </w:p>
        </w:tc>
        <w:tc>
          <w:tcPr>
            <w:tcW w:w="1868" w:type="dxa"/>
          </w:tcPr>
          <w:p w14:paraId="3A07FBF2" w14:textId="77777777" w:rsidR="00847FAC" w:rsidRPr="004307B1" w:rsidRDefault="00847FAC" w:rsidP="00610471">
            <w:pPr>
              <w:pStyle w:val="Default"/>
              <w:jc w:val="both"/>
              <w:rPr>
                <w:sz w:val="23"/>
                <w:szCs w:val="23"/>
                <w:lang w:val="en-GB"/>
              </w:rPr>
            </w:pPr>
            <w:r w:rsidRPr="004307B1">
              <w:rPr>
                <w:b/>
                <w:sz w:val="23"/>
                <w:szCs w:val="23"/>
                <w:lang w:val="en-GB" w:bidi="en-GB"/>
              </w:rPr>
              <w:t xml:space="preserve">Unit price, EUR without VAT </w:t>
            </w:r>
          </w:p>
        </w:tc>
        <w:tc>
          <w:tcPr>
            <w:tcW w:w="1868" w:type="dxa"/>
          </w:tcPr>
          <w:p w14:paraId="5F5935E6" w14:textId="77777777" w:rsidR="00847FAC" w:rsidRPr="004307B1" w:rsidRDefault="00847FAC" w:rsidP="00610471">
            <w:pPr>
              <w:pStyle w:val="Default"/>
              <w:jc w:val="both"/>
              <w:rPr>
                <w:sz w:val="23"/>
                <w:szCs w:val="23"/>
                <w:lang w:val="en-GB"/>
              </w:rPr>
            </w:pPr>
            <w:r w:rsidRPr="004307B1">
              <w:rPr>
                <w:b/>
                <w:sz w:val="23"/>
                <w:szCs w:val="23"/>
                <w:lang w:val="en-GB" w:bidi="en-GB"/>
              </w:rPr>
              <w:t xml:space="preserve">Total price, EUR without VAT </w:t>
            </w:r>
          </w:p>
        </w:tc>
      </w:tr>
      <w:tr w:rsidR="00B613B8" w:rsidRPr="004307B1" w14:paraId="16C602B2" w14:textId="77777777" w:rsidTr="00312E97">
        <w:tc>
          <w:tcPr>
            <w:tcW w:w="988" w:type="dxa"/>
          </w:tcPr>
          <w:p w14:paraId="47B724C2" w14:textId="77777777" w:rsidR="00B613B8" w:rsidRPr="004307B1" w:rsidRDefault="00B613B8" w:rsidP="00610471">
            <w:pPr>
              <w:jc w:val="both"/>
              <w:rPr>
                <w:b/>
                <w:bCs/>
                <w:lang w:val="en-GB"/>
              </w:rPr>
            </w:pPr>
            <w:r w:rsidRPr="004307B1">
              <w:rPr>
                <w:b/>
                <w:lang w:val="en-GB" w:bidi="en-GB"/>
              </w:rPr>
              <w:t>1.</w:t>
            </w:r>
          </w:p>
        </w:tc>
        <w:tc>
          <w:tcPr>
            <w:tcW w:w="2746" w:type="dxa"/>
          </w:tcPr>
          <w:p w14:paraId="5809F586" w14:textId="0EADC59A" w:rsidR="00B613B8" w:rsidRPr="004307B1" w:rsidRDefault="00B613B8" w:rsidP="00610471">
            <w:pPr>
              <w:pStyle w:val="Default"/>
              <w:jc w:val="both"/>
              <w:rPr>
                <w:sz w:val="23"/>
                <w:szCs w:val="23"/>
                <w:lang w:val="en-GB"/>
              </w:rPr>
            </w:pPr>
            <w:r w:rsidRPr="004307B1">
              <w:rPr>
                <w:sz w:val="23"/>
                <w:szCs w:val="23"/>
                <w:lang w:val="en-GB" w:bidi="en-GB"/>
              </w:rPr>
              <w:t xml:space="preserve">Supply of buses (60 diesel buses) </w:t>
            </w:r>
          </w:p>
        </w:tc>
        <w:tc>
          <w:tcPr>
            <w:tcW w:w="1868" w:type="dxa"/>
          </w:tcPr>
          <w:p w14:paraId="111D07B9" w14:textId="3B825340" w:rsidR="00B613B8" w:rsidRPr="004307B1" w:rsidRDefault="00B613B8" w:rsidP="00610471">
            <w:pPr>
              <w:rPr>
                <w:b/>
                <w:bCs/>
                <w:lang w:val="en-GB"/>
              </w:rPr>
            </w:pPr>
            <w:r w:rsidRPr="004307B1">
              <w:rPr>
                <w:sz w:val="23"/>
                <w:szCs w:val="23"/>
                <w:lang w:val="en-GB" w:bidi="en-GB"/>
              </w:rPr>
              <w:t xml:space="preserve">60 </w:t>
            </w:r>
          </w:p>
        </w:tc>
        <w:tc>
          <w:tcPr>
            <w:tcW w:w="1868" w:type="dxa"/>
          </w:tcPr>
          <w:p w14:paraId="21BE0938" w14:textId="11C0A1D5" w:rsidR="00B613B8" w:rsidRPr="004307B1" w:rsidRDefault="00B613B8" w:rsidP="00610471">
            <w:pPr>
              <w:rPr>
                <w:b/>
                <w:bCs/>
                <w:lang w:val="en-GB"/>
              </w:rPr>
            </w:pPr>
            <w:r w:rsidRPr="004307B1">
              <w:rPr>
                <w:sz w:val="23"/>
                <w:szCs w:val="23"/>
                <w:lang w:val="en-GB" w:bidi="en-GB"/>
              </w:rPr>
              <w:t xml:space="preserve">500 000 </w:t>
            </w:r>
          </w:p>
        </w:tc>
        <w:tc>
          <w:tcPr>
            <w:tcW w:w="1868" w:type="dxa"/>
          </w:tcPr>
          <w:p w14:paraId="127467FD" w14:textId="260D2B38" w:rsidR="00B613B8" w:rsidRPr="004307B1" w:rsidRDefault="00B613B8" w:rsidP="00610471">
            <w:pPr>
              <w:rPr>
                <w:b/>
                <w:bCs/>
                <w:lang w:val="en-GB"/>
              </w:rPr>
            </w:pPr>
            <w:r w:rsidRPr="004307B1">
              <w:rPr>
                <w:sz w:val="23"/>
                <w:szCs w:val="23"/>
                <w:lang w:val="en-GB" w:bidi="en-GB"/>
              </w:rPr>
              <w:t xml:space="preserve">30 000 000 </w:t>
            </w:r>
          </w:p>
        </w:tc>
      </w:tr>
      <w:tr w:rsidR="00B613B8" w:rsidRPr="004307B1" w14:paraId="01403E54" w14:textId="77777777" w:rsidTr="00014D39">
        <w:tc>
          <w:tcPr>
            <w:tcW w:w="988" w:type="dxa"/>
          </w:tcPr>
          <w:p w14:paraId="45621977" w14:textId="77777777" w:rsidR="00B613B8" w:rsidRPr="004307B1" w:rsidRDefault="00B613B8" w:rsidP="00610471">
            <w:pPr>
              <w:jc w:val="both"/>
              <w:rPr>
                <w:b/>
                <w:bCs/>
                <w:lang w:val="en-GB"/>
              </w:rPr>
            </w:pPr>
            <w:r w:rsidRPr="004307B1">
              <w:rPr>
                <w:b/>
                <w:lang w:val="en-GB" w:bidi="en-GB"/>
              </w:rPr>
              <w:t>2.</w:t>
            </w:r>
          </w:p>
        </w:tc>
        <w:tc>
          <w:tcPr>
            <w:tcW w:w="2746" w:type="dxa"/>
          </w:tcPr>
          <w:p w14:paraId="5F77C9EA" w14:textId="375AA357" w:rsidR="00B613B8" w:rsidRPr="004307B1" w:rsidRDefault="00B613B8" w:rsidP="00610471">
            <w:pPr>
              <w:pStyle w:val="Default"/>
              <w:jc w:val="both"/>
              <w:rPr>
                <w:sz w:val="23"/>
                <w:szCs w:val="23"/>
                <w:lang w:val="en-GB"/>
              </w:rPr>
            </w:pPr>
            <w:r w:rsidRPr="004307B1">
              <w:rPr>
                <w:sz w:val="23"/>
                <w:szCs w:val="23"/>
                <w:lang w:val="en-GB" w:bidi="en-GB"/>
              </w:rPr>
              <w:t xml:space="preserve">Special tools and diagnostic equipment </w:t>
            </w:r>
          </w:p>
        </w:tc>
        <w:tc>
          <w:tcPr>
            <w:tcW w:w="1868" w:type="dxa"/>
          </w:tcPr>
          <w:p w14:paraId="1189EE20" w14:textId="2B39052B" w:rsidR="00B613B8" w:rsidRPr="004307B1" w:rsidRDefault="00B613B8" w:rsidP="00610471">
            <w:pPr>
              <w:rPr>
                <w:b/>
                <w:bCs/>
                <w:lang w:val="en-GB"/>
              </w:rPr>
            </w:pPr>
            <w:r w:rsidRPr="004307B1">
              <w:rPr>
                <w:sz w:val="23"/>
                <w:szCs w:val="23"/>
                <w:lang w:val="en-GB" w:bidi="en-GB"/>
              </w:rPr>
              <w:t xml:space="preserve">X </w:t>
            </w:r>
          </w:p>
        </w:tc>
        <w:tc>
          <w:tcPr>
            <w:tcW w:w="1868" w:type="dxa"/>
          </w:tcPr>
          <w:p w14:paraId="73810C7A" w14:textId="4587FDD0" w:rsidR="00B613B8" w:rsidRPr="004307B1" w:rsidRDefault="00B613B8" w:rsidP="00610471">
            <w:pPr>
              <w:rPr>
                <w:b/>
                <w:bCs/>
                <w:lang w:val="en-GB"/>
              </w:rPr>
            </w:pPr>
            <w:r w:rsidRPr="004307B1">
              <w:rPr>
                <w:sz w:val="23"/>
                <w:szCs w:val="23"/>
                <w:lang w:val="en-GB" w:bidi="en-GB"/>
              </w:rPr>
              <w:t xml:space="preserve">X </w:t>
            </w:r>
          </w:p>
        </w:tc>
        <w:tc>
          <w:tcPr>
            <w:tcW w:w="1868" w:type="dxa"/>
            <w:vAlign w:val="center"/>
          </w:tcPr>
          <w:p w14:paraId="38C88FC5" w14:textId="1D6ED07C" w:rsidR="00B613B8" w:rsidRPr="004307B1" w:rsidRDefault="00B613B8" w:rsidP="00610471">
            <w:pPr>
              <w:rPr>
                <w:b/>
                <w:bCs/>
                <w:lang w:val="en-GB"/>
              </w:rPr>
            </w:pPr>
          </w:p>
        </w:tc>
      </w:tr>
      <w:tr w:rsidR="00B613B8" w:rsidRPr="004307B1" w14:paraId="67830CED" w14:textId="77777777" w:rsidTr="00213C5C">
        <w:tc>
          <w:tcPr>
            <w:tcW w:w="988" w:type="dxa"/>
          </w:tcPr>
          <w:p w14:paraId="18A3D41D" w14:textId="77777777" w:rsidR="00B613B8" w:rsidRPr="004307B1" w:rsidRDefault="00B613B8" w:rsidP="00610471">
            <w:pPr>
              <w:jc w:val="both"/>
              <w:rPr>
                <w:b/>
                <w:bCs/>
                <w:lang w:val="en-GB"/>
              </w:rPr>
            </w:pPr>
            <w:r w:rsidRPr="004307B1">
              <w:rPr>
                <w:b/>
                <w:lang w:val="en-GB" w:bidi="en-GB"/>
              </w:rPr>
              <w:t>3.</w:t>
            </w:r>
          </w:p>
        </w:tc>
        <w:tc>
          <w:tcPr>
            <w:tcW w:w="2746" w:type="dxa"/>
          </w:tcPr>
          <w:p w14:paraId="600D2DD5" w14:textId="5F52F598" w:rsidR="00B613B8" w:rsidRPr="004307B1" w:rsidRDefault="00B613B8" w:rsidP="00610471">
            <w:pPr>
              <w:pStyle w:val="Default"/>
              <w:jc w:val="both"/>
              <w:rPr>
                <w:sz w:val="23"/>
                <w:szCs w:val="23"/>
                <w:lang w:val="en-GB"/>
              </w:rPr>
            </w:pPr>
            <w:r w:rsidRPr="004307B1">
              <w:rPr>
                <w:sz w:val="23"/>
                <w:szCs w:val="23"/>
                <w:lang w:val="en-GB" w:bidi="en-GB"/>
              </w:rPr>
              <w:t xml:space="preserve">Spare parts and materials for periodic maintenance (for 60 vehicles) </w:t>
            </w:r>
          </w:p>
        </w:tc>
        <w:tc>
          <w:tcPr>
            <w:tcW w:w="1868" w:type="dxa"/>
          </w:tcPr>
          <w:p w14:paraId="74A42CCA" w14:textId="0CA4B864" w:rsidR="00B613B8" w:rsidRPr="004307B1" w:rsidRDefault="00B613B8" w:rsidP="00610471">
            <w:pPr>
              <w:rPr>
                <w:b/>
                <w:bCs/>
                <w:lang w:val="en-GB"/>
              </w:rPr>
            </w:pPr>
            <w:r w:rsidRPr="004307B1">
              <w:rPr>
                <w:sz w:val="23"/>
                <w:szCs w:val="23"/>
                <w:lang w:val="en-GB" w:bidi="en-GB"/>
              </w:rPr>
              <w:t xml:space="preserve">60 </w:t>
            </w:r>
          </w:p>
        </w:tc>
        <w:tc>
          <w:tcPr>
            <w:tcW w:w="1868" w:type="dxa"/>
          </w:tcPr>
          <w:p w14:paraId="595732D3" w14:textId="26428495" w:rsidR="00B613B8" w:rsidRPr="004307B1" w:rsidRDefault="00B613B8" w:rsidP="00610471">
            <w:pPr>
              <w:rPr>
                <w:b/>
                <w:bCs/>
                <w:lang w:val="en-GB"/>
              </w:rPr>
            </w:pPr>
            <w:r w:rsidRPr="004307B1">
              <w:rPr>
                <w:sz w:val="23"/>
                <w:szCs w:val="23"/>
                <w:lang w:val="en-GB" w:bidi="en-GB"/>
              </w:rPr>
              <w:t xml:space="preserve">70 000 </w:t>
            </w:r>
          </w:p>
        </w:tc>
        <w:tc>
          <w:tcPr>
            <w:tcW w:w="1868" w:type="dxa"/>
          </w:tcPr>
          <w:p w14:paraId="0145A2CC" w14:textId="60E52111" w:rsidR="00B613B8" w:rsidRPr="004307B1" w:rsidRDefault="00B613B8" w:rsidP="00610471">
            <w:pPr>
              <w:rPr>
                <w:b/>
                <w:bCs/>
                <w:lang w:val="en-GB"/>
              </w:rPr>
            </w:pPr>
            <w:r w:rsidRPr="004307B1">
              <w:rPr>
                <w:sz w:val="23"/>
                <w:szCs w:val="23"/>
                <w:lang w:val="en-GB" w:bidi="en-GB"/>
              </w:rPr>
              <w:t xml:space="preserve">4 200 000 </w:t>
            </w:r>
          </w:p>
        </w:tc>
      </w:tr>
      <w:tr w:rsidR="00B613B8" w:rsidRPr="004307B1" w14:paraId="012ACEE5" w14:textId="77777777" w:rsidTr="00DA52CE">
        <w:tc>
          <w:tcPr>
            <w:tcW w:w="988" w:type="dxa"/>
          </w:tcPr>
          <w:p w14:paraId="2993CF5E" w14:textId="77777777" w:rsidR="00B613B8" w:rsidRPr="004307B1" w:rsidRDefault="00B613B8" w:rsidP="00610471">
            <w:pPr>
              <w:jc w:val="both"/>
              <w:rPr>
                <w:b/>
                <w:bCs/>
                <w:lang w:val="en-GB"/>
              </w:rPr>
            </w:pPr>
            <w:r w:rsidRPr="004307B1">
              <w:rPr>
                <w:b/>
                <w:lang w:val="en-GB" w:bidi="en-GB"/>
              </w:rPr>
              <w:t>4</w:t>
            </w:r>
          </w:p>
        </w:tc>
        <w:tc>
          <w:tcPr>
            <w:tcW w:w="2746" w:type="dxa"/>
          </w:tcPr>
          <w:p w14:paraId="26872457" w14:textId="01F1D6DE" w:rsidR="00B613B8" w:rsidRPr="004307B1" w:rsidRDefault="00B613B8" w:rsidP="00610471">
            <w:pPr>
              <w:pStyle w:val="Default"/>
              <w:jc w:val="both"/>
              <w:rPr>
                <w:sz w:val="23"/>
                <w:szCs w:val="23"/>
                <w:lang w:val="en-GB"/>
              </w:rPr>
            </w:pPr>
            <w:r w:rsidRPr="004307B1">
              <w:rPr>
                <w:sz w:val="23"/>
                <w:szCs w:val="23"/>
                <w:lang w:val="en-GB" w:bidi="en-GB"/>
              </w:rPr>
              <w:t xml:space="preserve">Revolving stock of spare parts </w:t>
            </w:r>
          </w:p>
        </w:tc>
        <w:tc>
          <w:tcPr>
            <w:tcW w:w="1868" w:type="dxa"/>
          </w:tcPr>
          <w:p w14:paraId="2989D341" w14:textId="35CCC0B1" w:rsidR="00B613B8" w:rsidRPr="004307B1" w:rsidRDefault="00B613B8" w:rsidP="00610471">
            <w:pPr>
              <w:rPr>
                <w:b/>
                <w:bCs/>
                <w:lang w:val="en-GB"/>
              </w:rPr>
            </w:pPr>
            <w:r w:rsidRPr="004307B1">
              <w:rPr>
                <w:sz w:val="23"/>
                <w:szCs w:val="23"/>
                <w:lang w:val="en-GB" w:bidi="en-GB"/>
              </w:rPr>
              <w:t xml:space="preserve">X </w:t>
            </w:r>
          </w:p>
        </w:tc>
        <w:tc>
          <w:tcPr>
            <w:tcW w:w="1868" w:type="dxa"/>
          </w:tcPr>
          <w:p w14:paraId="277A408D" w14:textId="0B090911" w:rsidR="00B613B8" w:rsidRPr="004307B1" w:rsidRDefault="00B613B8" w:rsidP="00610471">
            <w:pPr>
              <w:rPr>
                <w:b/>
                <w:bCs/>
                <w:lang w:val="en-GB"/>
              </w:rPr>
            </w:pPr>
            <w:r w:rsidRPr="004307B1">
              <w:rPr>
                <w:sz w:val="23"/>
                <w:szCs w:val="23"/>
                <w:lang w:val="en-GB" w:bidi="en-GB"/>
              </w:rPr>
              <w:t xml:space="preserve">X </w:t>
            </w:r>
          </w:p>
        </w:tc>
        <w:tc>
          <w:tcPr>
            <w:tcW w:w="1868" w:type="dxa"/>
          </w:tcPr>
          <w:p w14:paraId="180B3632" w14:textId="74AD9595" w:rsidR="00B613B8" w:rsidRPr="004307B1" w:rsidRDefault="00B613B8" w:rsidP="00610471">
            <w:pPr>
              <w:rPr>
                <w:b/>
                <w:bCs/>
                <w:lang w:val="en-GB"/>
              </w:rPr>
            </w:pPr>
            <w:r w:rsidRPr="004307B1">
              <w:rPr>
                <w:sz w:val="23"/>
                <w:szCs w:val="23"/>
                <w:lang w:val="en-GB" w:bidi="en-GB"/>
              </w:rPr>
              <w:t xml:space="preserve">320 000 </w:t>
            </w:r>
          </w:p>
        </w:tc>
      </w:tr>
      <w:tr w:rsidR="00B613B8" w:rsidRPr="004307B1" w14:paraId="4BB7083E" w14:textId="77777777" w:rsidTr="004F3EA6">
        <w:tc>
          <w:tcPr>
            <w:tcW w:w="988" w:type="dxa"/>
          </w:tcPr>
          <w:p w14:paraId="624FD98B" w14:textId="77777777" w:rsidR="00B613B8" w:rsidRPr="004307B1" w:rsidRDefault="00B613B8" w:rsidP="00610471">
            <w:pPr>
              <w:jc w:val="both"/>
              <w:rPr>
                <w:b/>
                <w:bCs/>
                <w:lang w:val="en-GB"/>
              </w:rPr>
            </w:pPr>
            <w:r w:rsidRPr="004307B1">
              <w:rPr>
                <w:b/>
                <w:lang w:val="en-GB" w:bidi="en-GB"/>
              </w:rPr>
              <w:t>5.</w:t>
            </w:r>
          </w:p>
        </w:tc>
        <w:tc>
          <w:tcPr>
            <w:tcW w:w="2746" w:type="dxa"/>
          </w:tcPr>
          <w:p w14:paraId="2C5985BC" w14:textId="2281178B" w:rsidR="00B613B8" w:rsidRPr="004307B1" w:rsidRDefault="00B613B8" w:rsidP="00610471">
            <w:pPr>
              <w:pStyle w:val="Default"/>
              <w:jc w:val="both"/>
              <w:rPr>
                <w:sz w:val="23"/>
                <w:szCs w:val="23"/>
                <w:lang w:val="en-GB"/>
              </w:rPr>
            </w:pPr>
            <w:r w:rsidRPr="004307B1">
              <w:rPr>
                <w:sz w:val="23"/>
                <w:szCs w:val="23"/>
                <w:lang w:val="en-GB" w:bidi="en-GB"/>
              </w:rPr>
              <w:t xml:space="preserve">Technical documentation </w:t>
            </w:r>
          </w:p>
        </w:tc>
        <w:tc>
          <w:tcPr>
            <w:tcW w:w="1868" w:type="dxa"/>
          </w:tcPr>
          <w:p w14:paraId="016C533E" w14:textId="4D70E871" w:rsidR="00B613B8" w:rsidRPr="004307B1" w:rsidRDefault="00B613B8" w:rsidP="00610471">
            <w:pPr>
              <w:rPr>
                <w:b/>
                <w:bCs/>
                <w:lang w:val="en-GB"/>
              </w:rPr>
            </w:pPr>
            <w:r w:rsidRPr="004307B1">
              <w:rPr>
                <w:sz w:val="23"/>
                <w:szCs w:val="23"/>
                <w:lang w:val="en-GB" w:bidi="en-GB"/>
              </w:rPr>
              <w:t xml:space="preserve">X </w:t>
            </w:r>
          </w:p>
        </w:tc>
        <w:tc>
          <w:tcPr>
            <w:tcW w:w="1868" w:type="dxa"/>
          </w:tcPr>
          <w:p w14:paraId="33C2321D" w14:textId="7F9212AF" w:rsidR="00B613B8" w:rsidRPr="004307B1" w:rsidRDefault="00B613B8" w:rsidP="00610471">
            <w:pPr>
              <w:rPr>
                <w:b/>
                <w:bCs/>
                <w:lang w:val="en-GB"/>
              </w:rPr>
            </w:pPr>
            <w:r w:rsidRPr="004307B1">
              <w:rPr>
                <w:sz w:val="23"/>
                <w:szCs w:val="23"/>
                <w:lang w:val="en-GB" w:bidi="en-GB"/>
              </w:rPr>
              <w:t xml:space="preserve">X </w:t>
            </w:r>
          </w:p>
        </w:tc>
        <w:tc>
          <w:tcPr>
            <w:tcW w:w="1868" w:type="dxa"/>
          </w:tcPr>
          <w:p w14:paraId="3C094C0B" w14:textId="21E3C966" w:rsidR="00B613B8" w:rsidRPr="004307B1" w:rsidRDefault="00B613B8" w:rsidP="00610471">
            <w:pPr>
              <w:rPr>
                <w:b/>
                <w:bCs/>
                <w:lang w:val="en-GB"/>
              </w:rPr>
            </w:pPr>
            <w:r w:rsidRPr="004307B1">
              <w:rPr>
                <w:sz w:val="23"/>
                <w:szCs w:val="23"/>
                <w:lang w:val="en-GB" w:bidi="en-GB"/>
              </w:rPr>
              <w:t xml:space="preserve">190 000 </w:t>
            </w:r>
          </w:p>
        </w:tc>
      </w:tr>
      <w:tr w:rsidR="00B613B8" w:rsidRPr="004307B1" w14:paraId="779B4D4A" w14:textId="77777777" w:rsidTr="00B41F07">
        <w:tc>
          <w:tcPr>
            <w:tcW w:w="988" w:type="dxa"/>
          </w:tcPr>
          <w:p w14:paraId="47C40432" w14:textId="77777777" w:rsidR="00B613B8" w:rsidRPr="004307B1" w:rsidRDefault="00B613B8" w:rsidP="00610471">
            <w:pPr>
              <w:jc w:val="both"/>
              <w:rPr>
                <w:b/>
                <w:bCs/>
                <w:lang w:val="en-GB"/>
              </w:rPr>
            </w:pPr>
            <w:r w:rsidRPr="004307B1">
              <w:rPr>
                <w:b/>
                <w:lang w:val="en-GB" w:bidi="en-GB"/>
              </w:rPr>
              <w:t>6.</w:t>
            </w:r>
          </w:p>
        </w:tc>
        <w:tc>
          <w:tcPr>
            <w:tcW w:w="2746" w:type="dxa"/>
          </w:tcPr>
          <w:p w14:paraId="45E1CB8E" w14:textId="16B1754C" w:rsidR="00B613B8" w:rsidRPr="004307B1" w:rsidRDefault="00B613B8" w:rsidP="00610471">
            <w:pPr>
              <w:pStyle w:val="Default"/>
              <w:jc w:val="both"/>
              <w:rPr>
                <w:sz w:val="23"/>
                <w:szCs w:val="23"/>
                <w:lang w:val="en-GB"/>
              </w:rPr>
            </w:pPr>
            <w:r w:rsidRPr="004307B1">
              <w:rPr>
                <w:sz w:val="23"/>
                <w:szCs w:val="23"/>
                <w:lang w:val="en-GB" w:bidi="en-GB"/>
              </w:rPr>
              <w:t xml:space="preserve">Training for the Contracting Authority's technical staff </w:t>
            </w:r>
          </w:p>
        </w:tc>
        <w:tc>
          <w:tcPr>
            <w:tcW w:w="1868" w:type="dxa"/>
          </w:tcPr>
          <w:p w14:paraId="024AD4D1" w14:textId="30ED8F9F" w:rsidR="00B613B8" w:rsidRPr="004307B1" w:rsidRDefault="00B613B8" w:rsidP="00610471">
            <w:pPr>
              <w:rPr>
                <w:b/>
                <w:bCs/>
                <w:lang w:val="en-GB"/>
              </w:rPr>
            </w:pPr>
            <w:r w:rsidRPr="004307B1">
              <w:rPr>
                <w:sz w:val="23"/>
                <w:szCs w:val="23"/>
                <w:lang w:val="en-GB" w:bidi="en-GB"/>
              </w:rPr>
              <w:t xml:space="preserve">X </w:t>
            </w:r>
          </w:p>
        </w:tc>
        <w:tc>
          <w:tcPr>
            <w:tcW w:w="1868" w:type="dxa"/>
          </w:tcPr>
          <w:p w14:paraId="0BD2FB52" w14:textId="24AB8448" w:rsidR="00B613B8" w:rsidRPr="004307B1" w:rsidRDefault="00B613B8" w:rsidP="00610471">
            <w:pPr>
              <w:rPr>
                <w:b/>
                <w:bCs/>
                <w:lang w:val="en-GB"/>
              </w:rPr>
            </w:pPr>
            <w:r w:rsidRPr="004307B1">
              <w:rPr>
                <w:sz w:val="23"/>
                <w:szCs w:val="23"/>
                <w:lang w:val="en-GB" w:bidi="en-GB"/>
              </w:rPr>
              <w:t xml:space="preserve">X </w:t>
            </w:r>
          </w:p>
        </w:tc>
        <w:tc>
          <w:tcPr>
            <w:tcW w:w="1868" w:type="dxa"/>
          </w:tcPr>
          <w:p w14:paraId="38001E68" w14:textId="62FE7680" w:rsidR="00B613B8" w:rsidRPr="004307B1" w:rsidRDefault="00B613B8" w:rsidP="00610471">
            <w:pPr>
              <w:rPr>
                <w:b/>
                <w:bCs/>
                <w:lang w:val="en-GB"/>
              </w:rPr>
            </w:pPr>
            <w:r w:rsidRPr="004307B1">
              <w:rPr>
                <w:sz w:val="23"/>
                <w:szCs w:val="23"/>
                <w:lang w:val="en-GB" w:bidi="en-GB"/>
              </w:rPr>
              <w:t xml:space="preserve">175 000 </w:t>
            </w:r>
          </w:p>
        </w:tc>
      </w:tr>
      <w:tr w:rsidR="00616469" w:rsidRPr="004307B1" w14:paraId="1D4329E4" w14:textId="77777777" w:rsidTr="00CD4B10">
        <w:tc>
          <w:tcPr>
            <w:tcW w:w="988" w:type="dxa"/>
          </w:tcPr>
          <w:p w14:paraId="1BF118C8" w14:textId="77777777" w:rsidR="00616469" w:rsidRPr="004307B1" w:rsidRDefault="00616469" w:rsidP="00610471">
            <w:pPr>
              <w:jc w:val="both"/>
              <w:rPr>
                <w:b/>
                <w:bCs/>
                <w:lang w:val="en-GB"/>
              </w:rPr>
            </w:pPr>
            <w:r w:rsidRPr="004307B1">
              <w:rPr>
                <w:b/>
                <w:lang w:val="en-GB" w:bidi="en-GB"/>
              </w:rPr>
              <w:t>7</w:t>
            </w:r>
          </w:p>
        </w:tc>
        <w:tc>
          <w:tcPr>
            <w:tcW w:w="2746" w:type="dxa"/>
          </w:tcPr>
          <w:p w14:paraId="0B505EBE" w14:textId="63023F91" w:rsidR="00616469" w:rsidRPr="004307B1" w:rsidRDefault="00616469" w:rsidP="00610471">
            <w:pPr>
              <w:pStyle w:val="Default"/>
              <w:jc w:val="both"/>
              <w:rPr>
                <w:sz w:val="23"/>
                <w:szCs w:val="23"/>
                <w:lang w:val="en-GB"/>
              </w:rPr>
            </w:pPr>
            <w:r w:rsidRPr="004307B1">
              <w:rPr>
                <w:sz w:val="23"/>
                <w:szCs w:val="23"/>
                <w:lang w:val="en-GB" w:bidi="en-GB"/>
              </w:rPr>
              <w:t xml:space="preserve">Training for the Contracting Authority's drivers </w:t>
            </w:r>
          </w:p>
        </w:tc>
        <w:tc>
          <w:tcPr>
            <w:tcW w:w="1868" w:type="dxa"/>
          </w:tcPr>
          <w:p w14:paraId="254F4756" w14:textId="684D878C" w:rsidR="00616469" w:rsidRPr="004307B1" w:rsidRDefault="00616469" w:rsidP="00610471">
            <w:pPr>
              <w:rPr>
                <w:b/>
                <w:bCs/>
                <w:lang w:val="en-GB"/>
              </w:rPr>
            </w:pPr>
            <w:r w:rsidRPr="004307B1">
              <w:rPr>
                <w:sz w:val="23"/>
                <w:szCs w:val="23"/>
                <w:lang w:val="en-GB" w:bidi="en-GB"/>
              </w:rPr>
              <w:t xml:space="preserve">X </w:t>
            </w:r>
          </w:p>
        </w:tc>
        <w:tc>
          <w:tcPr>
            <w:tcW w:w="1868" w:type="dxa"/>
          </w:tcPr>
          <w:p w14:paraId="6D707D70" w14:textId="0155F8F4" w:rsidR="00616469" w:rsidRPr="004307B1" w:rsidRDefault="00616469" w:rsidP="00610471">
            <w:pPr>
              <w:rPr>
                <w:b/>
                <w:bCs/>
                <w:lang w:val="en-GB"/>
              </w:rPr>
            </w:pPr>
            <w:r w:rsidRPr="004307B1">
              <w:rPr>
                <w:sz w:val="23"/>
                <w:szCs w:val="23"/>
                <w:lang w:val="en-GB" w:bidi="en-GB"/>
              </w:rPr>
              <w:t xml:space="preserve">X </w:t>
            </w:r>
          </w:p>
        </w:tc>
        <w:tc>
          <w:tcPr>
            <w:tcW w:w="1868" w:type="dxa"/>
          </w:tcPr>
          <w:p w14:paraId="0F8931AB" w14:textId="5A3C5C1D" w:rsidR="00616469" w:rsidRPr="004307B1" w:rsidRDefault="00616469" w:rsidP="00610471">
            <w:pPr>
              <w:rPr>
                <w:b/>
                <w:bCs/>
                <w:lang w:val="en-GB"/>
              </w:rPr>
            </w:pPr>
            <w:r w:rsidRPr="004307B1">
              <w:rPr>
                <w:sz w:val="23"/>
                <w:szCs w:val="23"/>
                <w:lang w:val="en-GB" w:bidi="en-GB"/>
              </w:rPr>
              <w:t xml:space="preserve">265 000 </w:t>
            </w:r>
          </w:p>
        </w:tc>
      </w:tr>
      <w:tr w:rsidR="00847FAC" w:rsidRPr="004307B1" w14:paraId="7070A625" w14:textId="77777777" w:rsidTr="00956FA5">
        <w:tc>
          <w:tcPr>
            <w:tcW w:w="988" w:type="dxa"/>
          </w:tcPr>
          <w:p w14:paraId="0EE21D30" w14:textId="77777777" w:rsidR="00847FAC" w:rsidRPr="004307B1" w:rsidRDefault="00847FAC" w:rsidP="00610471">
            <w:pPr>
              <w:jc w:val="both"/>
              <w:rPr>
                <w:b/>
                <w:bCs/>
                <w:lang w:val="en-GB"/>
              </w:rPr>
            </w:pPr>
          </w:p>
        </w:tc>
        <w:tc>
          <w:tcPr>
            <w:tcW w:w="2746" w:type="dxa"/>
          </w:tcPr>
          <w:p w14:paraId="138665AD" w14:textId="77777777" w:rsidR="00847FAC" w:rsidRPr="004307B1" w:rsidRDefault="00847FAC" w:rsidP="00610471">
            <w:pPr>
              <w:pStyle w:val="Default"/>
              <w:jc w:val="both"/>
              <w:rPr>
                <w:sz w:val="23"/>
                <w:szCs w:val="23"/>
                <w:lang w:val="en-GB"/>
              </w:rPr>
            </w:pPr>
            <w:r w:rsidRPr="004307B1">
              <w:rPr>
                <w:sz w:val="23"/>
                <w:szCs w:val="23"/>
                <w:lang w:val="en-GB" w:bidi="en-GB"/>
              </w:rPr>
              <w:t xml:space="preserve">Total price in EUR, VAT excluded </w:t>
            </w:r>
          </w:p>
        </w:tc>
        <w:tc>
          <w:tcPr>
            <w:tcW w:w="1868" w:type="dxa"/>
            <w:vAlign w:val="center"/>
          </w:tcPr>
          <w:p w14:paraId="25F749E8" w14:textId="77777777" w:rsidR="00847FAC" w:rsidRPr="004307B1" w:rsidRDefault="00847FAC" w:rsidP="00610471">
            <w:pPr>
              <w:rPr>
                <w:b/>
                <w:bCs/>
                <w:lang w:val="en-GB"/>
              </w:rPr>
            </w:pPr>
          </w:p>
        </w:tc>
        <w:tc>
          <w:tcPr>
            <w:tcW w:w="1868" w:type="dxa"/>
            <w:vAlign w:val="center"/>
          </w:tcPr>
          <w:p w14:paraId="1ADB1BA1" w14:textId="77777777" w:rsidR="00847FAC" w:rsidRPr="004307B1" w:rsidRDefault="00847FAC" w:rsidP="00610471">
            <w:pPr>
              <w:rPr>
                <w:b/>
                <w:bCs/>
                <w:lang w:val="en-GB"/>
              </w:rPr>
            </w:pPr>
          </w:p>
        </w:tc>
        <w:tc>
          <w:tcPr>
            <w:tcW w:w="1868" w:type="dxa"/>
            <w:vAlign w:val="center"/>
          </w:tcPr>
          <w:p w14:paraId="62BFBADD" w14:textId="5E9656A6" w:rsidR="00847FAC" w:rsidRPr="004307B1" w:rsidRDefault="00616469" w:rsidP="00610471">
            <w:pPr>
              <w:pStyle w:val="Default"/>
              <w:rPr>
                <w:sz w:val="23"/>
                <w:szCs w:val="23"/>
                <w:lang w:val="en-GB"/>
              </w:rPr>
            </w:pPr>
            <w:r w:rsidRPr="004307B1">
              <w:rPr>
                <w:sz w:val="23"/>
                <w:szCs w:val="23"/>
                <w:lang w:val="en-GB" w:bidi="en-GB"/>
              </w:rPr>
              <w:t xml:space="preserve">35 150 000 </w:t>
            </w:r>
          </w:p>
        </w:tc>
      </w:tr>
    </w:tbl>
    <w:p w14:paraId="6D852D64" w14:textId="77777777" w:rsidR="00847FAC" w:rsidRPr="004307B1" w:rsidRDefault="00847FAC" w:rsidP="00610471">
      <w:pPr>
        <w:jc w:val="both"/>
        <w:rPr>
          <w:b/>
          <w:bCs/>
          <w:lang w:val="en-GB"/>
        </w:rPr>
      </w:pPr>
    </w:p>
    <w:p w14:paraId="130B5C3E" w14:textId="77777777" w:rsidR="003C665B" w:rsidRPr="004307B1" w:rsidRDefault="003C665B" w:rsidP="00610471">
      <w:pPr>
        <w:jc w:val="both"/>
        <w:rPr>
          <w:lang w:val="en-GB"/>
        </w:rPr>
      </w:pPr>
      <w:r w:rsidRPr="004307B1">
        <w:rPr>
          <w:lang w:val="en-GB" w:bidi="en-GB"/>
        </w:rPr>
        <w:t xml:space="preserve">We assume that the delivery date of the last bus under Lot 2 of the Delivery Schedule is 30.11.2027. </w:t>
      </w:r>
    </w:p>
    <w:p w14:paraId="4F4EC9C8" w14:textId="77777777" w:rsidR="003C6218" w:rsidRPr="004307B1" w:rsidRDefault="003C6218" w:rsidP="00610471">
      <w:pPr>
        <w:jc w:val="both"/>
        <w:rPr>
          <w:lang w:val="en-GB"/>
        </w:rPr>
      </w:pPr>
    </w:p>
    <w:p w14:paraId="5707D235" w14:textId="32B4708E" w:rsidR="003C665B" w:rsidRPr="004307B1" w:rsidRDefault="003C665B" w:rsidP="00610471">
      <w:pPr>
        <w:jc w:val="both"/>
        <w:rPr>
          <w:lang w:val="en-GB"/>
        </w:rPr>
      </w:pPr>
      <w:r w:rsidRPr="004307B1">
        <w:rPr>
          <w:lang w:val="en-GB" w:bidi="en-GB"/>
        </w:rPr>
        <w:t xml:space="preserve">On the basis of the above model prices, we request the Contracting Authority to show with explanations and step-by-step calculations: 1) what total amount of contract performance security is required to be provided for each procurement lot; 2) which specific items of the Financial Proposal are included in that amount, to what extent they are included, and how the corresponding calculations are to be performed; 3) the specific date until which the guarantee must remain valid, or, in other words, the required validity period of the guarantee. The requested example calculations would ensure a uniform understanding among Tenderers and facilitate the preparation of the relevant </w:t>
      </w:r>
      <w:proofErr w:type="gramStart"/>
      <w:r w:rsidRPr="004307B1">
        <w:rPr>
          <w:lang w:val="en-GB" w:bidi="en-GB"/>
        </w:rPr>
        <w:t>guarantee</w:t>
      </w:r>
      <w:proofErr w:type="gramEnd"/>
      <w:r w:rsidRPr="004307B1">
        <w:rPr>
          <w:lang w:val="en-GB" w:bidi="en-GB"/>
        </w:rPr>
        <w:t xml:space="preserve"> instrument by guarantee providers (banks and insurance companies), as both the overall tender price and the ability to obtain the guarantee are directly dependent on the accuracy of these calculations.</w:t>
      </w:r>
    </w:p>
    <w:p w14:paraId="5AE584BA" w14:textId="77777777" w:rsidR="003C665B" w:rsidRPr="004307B1" w:rsidRDefault="003C665B" w:rsidP="00610471">
      <w:pPr>
        <w:jc w:val="both"/>
        <w:rPr>
          <w:b/>
          <w:bCs/>
          <w:lang w:val="en-GB"/>
        </w:rPr>
      </w:pPr>
    </w:p>
    <w:p w14:paraId="5B8BA397" w14:textId="7DE58524" w:rsidR="00193BC9" w:rsidRPr="004307B1" w:rsidRDefault="00931A18" w:rsidP="00610471">
      <w:pPr>
        <w:jc w:val="both"/>
        <w:rPr>
          <w:b/>
          <w:bCs/>
          <w:lang w:val="en-GB"/>
        </w:rPr>
      </w:pPr>
      <w:r w:rsidRPr="004307B1">
        <w:rPr>
          <w:b/>
          <w:lang w:val="en-GB" w:bidi="en-GB"/>
        </w:rPr>
        <w:t>Answer 19:</w:t>
      </w:r>
    </w:p>
    <w:p w14:paraId="43B54B45" w14:textId="54DBE1C7" w:rsidR="00C83F42" w:rsidRPr="004307B1" w:rsidRDefault="00C83F42" w:rsidP="00610471">
      <w:pPr>
        <w:ind w:firstLine="720"/>
        <w:jc w:val="both"/>
        <w:rPr>
          <w:lang w:val="en-GB"/>
        </w:rPr>
      </w:pPr>
      <w:r w:rsidRPr="004307B1">
        <w:rPr>
          <w:lang w:val="en-GB" w:bidi="en-GB"/>
        </w:rPr>
        <w:t>The Contracting Authority explains that the conditions for the performance security guarantee are set out in Clause 5 of the attached draft Contracts in Annex 6.1 (Lot 1) and Annex 6.2 (Lot 2) to the Regulations Paragraph 7.8 of the Regulations will be deleted. Please refer to the amendments published at www.eis.gov.lv and www.rigassatiksme.lv.</w:t>
      </w:r>
    </w:p>
    <w:p w14:paraId="712C42BD" w14:textId="77777777" w:rsidR="00585947" w:rsidRPr="004307B1" w:rsidRDefault="00585947" w:rsidP="00610471">
      <w:pPr>
        <w:ind w:firstLine="720"/>
        <w:jc w:val="both"/>
        <w:rPr>
          <w:b/>
          <w:bCs/>
          <w:lang w:val="en-GB"/>
        </w:rPr>
      </w:pPr>
    </w:p>
    <w:p w14:paraId="73062414" w14:textId="77777777" w:rsidR="00994B21" w:rsidRPr="004307B1" w:rsidRDefault="00994B21" w:rsidP="00610471">
      <w:pPr>
        <w:ind w:firstLine="720"/>
        <w:jc w:val="both"/>
        <w:rPr>
          <w:b/>
          <w:bCs/>
          <w:lang w:val="en-GB"/>
        </w:rPr>
      </w:pPr>
    </w:p>
    <w:p w14:paraId="0220ABF0" w14:textId="77777777" w:rsidR="00994B21" w:rsidRPr="004307B1" w:rsidRDefault="00994B21" w:rsidP="00610471">
      <w:pPr>
        <w:ind w:firstLine="720"/>
        <w:jc w:val="both"/>
        <w:rPr>
          <w:b/>
          <w:bCs/>
          <w:lang w:val="en-GB"/>
        </w:rPr>
      </w:pPr>
    </w:p>
    <w:p w14:paraId="66C7BB9B" w14:textId="4BBAB98C" w:rsidR="00193BC9" w:rsidRPr="004307B1" w:rsidRDefault="00931A18" w:rsidP="00610471">
      <w:pPr>
        <w:jc w:val="both"/>
        <w:rPr>
          <w:b/>
          <w:bCs/>
          <w:lang w:val="en-GB"/>
        </w:rPr>
      </w:pPr>
      <w:r w:rsidRPr="004307B1">
        <w:rPr>
          <w:b/>
          <w:lang w:val="en-GB" w:bidi="en-GB"/>
        </w:rPr>
        <w:t>Question 20:</w:t>
      </w:r>
    </w:p>
    <w:p w14:paraId="68407A05" w14:textId="77777777" w:rsidR="00201545" w:rsidRPr="004307B1" w:rsidRDefault="00201545" w:rsidP="00610471">
      <w:pPr>
        <w:jc w:val="both"/>
        <w:rPr>
          <w:lang w:val="en-GB"/>
        </w:rPr>
      </w:pPr>
      <w:r w:rsidRPr="004307B1">
        <w:rPr>
          <w:lang w:val="en-GB" w:bidi="en-GB"/>
        </w:rPr>
        <w:t xml:space="preserve">Paragraph 15.2 of the Regulations provides that, where a Tenderer submits a tender for Lot 1 or Lot 2 of the procurement, the Tenderer’s minimum annual net turnover during the last three completed financial years must not have been less than EUR 30,000,000. Paragraph 15.3 correspondingly establishes a minimum annual net turnover requirement of EUR 60,000,000 where tenders are submitted for both lots. The wording "minimum annual financial turnover during the last three completed financial years" is open to two different interpretations. </w:t>
      </w:r>
    </w:p>
    <w:p w14:paraId="0C95FEB1" w14:textId="77777777" w:rsidR="00201545" w:rsidRPr="004307B1" w:rsidRDefault="00201545" w:rsidP="00610471">
      <w:pPr>
        <w:jc w:val="both"/>
        <w:rPr>
          <w:lang w:val="en-GB"/>
        </w:rPr>
      </w:pPr>
      <w:r w:rsidRPr="004307B1">
        <w:rPr>
          <w:lang w:val="en-GB" w:bidi="en-GB"/>
        </w:rPr>
        <w:t xml:space="preserve">The first interpretation is that the turnover in each of the last three years must not have been less than €30 million or €60 million, which means that each year the Tenderer must meet the threshold </w:t>
      </w:r>
      <w:r w:rsidRPr="004307B1">
        <w:rPr>
          <w:lang w:val="en-GB" w:bidi="en-GB"/>
        </w:rPr>
        <w:lastRenderedPageBreak/>
        <w:t xml:space="preserve">requirement. The second interpretation is the requirement that the cumulative turnover of the last three years has not been less than €30 million or €60 million, which means that in one or more years the turnover can be less if the average level meets the threshold. </w:t>
      </w:r>
    </w:p>
    <w:p w14:paraId="00374CC6" w14:textId="715893DB" w:rsidR="00193BC9" w:rsidRPr="004307B1" w:rsidRDefault="00201545" w:rsidP="00610471">
      <w:pPr>
        <w:jc w:val="both"/>
        <w:rPr>
          <w:lang w:val="en-GB"/>
        </w:rPr>
      </w:pPr>
      <w:r w:rsidRPr="004307B1">
        <w:rPr>
          <w:lang w:val="en-GB" w:bidi="en-GB"/>
        </w:rPr>
        <w:t>The differences between these interpretations are significant in determining the pool of eligible Tenderers. Therefore, we kindly request the Contracting Authority to clarify which interpretation is applicable, namely whether the turnover requirement must be satisfied separately in each of the last three completed financial years, or whether it is sufficient for the aggregate turnover over the last three completed financial years to reach the relevant threshold.</w:t>
      </w:r>
    </w:p>
    <w:p w14:paraId="6488EC1E" w14:textId="77777777" w:rsidR="00193BC9" w:rsidRPr="004307B1" w:rsidRDefault="00193BC9" w:rsidP="00610471">
      <w:pPr>
        <w:jc w:val="both"/>
        <w:rPr>
          <w:b/>
          <w:bCs/>
          <w:lang w:val="en-GB"/>
        </w:rPr>
      </w:pPr>
    </w:p>
    <w:p w14:paraId="73D730D6" w14:textId="0AB413E2" w:rsidR="00193BC9" w:rsidRPr="004307B1" w:rsidRDefault="00931A18" w:rsidP="00610471">
      <w:pPr>
        <w:jc w:val="both"/>
        <w:rPr>
          <w:b/>
          <w:bCs/>
          <w:lang w:val="en-GB"/>
        </w:rPr>
      </w:pPr>
      <w:r w:rsidRPr="004307B1">
        <w:rPr>
          <w:b/>
          <w:lang w:val="en-GB" w:bidi="en-GB"/>
        </w:rPr>
        <w:t>Answer 20:</w:t>
      </w:r>
    </w:p>
    <w:p w14:paraId="5BBF8EA5" w14:textId="77777777" w:rsidR="002A7D36" w:rsidRPr="004307B1" w:rsidRDefault="00FE246D" w:rsidP="00610471">
      <w:pPr>
        <w:ind w:firstLine="720"/>
        <w:jc w:val="both"/>
        <w:outlineLvl w:val="0"/>
        <w:rPr>
          <w:lang w:val="en-GB"/>
        </w:rPr>
      </w:pPr>
      <w:r w:rsidRPr="004307B1">
        <w:rPr>
          <w:lang w:val="en-GB" w:bidi="en-GB"/>
        </w:rPr>
        <w:t xml:space="preserve">The Contracting Authority clarifies that the requirement set out in Paragraphs 15.2 and 15.3 of the Regulations relates to the minimum annual net turnover in </w:t>
      </w:r>
      <w:r w:rsidRPr="004307B1">
        <w:rPr>
          <w:b/>
          <w:u w:val="single"/>
          <w:lang w:val="en-GB" w:bidi="en-GB"/>
        </w:rPr>
        <w:t>each</w:t>
      </w:r>
      <w:r w:rsidRPr="004307B1">
        <w:rPr>
          <w:lang w:val="en-GB" w:bidi="en-GB"/>
        </w:rPr>
        <w:t xml:space="preserve"> of the last three completed financial years separately.</w:t>
      </w:r>
    </w:p>
    <w:p w14:paraId="45D20673" w14:textId="6658E4D0" w:rsidR="00FE246D" w:rsidRPr="004307B1" w:rsidRDefault="00FE246D" w:rsidP="00610471">
      <w:pPr>
        <w:ind w:firstLine="720"/>
        <w:jc w:val="both"/>
        <w:outlineLvl w:val="0"/>
        <w:rPr>
          <w:lang w:val="en-GB"/>
        </w:rPr>
      </w:pPr>
      <w:r w:rsidRPr="004307B1">
        <w:rPr>
          <w:lang w:val="en-GB" w:bidi="en-GB"/>
        </w:rPr>
        <w:t>Accordingly, the Contracting Authority explains:</w:t>
      </w:r>
    </w:p>
    <w:p w14:paraId="254E3ED3" w14:textId="77777777" w:rsidR="00FE246D" w:rsidRPr="004307B1" w:rsidRDefault="00FE246D" w:rsidP="00610471">
      <w:pPr>
        <w:numPr>
          <w:ilvl w:val="0"/>
          <w:numId w:val="10"/>
        </w:numPr>
        <w:jc w:val="both"/>
        <w:outlineLvl w:val="0"/>
        <w:rPr>
          <w:lang w:val="en-GB"/>
        </w:rPr>
      </w:pPr>
      <w:r w:rsidRPr="004307B1">
        <w:rPr>
          <w:lang w:val="en-GB" w:bidi="en-GB"/>
        </w:rPr>
        <w:t>where a Tenderer submits a tender in respect of Lot 1 or Lot 2 of the procurement, the Tenderer’s net turnover in each of the last three completed financial years shall not be less than EUR 30,000,000.</w:t>
      </w:r>
    </w:p>
    <w:p w14:paraId="45CCDE59" w14:textId="77777777" w:rsidR="00FE246D" w:rsidRPr="004307B1" w:rsidRDefault="00FE246D" w:rsidP="00610471">
      <w:pPr>
        <w:numPr>
          <w:ilvl w:val="0"/>
          <w:numId w:val="10"/>
        </w:numPr>
        <w:jc w:val="both"/>
        <w:outlineLvl w:val="0"/>
        <w:rPr>
          <w:lang w:val="en-GB"/>
        </w:rPr>
      </w:pPr>
      <w:r w:rsidRPr="004307B1">
        <w:rPr>
          <w:lang w:val="en-GB" w:bidi="en-GB"/>
        </w:rPr>
        <w:t>where a Tenderer submits a tender in respect of both lots of the procurement, the Tenderer’s net turnover in each of the last three completed financial years shall not be less than EUR 60,000,000.</w:t>
      </w:r>
    </w:p>
    <w:p w14:paraId="39A6A92A" w14:textId="77777777" w:rsidR="00201545" w:rsidRPr="004307B1" w:rsidRDefault="00201545" w:rsidP="00610471">
      <w:pPr>
        <w:jc w:val="both"/>
        <w:outlineLvl w:val="0"/>
        <w:rPr>
          <w:lang w:val="en-GB"/>
        </w:rPr>
      </w:pPr>
    </w:p>
    <w:p w14:paraId="2E31121C" w14:textId="77777777" w:rsidR="00201545" w:rsidRPr="004307B1" w:rsidRDefault="00201545" w:rsidP="00610471">
      <w:pPr>
        <w:jc w:val="both"/>
        <w:outlineLvl w:val="0"/>
        <w:rPr>
          <w:lang w:val="en-GB"/>
        </w:rPr>
      </w:pPr>
    </w:p>
    <w:p w14:paraId="23E17EF2" w14:textId="4AC96430" w:rsidR="00931A18" w:rsidRPr="004307B1" w:rsidRDefault="00931A18" w:rsidP="00610471">
      <w:pPr>
        <w:jc w:val="both"/>
        <w:rPr>
          <w:b/>
          <w:bCs/>
          <w:lang w:val="en-GB"/>
        </w:rPr>
      </w:pPr>
      <w:r w:rsidRPr="004307B1">
        <w:rPr>
          <w:b/>
          <w:lang w:val="en-GB" w:bidi="en-GB"/>
        </w:rPr>
        <w:t>Question 21:</w:t>
      </w:r>
    </w:p>
    <w:p w14:paraId="646CF6CE" w14:textId="77777777" w:rsidR="00201545" w:rsidRPr="004307B1" w:rsidRDefault="00201545" w:rsidP="00610471">
      <w:pPr>
        <w:ind w:firstLine="720"/>
        <w:jc w:val="both"/>
        <w:rPr>
          <w:lang w:val="en-GB"/>
        </w:rPr>
      </w:pPr>
      <w:r w:rsidRPr="004307B1">
        <w:rPr>
          <w:lang w:val="en-GB" w:bidi="en-GB"/>
        </w:rPr>
        <w:t xml:space="preserve">Paragraph 37 of the Regulations provides that, where the Tenderer is a consortium, the members of the consortium shall, prior to the conclusion of the procurement contract, establish a general partnership, which must be registered with the Register of Enterprises of the Republic of Latvia or the relevant foreign register, and submit to the Contracting Authority a copy of the partnership agreement or the consortium members may conclude a consortium agreement setting out the allocation of responsibilities among the consortium members, which shall be submitted to the Contracting Authority. The wording of the paragraph uses the conjunction "or", which implies that the Tenderer has a choice between two alternative options. </w:t>
      </w:r>
    </w:p>
    <w:p w14:paraId="43452E0D" w14:textId="77777777" w:rsidR="00201545" w:rsidRPr="004307B1" w:rsidRDefault="00201545" w:rsidP="00610471">
      <w:pPr>
        <w:ind w:firstLine="720"/>
        <w:jc w:val="both"/>
        <w:rPr>
          <w:lang w:val="en-GB"/>
        </w:rPr>
      </w:pPr>
      <w:proofErr w:type="gramStart"/>
      <w:r w:rsidRPr="004307B1">
        <w:rPr>
          <w:lang w:val="en-GB" w:bidi="en-GB"/>
        </w:rPr>
        <w:t>In order for</w:t>
      </w:r>
      <w:proofErr w:type="gramEnd"/>
      <w:r w:rsidRPr="004307B1">
        <w:rPr>
          <w:lang w:val="en-GB" w:bidi="en-GB"/>
        </w:rPr>
        <w:t xml:space="preserve"> a Tenderer to be able to establish the structure of a supplier consortium in a timely and appropriate manner already at the tender preparation stage, a common understanding of this degree of choice is required. Firstly, we kindly request confirmation that a Tenderer may, at its own discretion, choose to enter into a cooperation agreement without establishing and registering a general partnership, provided that such agreement clearly defines the allocation of responsibilities among the members of the consortium, and that such an arrangement will be accepted by the Contracting Authority as an equivalent alternative to a registered general partnership. </w:t>
      </w:r>
    </w:p>
    <w:p w14:paraId="5004942B" w14:textId="77777777" w:rsidR="00201545" w:rsidRPr="004307B1" w:rsidRDefault="00201545" w:rsidP="00610471">
      <w:pPr>
        <w:ind w:firstLine="720"/>
        <w:jc w:val="both"/>
        <w:rPr>
          <w:lang w:val="en-GB"/>
        </w:rPr>
      </w:pPr>
      <w:r w:rsidRPr="004307B1">
        <w:rPr>
          <w:lang w:val="en-GB" w:bidi="en-GB"/>
        </w:rPr>
        <w:t xml:space="preserve">Secondly, we kindly request confirmation that, where a Tenderer chooses to establish and register a general partnership, such partnership may be established and registered in a foreign commercial register in accordance with the laws of the relevant foreign jurisdiction (rather than with the Register of Enterprises of the Republic of Latvia and the provisions of the Commercial Law of the Republic of Latvia), including in cases where the consortium includes a member registered in the Republic of Latvia. </w:t>
      </w:r>
    </w:p>
    <w:p w14:paraId="5AB52197" w14:textId="77777777" w:rsidR="00201545" w:rsidRPr="004307B1" w:rsidRDefault="00201545" w:rsidP="00610471">
      <w:pPr>
        <w:ind w:firstLine="720"/>
        <w:jc w:val="both"/>
        <w:rPr>
          <w:lang w:val="en-GB"/>
        </w:rPr>
      </w:pPr>
      <w:r w:rsidRPr="004307B1">
        <w:rPr>
          <w:lang w:val="en-GB" w:bidi="en-GB"/>
        </w:rPr>
        <w:t xml:space="preserve">Thirdly, we kindly request confirmation that, where a Tenderer chooses the second alternative provided for in Paragraph 37, namely the conclusion of a cooperation agreement without the establishment and registration of a general partnership, such agreement may be concluded in accordance with the laws of a foreign jurisdiction (for example, the laws governing cooperation agreements in the country of registration of one of the consortium members) and will be regarded as compliant with the requirements of Paragraph 37, provided that it clearly defines </w:t>
      </w:r>
      <w:r w:rsidRPr="004307B1">
        <w:rPr>
          <w:lang w:val="en-GB" w:bidi="en-GB"/>
        </w:rPr>
        <w:lastRenderedPageBreak/>
        <w:t>the allocation of responsibilities among the consortium members in the performance of the procurement contract.</w:t>
      </w:r>
    </w:p>
    <w:p w14:paraId="69B4C661" w14:textId="77777777" w:rsidR="00931A18" w:rsidRPr="004307B1" w:rsidRDefault="00931A18" w:rsidP="00610471">
      <w:pPr>
        <w:jc w:val="both"/>
        <w:rPr>
          <w:b/>
          <w:bCs/>
          <w:lang w:val="en-GB"/>
        </w:rPr>
      </w:pPr>
    </w:p>
    <w:p w14:paraId="572B63A9" w14:textId="46C463C3" w:rsidR="00931A18" w:rsidRPr="004307B1" w:rsidRDefault="00931A18" w:rsidP="00610471">
      <w:pPr>
        <w:jc w:val="both"/>
        <w:rPr>
          <w:b/>
          <w:bCs/>
          <w:lang w:val="en-GB"/>
        </w:rPr>
      </w:pPr>
      <w:r w:rsidRPr="004307B1">
        <w:rPr>
          <w:b/>
          <w:lang w:val="en-GB" w:bidi="en-GB"/>
        </w:rPr>
        <w:t>Answer 21:</w:t>
      </w:r>
    </w:p>
    <w:p w14:paraId="22BAC726" w14:textId="7C6E8B38" w:rsidR="00444D23" w:rsidRPr="004307B1" w:rsidRDefault="00F545FA" w:rsidP="00610471">
      <w:pPr>
        <w:jc w:val="both"/>
        <w:rPr>
          <w:b/>
          <w:bCs/>
          <w:lang w:val="en-GB"/>
        </w:rPr>
      </w:pPr>
      <w:r w:rsidRPr="004307B1">
        <w:rPr>
          <w:b/>
          <w:lang w:val="en-GB" w:bidi="en-GB"/>
        </w:rPr>
        <w:t>As regards the first part of the question:</w:t>
      </w:r>
    </w:p>
    <w:p w14:paraId="7B550B8E" w14:textId="1B8DC136" w:rsidR="0086774D" w:rsidRPr="004307B1" w:rsidRDefault="0086774D" w:rsidP="00610471">
      <w:pPr>
        <w:ind w:firstLine="720"/>
        <w:jc w:val="both"/>
        <w:rPr>
          <w:lang w:val="en-GB"/>
        </w:rPr>
      </w:pPr>
      <w:r w:rsidRPr="004307B1">
        <w:rPr>
          <w:lang w:val="en-GB" w:bidi="en-GB"/>
        </w:rPr>
        <w:t>The Contracting Authority explains that the options set out in Paragraph 37 of the Regulations are alternative and the Tenderer has the right to choose:</w:t>
      </w:r>
    </w:p>
    <w:p w14:paraId="08A94A3D" w14:textId="77777777" w:rsidR="0086774D" w:rsidRPr="004307B1" w:rsidRDefault="0086774D" w:rsidP="00610471">
      <w:pPr>
        <w:numPr>
          <w:ilvl w:val="0"/>
          <w:numId w:val="12"/>
        </w:numPr>
        <w:tabs>
          <w:tab w:val="clear" w:pos="720"/>
          <w:tab w:val="num" w:pos="426"/>
        </w:tabs>
        <w:ind w:left="1276"/>
        <w:jc w:val="both"/>
        <w:rPr>
          <w:lang w:val="en-GB"/>
        </w:rPr>
      </w:pPr>
      <w:r w:rsidRPr="004307B1">
        <w:rPr>
          <w:lang w:val="en-GB" w:bidi="en-GB"/>
        </w:rPr>
        <w:t>either form a partnership (general partnership) and submit a copy of its memorandum of association,</w:t>
      </w:r>
    </w:p>
    <w:p w14:paraId="6191BF2E" w14:textId="77777777" w:rsidR="0086774D" w:rsidRPr="004307B1" w:rsidRDefault="0086774D" w:rsidP="00610471">
      <w:pPr>
        <w:numPr>
          <w:ilvl w:val="0"/>
          <w:numId w:val="12"/>
        </w:numPr>
        <w:tabs>
          <w:tab w:val="clear" w:pos="720"/>
          <w:tab w:val="num" w:pos="426"/>
        </w:tabs>
        <w:ind w:left="1276"/>
        <w:jc w:val="both"/>
        <w:rPr>
          <w:lang w:val="en-GB"/>
        </w:rPr>
      </w:pPr>
      <w:r w:rsidRPr="004307B1">
        <w:rPr>
          <w:lang w:val="en-GB" w:bidi="en-GB"/>
        </w:rPr>
        <w:t>or to conclude a cooperation agreement, agreeing on the division of responsibilities between the members of the consortium, by submitting the agreement to the Contracting Authority.</w:t>
      </w:r>
    </w:p>
    <w:p w14:paraId="2F602A51" w14:textId="32F8B376" w:rsidR="0086774D" w:rsidRPr="004307B1" w:rsidRDefault="0086774D" w:rsidP="00610471">
      <w:pPr>
        <w:ind w:firstLine="720"/>
        <w:jc w:val="both"/>
        <w:rPr>
          <w:lang w:val="en-GB"/>
        </w:rPr>
      </w:pPr>
      <w:r w:rsidRPr="004307B1">
        <w:rPr>
          <w:lang w:val="en-GB" w:bidi="en-GB"/>
        </w:rPr>
        <w:t>Accordingly, the establishment and registration of a general partnership is not mandatory where the members of the consortium have entered into a cooperation agreement that clearly defines the allocation of responsibilities among the consortium members in the performance of the procurement contract.</w:t>
      </w:r>
    </w:p>
    <w:p w14:paraId="21DB2594" w14:textId="0E838D27" w:rsidR="00A82CBA" w:rsidRPr="004307B1" w:rsidRDefault="00A82CBA" w:rsidP="00610471">
      <w:pPr>
        <w:jc w:val="both"/>
        <w:rPr>
          <w:b/>
          <w:bCs/>
          <w:lang w:val="en-GB"/>
        </w:rPr>
      </w:pPr>
      <w:r w:rsidRPr="004307B1">
        <w:rPr>
          <w:b/>
          <w:lang w:val="en-GB" w:bidi="en-GB"/>
        </w:rPr>
        <w:tab/>
        <w:t>At the same time, the Contracting Authority refers to the answers to the questions given above and annexed to the procurement procedure on 1 June 2026.</w:t>
      </w:r>
    </w:p>
    <w:p w14:paraId="218B563B" w14:textId="77777777" w:rsidR="00F545FA" w:rsidRPr="004307B1" w:rsidRDefault="00F545FA" w:rsidP="00610471">
      <w:pPr>
        <w:jc w:val="both"/>
        <w:rPr>
          <w:b/>
          <w:bCs/>
          <w:lang w:val="en-GB"/>
        </w:rPr>
      </w:pPr>
    </w:p>
    <w:p w14:paraId="05028255" w14:textId="3C279A89" w:rsidR="00F545FA" w:rsidRPr="004307B1" w:rsidRDefault="00F545FA" w:rsidP="00610471">
      <w:pPr>
        <w:jc w:val="both"/>
        <w:rPr>
          <w:b/>
          <w:bCs/>
          <w:lang w:val="en-GB"/>
        </w:rPr>
      </w:pPr>
      <w:r w:rsidRPr="004307B1">
        <w:rPr>
          <w:b/>
          <w:lang w:val="en-GB" w:bidi="en-GB"/>
        </w:rPr>
        <w:t>As regards the second part of the question:</w:t>
      </w:r>
    </w:p>
    <w:p w14:paraId="08A4C6C0" w14:textId="0116B6F4" w:rsidR="00CE50CF" w:rsidRPr="004307B1" w:rsidRDefault="00CE50CF" w:rsidP="00610471">
      <w:pPr>
        <w:ind w:firstLine="720"/>
        <w:jc w:val="both"/>
        <w:rPr>
          <w:lang w:val="en-GB"/>
        </w:rPr>
      </w:pPr>
      <w:r w:rsidRPr="004307B1">
        <w:rPr>
          <w:lang w:val="en-GB" w:bidi="en-GB"/>
        </w:rPr>
        <w:t>The Contracting Authority clarifies that, where a Tenderer chooses to establish a general partnership, such partnership may also be established and registered in the relevant foreign register in accordance with the laws of the respective jurisdiction, including in cases where the group of suppliers includes a member registered in the Republic of Latvia.</w:t>
      </w:r>
    </w:p>
    <w:p w14:paraId="26F240E1" w14:textId="77777777" w:rsidR="00F545FA" w:rsidRPr="004307B1" w:rsidRDefault="00F545FA" w:rsidP="00610471">
      <w:pPr>
        <w:jc w:val="both"/>
        <w:rPr>
          <w:b/>
          <w:bCs/>
          <w:lang w:val="en-GB"/>
        </w:rPr>
      </w:pPr>
    </w:p>
    <w:p w14:paraId="55C10CB8" w14:textId="56D7BD82" w:rsidR="00F545FA" w:rsidRPr="004307B1" w:rsidRDefault="00F545FA" w:rsidP="00610471">
      <w:pPr>
        <w:jc w:val="both"/>
        <w:rPr>
          <w:b/>
          <w:bCs/>
          <w:lang w:val="en-GB"/>
        </w:rPr>
      </w:pPr>
      <w:r w:rsidRPr="004307B1">
        <w:rPr>
          <w:b/>
          <w:lang w:val="en-GB" w:bidi="en-GB"/>
        </w:rPr>
        <w:t>As regards the third part of the question:</w:t>
      </w:r>
    </w:p>
    <w:p w14:paraId="62E3641F" w14:textId="77777777" w:rsidR="00271A65" w:rsidRPr="004307B1" w:rsidRDefault="00271A65" w:rsidP="00610471">
      <w:pPr>
        <w:ind w:firstLine="720"/>
        <w:jc w:val="both"/>
        <w:rPr>
          <w:lang w:val="en-GB"/>
        </w:rPr>
      </w:pPr>
      <w:r w:rsidRPr="004307B1">
        <w:rPr>
          <w:lang w:val="en-GB" w:bidi="en-GB"/>
        </w:rPr>
        <w:t>The Contracting Authority confirms that, where a Tenderer chooses to enter into a cooperation agreement without registering a general partnership, such agreement may also be concluded in accordance with the laws of a foreign jurisdiction, provided that it clearly and unambiguously defines the allocation of responsibilities among the members of the group in the performance of the procurement contract and complies with the purpose and requirements of Paragraph 37 of the Regulations.</w:t>
      </w:r>
    </w:p>
    <w:p w14:paraId="77D58E75" w14:textId="77777777" w:rsidR="00931A18" w:rsidRPr="004307B1" w:rsidRDefault="00931A18" w:rsidP="00610471">
      <w:pPr>
        <w:ind w:firstLine="720"/>
        <w:jc w:val="both"/>
        <w:rPr>
          <w:lang w:val="en-GB"/>
        </w:rPr>
      </w:pPr>
    </w:p>
    <w:p w14:paraId="7589BF84" w14:textId="77777777" w:rsidR="00994B21" w:rsidRPr="004307B1" w:rsidRDefault="00994B21" w:rsidP="00610471">
      <w:pPr>
        <w:ind w:firstLine="720"/>
        <w:jc w:val="both"/>
        <w:rPr>
          <w:lang w:val="en-GB"/>
        </w:rPr>
      </w:pPr>
    </w:p>
    <w:p w14:paraId="7CECFC59" w14:textId="30B8BDD1" w:rsidR="00931A18" w:rsidRPr="004307B1" w:rsidRDefault="00931A18" w:rsidP="00610471">
      <w:pPr>
        <w:jc w:val="both"/>
        <w:outlineLvl w:val="0"/>
        <w:rPr>
          <w:lang w:val="en-GB"/>
        </w:rPr>
      </w:pPr>
    </w:p>
    <w:p w14:paraId="29F23D50" w14:textId="7429E994" w:rsidR="00931A18" w:rsidRPr="004307B1" w:rsidRDefault="00931A18" w:rsidP="00610471">
      <w:pPr>
        <w:jc w:val="both"/>
        <w:rPr>
          <w:b/>
          <w:bCs/>
          <w:lang w:val="en-GB"/>
        </w:rPr>
      </w:pPr>
      <w:r w:rsidRPr="004307B1">
        <w:rPr>
          <w:b/>
          <w:lang w:val="en-GB" w:bidi="en-GB"/>
        </w:rPr>
        <w:t>Question 22:</w:t>
      </w:r>
    </w:p>
    <w:p w14:paraId="4486B1F9" w14:textId="3959930A" w:rsidR="008C2228" w:rsidRPr="004307B1" w:rsidRDefault="00201545" w:rsidP="00610471">
      <w:pPr>
        <w:jc w:val="both"/>
        <w:rPr>
          <w:lang w:val="en-GB"/>
        </w:rPr>
      </w:pPr>
      <w:r w:rsidRPr="004307B1">
        <w:rPr>
          <w:lang w:val="en-GB" w:bidi="en-GB"/>
        </w:rPr>
        <w:t xml:space="preserve">Paragraphs 17.1.5 and 17.2.5 of the Regulations provide that, for the purpose of demonstrating compliance with the technical capability requirements set out in Paragraphs 17.1.1 and 17.1.2 (or, respectively, Paragraphs 17.2.1 and 17.2.2), a Tenderer may rely on the technical capacities of other entities, provided that declarations or cooperation agreements from such entities regarding their participation in the performance of the procurement contract are submitted. In contrast to Paragraph 15.4 of the Regulations, which regulates reliance on the financial capacity of other entities and expressly provides for joint and several liability, no corresponding requirement for joint and several liability is set out in Paragraphs 17.1.5 and 17.2.5. </w:t>
      </w:r>
    </w:p>
    <w:p w14:paraId="7E6684C8" w14:textId="77777777" w:rsidR="008C2228" w:rsidRPr="004307B1" w:rsidRDefault="008C2228" w:rsidP="00610471">
      <w:pPr>
        <w:jc w:val="both"/>
        <w:rPr>
          <w:lang w:val="en-GB"/>
        </w:rPr>
      </w:pPr>
      <w:r w:rsidRPr="004307B1">
        <w:rPr>
          <w:lang w:val="en-GB" w:bidi="en-GB"/>
        </w:rPr>
        <w:t xml:space="preserve">From this wording, it is not clear what legal responsibility is borne, in relation to the performance of the procurement contract and towards the Contracting Authority, by an entity whose technical capacities (experience) are relied upon by the Tenderer. It is also not clear whether this person is considered as a subcontractor per se within the meaning of Paragraph 16.2 of the Regulations and is therefore subject to the exclusion test and the documentary requirements of a subcontracting agreement, or whether it has another legal status. </w:t>
      </w:r>
    </w:p>
    <w:p w14:paraId="3E00D901" w14:textId="77777777" w:rsidR="008C2228" w:rsidRPr="004307B1" w:rsidRDefault="008C2228" w:rsidP="00610471">
      <w:pPr>
        <w:jc w:val="both"/>
        <w:rPr>
          <w:lang w:val="en-GB"/>
        </w:rPr>
      </w:pPr>
      <w:r w:rsidRPr="004307B1">
        <w:rPr>
          <w:lang w:val="en-GB" w:bidi="en-GB"/>
        </w:rPr>
        <w:t xml:space="preserve">We therefore ask the Contracting Authority to clarify: </w:t>
      </w:r>
    </w:p>
    <w:p w14:paraId="4191C804" w14:textId="77777777" w:rsidR="008C2228" w:rsidRPr="004307B1" w:rsidRDefault="008C2228" w:rsidP="00610471">
      <w:pPr>
        <w:jc w:val="both"/>
        <w:rPr>
          <w:lang w:val="en-GB"/>
        </w:rPr>
      </w:pPr>
      <w:r w:rsidRPr="004307B1">
        <w:rPr>
          <w:lang w:val="en-GB" w:bidi="en-GB"/>
        </w:rPr>
        <w:lastRenderedPageBreak/>
        <w:t xml:space="preserve">1) what type and extent of responsibility in relation to the performance of the procurement contract applies to an entity on whose technical capacities the Tenderer relies pursuant to Paragraph 17.1.5 or 17.2.5 of the Regulations? </w:t>
      </w:r>
    </w:p>
    <w:p w14:paraId="10B31454" w14:textId="77777777" w:rsidR="008C2228" w:rsidRPr="004307B1" w:rsidRDefault="008C2228" w:rsidP="00610471">
      <w:pPr>
        <w:jc w:val="both"/>
        <w:rPr>
          <w:lang w:val="en-GB"/>
        </w:rPr>
      </w:pPr>
      <w:r w:rsidRPr="004307B1">
        <w:rPr>
          <w:lang w:val="en-GB" w:bidi="en-GB"/>
        </w:rPr>
        <w:t xml:space="preserve">2) whether such entity is considered a subcontractor for the purposes of this procurement procedure and, accordingly, is subject to the requirements set out in Paragraph 16.2 of the Regulations (cooperation agreement and the indication of the value of the works to be performed in euro), as well as to the verification of exclusion grounds pursuant to Paragraph 14 of the Regulations? </w:t>
      </w:r>
    </w:p>
    <w:p w14:paraId="411F89F2" w14:textId="77777777" w:rsidR="008C2228" w:rsidRPr="004307B1" w:rsidRDefault="008C2228" w:rsidP="00610471">
      <w:pPr>
        <w:jc w:val="both"/>
        <w:rPr>
          <w:lang w:val="en-GB"/>
        </w:rPr>
      </w:pPr>
      <w:r w:rsidRPr="004307B1">
        <w:rPr>
          <w:lang w:val="en-GB" w:bidi="en-GB"/>
        </w:rPr>
        <w:t xml:space="preserve">3) if such entity is considered a subcontractor and the scope of the works to be assigned to it must be specified. If the manufacturer transfers production experience to a supplier, how should the amount of work to be transferred (monetary value in euro) be indicated </w:t>
      </w:r>
      <w:proofErr w:type="gramStart"/>
      <w:r w:rsidRPr="004307B1">
        <w:rPr>
          <w:lang w:val="en-GB" w:bidi="en-GB"/>
        </w:rPr>
        <w:t>on the basis of</w:t>
      </w:r>
      <w:proofErr w:type="gramEnd"/>
      <w:r w:rsidRPr="004307B1">
        <w:rPr>
          <w:lang w:val="en-GB" w:bidi="en-GB"/>
        </w:rPr>
        <w:t xml:space="preserve"> Paragraph 16.2 of the Regulations? </w:t>
      </w:r>
    </w:p>
    <w:p w14:paraId="601B331A" w14:textId="77777777" w:rsidR="008C2228" w:rsidRPr="004307B1" w:rsidRDefault="008C2228" w:rsidP="00610471">
      <w:pPr>
        <w:jc w:val="both"/>
        <w:rPr>
          <w:b/>
          <w:bCs/>
          <w:lang w:val="en-GB"/>
        </w:rPr>
      </w:pPr>
    </w:p>
    <w:p w14:paraId="3D994E9D" w14:textId="45C5B525" w:rsidR="00931A18" w:rsidRPr="004307B1" w:rsidRDefault="00931A18" w:rsidP="00610471">
      <w:pPr>
        <w:jc w:val="both"/>
        <w:rPr>
          <w:b/>
          <w:bCs/>
          <w:lang w:val="en-GB"/>
        </w:rPr>
      </w:pPr>
      <w:r w:rsidRPr="004307B1">
        <w:rPr>
          <w:b/>
          <w:lang w:val="en-GB" w:bidi="en-GB"/>
        </w:rPr>
        <w:t>Answer 22:</w:t>
      </w:r>
    </w:p>
    <w:p w14:paraId="4AE3470F" w14:textId="3EE57405" w:rsidR="00950905" w:rsidRPr="004307B1" w:rsidRDefault="00950905" w:rsidP="00610471">
      <w:pPr>
        <w:jc w:val="both"/>
        <w:rPr>
          <w:b/>
          <w:bCs/>
          <w:lang w:val="en-GB"/>
        </w:rPr>
      </w:pPr>
      <w:r w:rsidRPr="004307B1">
        <w:rPr>
          <w:b/>
          <w:lang w:val="en-GB" w:bidi="en-GB"/>
        </w:rPr>
        <w:tab/>
        <w:t>The Contracting Authority refers to the answers to the questions given above and annexed to the procurement procedure on 1 June 2026.</w:t>
      </w:r>
    </w:p>
    <w:p w14:paraId="439C80BF" w14:textId="77777777" w:rsidR="001F568F" w:rsidRPr="004307B1" w:rsidRDefault="001F568F" w:rsidP="00610471">
      <w:pPr>
        <w:spacing w:line="300" w:lineRule="atLeast"/>
        <w:ind w:firstLine="720"/>
        <w:jc w:val="both"/>
        <w:rPr>
          <w:lang w:val="en-GB"/>
        </w:rPr>
      </w:pPr>
      <w:bookmarkStart w:id="0" w:name="_Hlk230868226"/>
    </w:p>
    <w:p w14:paraId="3FCDCB24" w14:textId="06BAF7BF" w:rsidR="001F568F" w:rsidRPr="004307B1" w:rsidRDefault="001F568F" w:rsidP="00610471">
      <w:pPr>
        <w:spacing w:line="300" w:lineRule="atLeast"/>
        <w:ind w:firstLine="720"/>
        <w:jc w:val="both"/>
        <w:rPr>
          <w:lang w:val="en-GB"/>
        </w:rPr>
      </w:pPr>
      <w:r w:rsidRPr="004307B1">
        <w:rPr>
          <w:lang w:val="en-GB" w:bidi="en-GB"/>
        </w:rPr>
        <w:t xml:space="preserve">The Contracting Authority clarifies that an entity on whose technical capacities the Tenderer relies pursuant to Paragraphs 17.1.5 or 17.2.5 of the Regulations is regarded as a provider of resources, which, through its experience, knowledge or technical capacities, enables the Tenderer to satisfy the qualification requirements. Such entity shall be obliged to </w:t>
      </w:r>
      <w:proofErr w:type="gramStart"/>
      <w:r w:rsidRPr="004307B1">
        <w:rPr>
          <w:lang w:val="en-GB" w:bidi="en-GB"/>
        </w:rPr>
        <w:t>actually provide</w:t>
      </w:r>
      <w:proofErr w:type="gramEnd"/>
      <w:r w:rsidRPr="004307B1">
        <w:rPr>
          <w:lang w:val="en-GB" w:bidi="en-GB"/>
        </w:rPr>
        <w:t xml:space="preserve"> the resources, expertise or capacity on which the Tenderer has relied in its tender during the performance of the procurement contract. As Paragraphs 17.1.5 and 17.2.5 of the Regulations do not provide for joint and several liability, unlike Paragraph 15.4 of the Regulations, the Contracting Authority does not envisage such entity automatically assuming joint and several liability for the performance of the procurement </w:t>
      </w:r>
      <w:proofErr w:type="gramStart"/>
      <w:r w:rsidRPr="004307B1">
        <w:rPr>
          <w:lang w:val="en-GB" w:bidi="en-GB"/>
        </w:rPr>
        <w:t>contract as a whole</w:t>
      </w:r>
      <w:proofErr w:type="gramEnd"/>
      <w:r w:rsidRPr="004307B1">
        <w:rPr>
          <w:lang w:val="en-GB" w:bidi="en-GB"/>
        </w:rPr>
        <w:t>.</w:t>
      </w:r>
    </w:p>
    <w:p w14:paraId="4974ED01" w14:textId="74E64551" w:rsidR="000E674C" w:rsidRPr="004307B1" w:rsidRDefault="00614687" w:rsidP="00610471">
      <w:pPr>
        <w:spacing w:line="300" w:lineRule="atLeast"/>
        <w:ind w:firstLine="720"/>
        <w:jc w:val="both"/>
        <w:rPr>
          <w:highlight w:val="yellow"/>
          <w:lang w:val="en-GB"/>
        </w:rPr>
      </w:pPr>
      <w:r w:rsidRPr="004307B1">
        <w:rPr>
          <w:lang w:val="en-GB" w:bidi="en-GB"/>
        </w:rPr>
        <w:t xml:space="preserve">In accordance with Paragraphs 17.1.5 and 17.2.5 of the Regulations, a Tenderer may rely on the technical and professional capacity of another person only if that person will, </w:t>
      </w:r>
      <w:r w:rsidRPr="004307B1">
        <w:rPr>
          <w:b/>
          <w:u w:val="single"/>
          <w:lang w:val="en-GB" w:bidi="en-GB"/>
        </w:rPr>
        <w:t>in the performance of the procurement contract, provide the services (participate in the performance of the contract)</w:t>
      </w:r>
      <w:r w:rsidRPr="004307B1">
        <w:rPr>
          <w:lang w:val="en-GB" w:bidi="en-GB"/>
        </w:rPr>
        <w:t xml:space="preserve"> for which that capacity is required. </w:t>
      </w:r>
      <w:bookmarkEnd w:id="0"/>
      <w:r w:rsidRPr="004307B1">
        <w:rPr>
          <w:lang w:val="en-GB" w:bidi="en-GB"/>
        </w:rPr>
        <w:t>Where applicable, if an entity participates in the performance of the contract, that person shall be considered a subcontractor for the purposes of the procurement procedure and the Law on the Procurement of Public Service Providers and shall be subject to the requirements of Paragraph 16.2 of the Regulations and to the assessment of exclusion grounds pursuant to Paragraph 14.4 of the Regulations.</w:t>
      </w:r>
    </w:p>
    <w:p w14:paraId="28AB99B9" w14:textId="77777777" w:rsidR="000E674C" w:rsidRPr="004307B1" w:rsidRDefault="000E674C" w:rsidP="00610471">
      <w:pPr>
        <w:ind w:firstLine="720"/>
        <w:jc w:val="both"/>
        <w:rPr>
          <w:highlight w:val="yellow"/>
          <w:lang w:val="en-GB"/>
        </w:rPr>
      </w:pPr>
    </w:p>
    <w:p w14:paraId="4BA25FA5" w14:textId="77777777" w:rsidR="00994B21" w:rsidRPr="004307B1" w:rsidRDefault="00994B21" w:rsidP="00610471">
      <w:pPr>
        <w:ind w:firstLine="720"/>
        <w:jc w:val="both"/>
        <w:rPr>
          <w:highlight w:val="yellow"/>
          <w:lang w:val="en-GB"/>
        </w:rPr>
      </w:pPr>
    </w:p>
    <w:p w14:paraId="313F9170" w14:textId="77777777" w:rsidR="00994B21" w:rsidRPr="004307B1" w:rsidRDefault="00994B21" w:rsidP="00610471">
      <w:pPr>
        <w:ind w:firstLine="720"/>
        <w:jc w:val="both"/>
        <w:rPr>
          <w:highlight w:val="yellow"/>
          <w:lang w:val="en-GB"/>
        </w:rPr>
      </w:pPr>
    </w:p>
    <w:p w14:paraId="395D2987" w14:textId="1A6130D0" w:rsidR="00931A18" w:rsidRPr="004307B1" w:rsidRDefault="00931A18" w:rsidP="00610471">
      <w:pPr>
        <w:jc w:val="both"/>
        <w:rPr>
          <w:b/>
          <w:bCs/>
          <w:lang w:val="en-GB"/>
        </w:rPr>
      </w:pPr>
      <w:r w:rsidRPr="004307B1">
        <w:rPr>
          <w:b/>
          <w:lang w:val="en-GB" w:bidi="en-GB"/>
        </w:rPr>
        <w:t>Question 23:</w:t>
      </w:r>
    </w:p>
    <w:p w14:paraId="4BC598FC" w14:textId="77777777" w:rsidR="00922997" w:rsidRPr="004307B1" w:rsidRDefault="00922997" w:rsidP="00610471">
      <w:pPr>
        <w:jc w:val="both"/>
        <w:rPr>
          <w:lang w:val="en-GB"/>
        </w:rPr>
      </w:pPr>
      <w:r w:rsidRPr="004307B1">
        <w:rPr>
          <w:lang w:val="en-GB" w:bidi="en-GB"/>
        </w:rPr>
        <w:t xml:space="preserve">Paragraph 8.3 of the draft contract for Lot 1 of the procurement (Supply of Electric Buses) (Annex 6.1 to the Regulations) provides that, in the event of failure to comply with the final delivery deadline for the buses, the Contracting Authority is entitled, in addition to a contractual penalty of 0.5% per day and a maximum delay penalty cap of 10%, to claim compensation from the Supplier for losses corresponding to the amount of European Union funding not received (where such funding has been awarded). A similar provision concerning losses related to European Union co-financing is also included in Paragraph 8.5 (refusal to deliver), Paragraph 8.18 (unilateral termination of the contract in connection with a criminal offence or an infringement of competition law), and Paragraph 8.19 (circumstances referred to in Section 69, Paragraph one of the Law on the Procurement of Public Service Providers). </w:t>
      </w:r>
    </w:p>
    <w:p w14:paraId="768ADE60" w14:textId="77777777" w:rsidR="00922997" w:rsidRPr="004307B1" w:rsidRDefault="00922997" w:rsidP="00610471">
      <w:pPr>
        <w:jc w:val="both"/>
        <w:rPr>
          <w:lang w:val="en-GB"/>
        </w:rPr>
      </w:pPr>
      <w:r w:rsidRPr="004307B1">
        <w:rPr>
          <w:lang w:val="en-GB" w:bidi="en-GB"/>
        </w:rPr>
        <w:t xml:space="preserve">This contractual provision, as it stands, is disproportionate and effectively unenforceable at the tender stage. The share of co-financing from EU funds </w:t>
      </w:r>
      <w:proofErr w:type="gramStart"/>
      <w:r w:rsidRPr="004307B1">
        <w:rPr>
          <w:lang w:val="en-GB" w:bidi="en-GB"/>
        </w:rPr>
        <w:t>in a given</w:t>
      </w:r>
      <w:proofErr w:type="gramEnd"/>
      <w:r w:rsidRPr="004307B1">
        <w:rPr>
          <w:lang w:val="en-GB" w:bidi="en-GB"/>
        </w:rPr>
        <w:t xml:space="preserve"> project can vary considerably – in some support programme instruments, the co-financing rate can be around 10% of the project value, while in others it can be as high as 80–90%. This means that the currently stipulated cap on </w:t>
      </w:r>
      <w:r w:rsidRPr="004307B1">
        <w:rPr>
          <w:lang w:val="en-GB" w:bidi="en-GB"/>
        </w:rPr>
        <w:lastRenderedPageBreak/>
        <w:t xml:space="preserve">delay penalties, amounting to 10% of the value of the delayed obligation, may in practice be supplemented by damages that are potentially many times greater, the exact amount of which cannot be assessed or provisioned for by the Tenderer at the time of preparing its tender. </w:t>
      </w:r>
    </w:p>
    <w:p w14:paraId="4881F91E" w14:textId="77777777" w:rsidR="00922997" w:rsidRPr="004307B1" w:rsidRDefault="00922997" w:rsidP="00610471">
      <w:pPr>
        <w:jc w:val="both"/>
        <w:rPr>
          <w:lang w:val="en-GB"/>
        </w:rPr>
      </w:pPr>
      <w:r w:rsidRPr="004307B1">
        <w:rPr>
          <w:lang w:val="en-GB" w:bidi="en-GB"/>
        </w:rPr>
        <w:t xml:space="preserve">It is not reasonable to expect the Tenderer to know under which projects the Contracting Authority has applied for, or intends to apply for, European Union co-financing, or the level of such co-financing, as this information is not publicly available at the tender preparation stage and relates to the Contracting Authority’s internal financial and project management processes. At the same time, failing to take such a significant financial risk into account when preparing the tender would not be consistent with prudent commercial practice on the part of the Tenderer, as the potential amount of such damages could, in theory, exceed the entire profit anticipated from the performance of the procurement contract. This uncertainty has a significant impact on the pricing of the tender, as the Tenderer is effectively forced either to include a conservative risk premium in its price to account for an unknown level of potential damages, or to assume an unlimited financial risk. </w:t>
      </w:r>
    </w:p>
    <w:p w14:paraId="081FB734" w14:textId="553F59C9" w:rsidR="00922997" w:rsidRPr="004307B1" w:rsidRDefault="00922997" w:rsidP="00610471">
      <w:pPr>
        <w:jc w:val="both"/>
        <w:rPr>
          <w:lang w:val="en-GB"/>
        </w:rPr>
      </w:pPr>
      <w:r w:rsidRPr="004307B1">
        <w:rPr>
          <w:lang w:val="en-GB" w:bidi="en-GB"/>
        </w:rPr>
        <w:t xml:space="preserve">We therefore request the Contracting Authority to amend Paragraphs 8.3, 8.5, 8.18 and 8.19 of the Part 1 of the draft contract by selecting one of the following options. Option 1 – complete deletion of the wording “and the CONTRACTING AUTHORITY shall also be entitled to claim compensation from the SUPPLIER for losses corresponding to the amount of European Union co-financing not received (where such co-financing has been granted)”, on the basis that the contractual penalty limits already established (10% of the value of the delayed obligation under Paragraphs 8.3 and 8.5, and the fixed contractual penalty of EUR 1,000,000.00 under Paragraphs 8.18 and 8.19) are deemed to constitute sufficient compensation for any resulting losses. </w:t>
      </w:r>
    </w:p>
    <w:p w14:paraId="43E08F73" w14:textId="43C3EECD" w:rsidR="00931A18" w:rsidRPr="004307B1" w:rsidRDefault="00922997" w:rsidP="00610471">
      <w:pPr>
        <w:jc w:val="both"/>
        <w:rPr>
          <w:lang w:val="en-GB"/>
        </w:rPr>
      </w:pPr>
      <w:r w:rsidRPr="004307B1">
        <w:rPr>
          <w:lang w:val="en-GB" w:bidi="en-GB"/>
        </w:rPr>
        <w:t>Option 2 – the Contracting Authority establishes a clear maximum amount of damages by defining it either as a specific percentage of the total contract value (for example, not more than X% of the price of the delayed Bus or of the total contract price), as a fixed monetary amount, or by expressly identifying the relevant European Union funding project, including the project name, the co-financing intensity expressed as a percentage, and the total amount of co-financing in euro to which the references in Paragraphs 8.3, 8.5, 8.18 and 8.19 relate. This clarification would ensure that the Tenderer can correctly assess and price the specific risk, provide the necessary clarity to the guarantors on the maximum possible commitments and create a common understanding of the conditions of the procurement among all tenderers.</w:t>
      </w:r>
    </w:p>
    <w:p w14:paraId="18EC1967" w14:textId="77777777" w:rsidR="00931A18" w:rsidRPr="004307B1" w:rsidRDefault="00931A18" w:rsidP="00610471">
      <w:pPr>
        <w:jc w:val="both"/>
        <w:rPr>
          <w:b/>
          <w:bCs/>
          <w:lang w:val="en-GB"/>
        </w:rPr>
      </w:pPr>
    </w:p>
    <w:p w14:paraId="34974A1A" w14:textId="5A1F494B" w:rsidR="00931A18" w:rsidRPr="004307B1" w:rsidRDefault="00931A18" w:rsidP="00610471">
      <w:pPr>
        <w:jc w:val="both"/>
        <w:rPr>
          <w:b/>
          <w:bCs/>
          <w:lang w:val="en-GB"/>
        </w:rPr>
      </w:pPr>
      <w:r w:rsidRPr="004307B1">
        <w:rPr>
          <w:b/>
          <w:lang w:val="en-GB" w:bidi="en-GB"/>
        </w:rPr>
        <w:t>Answer 23:</w:t>
      </w:r>
    </w:p>
    <w:p w14:paraId="364E8681" w14:textId="77777777" w:rsidR="00092F1A" w:rsidRPr="004307B1" w:rsidRDefault="00092F1A" w:rsidP="00610471">
      <w:pPr>
        <w:ind w:firstLine="720"/>
        <w:jc w:val="both"/>
        <w:rPr>
          <w:lang w:val="en-GB"/>
        </w:rPr>
      </w:pPr>
      <w:r w:rsidRPr="004307B1">
        <w:rPr>
          <w:lang w:val="en-GB" w:bidi="en-GB"/>
        </w:rPr>
        <w:t>The Contracting Authority informs that additional time is required to evaluate the matter. Therefore, the deadline for providing a response to this question is extended until 19 June 2026.</w:t>
      </w:r>
    </w:p>
    <w:p w14:paraId="3BD1B26E" w14:textId="77777777" w:rsidR="00F127CF" w:rsidRPr="004307B1" w:rsidRDefault="00F127CF" w:rsidP="00610471">
      <w:pPr>
        <w:jc w:val="both"/>
        <w:outlineLvl w:val="0"/>
        <w:rPr>
          <w:lang w:val="en-GB"/>
        </w:rPr>
      </w:pPr>
    </w:p>
    <w:p w14:paraId="62A22E30" w14:textId="77777777" w:rsidR="00C00F1E" w:rsidRPr="004307B1" w:rsidRDefault="00C00F1E" w:rsidP="00610471">
      <w:pPr>
        <w:jc w:val="both"/>
        <w:outlineLvl w:val="0"/>
        <w:rPr>
          <w:lang w:val="en-GB"/>
        </w:rPr>
      </w:pPr>
    </w:p>
    <w:p w14:paraId="6B9543B8" w14:textId="77777777" w:rsidR="00C00F1E" w:rsidRPr="004307B1" w:rsidRDefault="00C00F1E" w:rsidP="00610471">
      <w:pPr>
        <w:jc w:val="both"/>
        <w:outlineLvl w:val="0"/>
        <w:rPr>
          <w:lang w:val="en-GB"/>
        </w:rPr>
      </w:pPr>
    </w:p>
    <w:p w14:paraId="5DEB518E" w14:textId="77777777" w:rsidR="007F3584" w:rsidRPr="004307B1" w:rsidRDefault="007F3584" w:rsidP="00610471">
      <w:pPr>
        <w:pStyle w:val="Footer"/>
        <w:rPr>
          <w:lang w:val="en-GB"/>
        </w:rPr>
      </w:pPr>
      <w:r w:rsidRPr="004307B1">
        <w:rPr>
          <w:lang w:val="en-GB" w:bidi="en-GB"/>
        </w:rPr>
        <w:t>Chairperson of the Procurement Commission</w:t>
      </w:r>
    </w:p>
    <w:p w14:paraId="381B03A7" w14:textId="53A93A1A" w:rsidR="00F127CF" w:rsidRPr="004307B1" w:rsidRDefault="007F3584" w:rsidP="00610471">
      <w:pPr>
        <w:widowControl w:val="0"/>
        <w:tabs>
          <w:tab w:val="left" w:pos="764"/>
        </w:tabs>
        <w:spacing w:line="274" w:lineRule="exact"/>
        <w:rPr>
          <w:color w:val="000000"/>
          <w:lang w:val="en-GB" w:eastAsia="en-GB"/>
        </w:rPr>
      </w:pPr>
      <w:r w:rsidRPr="004307B1">
        <w:rPr>
          <w:color w:val="000000"/>
          <w:lang w:val="en-GB" w:bidi="en-GB"/>
        </w:rPr>
        <w:tab/>
      </w:r>
      <w:r w:rsidRPr="004307B1">
        <w:rPr>
          <w:color w:val="000000"/>
          <w:lang w:val="en-GB" w:bidi="en-GB"/>
        </w:rPr>
        <w:tab/>
      </w:r>
      <w:r w:rsidRPr="004307B1">
        <w:rPr>
          <w:color w:val="000000"/>
          <w:lang w:val="en-GB" w:bidi="en-GB"/>
        </w:rPr>
        <w:tab/>
      </w:r>
      <w:r w:rsidRPr="004307B1">
        <w:rPr>
          <w:color w:val="000000"/>
          <w:lang w:val="en-GB" w:bidi="en-GB"/>
        </w:rPr>
        <w:tab/>
      </w:r>
      <w:r w:rsidRPr="004307B1">
        <w:rPr>
          <w:color w:val="000000"/>
          <w:lang w:val="en-GB" w:bidi="en-GB"/>
        </w:rPr>
        <w:tab/>
      </w:r>
      <w:r w:rsidRPr="004307B1">
        <w:rPr>
          <w:color w:val="000000"/>
          <w:lang w:val="en-GB" w:bidi="en-GB"/>
        </w:rPr>
        <w:tab/>
      </w:r>
      <w:r w:rsidRPr="004307B1">
        <w:rPr>
          <w:color w:val="000000"/>
          <w:lang w:val="en-GB" w:bidi="en-GB"/>
        </w:rPr>
        <w:tab/>
      </w:r>
      <w:r w:rsidRPr="004307B1">
        <w:rPr>
          <w:color w:val="000000"/>
          <w:lang w:val="en-GB" w:bidi="en-GB"/>
        </w:rPr>
        <w:tab/>
      </w:r>
      <w:r w:rsidRPr="004307B1">
        <w:rPr>
          <w:color w:val="000000"/>
          <w:lang w:val="en-GB" w:bidi="en-GB"/>
        </w:rPr>
        <w:tab/>
      </w:r>
      <w:r w:rsidRPr="004307B1">
        <w:rPr>
          <w:color w:val="000000"/>
          <w:lang w:val="en-GB" w:bidi="en-GB"/>
        </w:rPr>
        <w:tab/>
        <w:t>Karīna Meiberga*</w:t>
      </w:r>
      <w:r w:rsidRPr="004307B1">
        <w:rPr>
          <w:color w:val="000000"/>
          <w:lang w:val="en-GB" w:bidi="en-GB"/>
        </w:rPr>
        <w:tab/>
        <w:t xml:space="preserve"> </w:t>
      </w:r>
    </w:p>
    <w:p w14:paraId="7001315E" w14:textId="1E26DC14" w:rsidR="007F3584" w:rsidRDefault="007F3584" w:rsidP="00610471">
      <w:pPr>
        <w:widowControl w:val="0"/>
        <w:tabs>
          <w:tab w:val="left" w:pos="764"/>
        </w:tabs>
        <w:spacing w:line="274" w:lineRule="exact"/>
        <w:rPr>
          <w:color w:val="000000"/>
          <w:lang w:val="en-GB" w:bidi="en-GB"/>
        </w:rPr>
      </w:pPr>
    </w:p>
    <w:p w14:paraId="44E45472" w14:textId="77777777" w:rsidR="004307B1" w:rsidRDefault="004307B1" w:rsidP="00610471">
      <w:pPr>
        <w:widowControl w:val="0"/>
        <w:tabs>
          <w:tab w:val="left" w:pos="764"/>
        </w:tabs>
        <w:spacing w:line="274" w:lineRule="exact"/>
        <w:rPr>
          <w:color w:val="000000"/>
          <w:lang w:val="en-GB" w:bidi="en-GB"/>
        </w:rPr>
      </w:pPr>
    </w:p>
    <w:p w14:paraId="3C52AF6E" w14:textId="77777777" w:rsidR="004307B1" w:rsidRPr="004307B1" w:rsidRDefault="004307B1" w:rsidP="00610471">
      <w:pPr>
        <w:widowControl w:val="0"/>
        <w:tabs>
          <w:tab w:val="left" w:pos="764"/>
        </w:tabs>
        <w:spacing w:line="274" w:lineRule="exact"/>
        <w:rPr>
          <w:color w:val="000000"/>
          <w:lang w:val="en-GB" w:eastAsia="en-GB"/>
        </w:rPr>
      </w:pPr>
    </w:p>
    <w:p w14:paraId="58E487E5" w14:textId="77777777" w:rsidR="00E17D97" w:rsidRPr="004307B1" w:rsidRDefault="00E17D97" w:rsidP="00610471">
      <w:pPr>
        <w:widowControl w:val="0"/>
        <w:tabs>
          <w:tab w:val="left" w:pos="764"/>
        </w:tabs>
        <w:spacing w:line="274" w:lineRule="exact"/>
        <w:rPr>
          <w:color w:val="000000"/>
          <w:lang w:val="en-GB" w:eastAsia="en-GB"/>
        </w:rPr>
      </w:pPr>
    </w:p>
    <w:p w14:paraId="301C6BDC" w14:textId="7F6AD973" w:rsidR="001C1098" w:rsidRPr="004307B1" w:rsidRDefault="007F3584" w:rsidP="002A7DC6">
      <w:pPr>
        <w:suppressAutoHyphens/>
        <w:jc w:val="center"/>
        <w:rPr>
          <w:lang w:val="en-GB" w:eastAsia="ar-SA"/>
        </w:rPr>
      </w:pPr>
      <w:r w:rsidRPr="004307B1">
        <w:rPr>
          <w:lang w:val="en-GB" w:bidi="en-GB"/>
        </w:rPr>
        <w:t>*THE DOCUMENT IS SIGNED WITH A SECURE ELECTRONIC SIGNATURE AND CONTAINS A TIMESTAMP</w:t>
      </w:r>
    </w:p>
    <w:p w14:paraId="29C643DE" w14:textId="6A3C6AB5" w:rsidR="00AD6E80" w:rsidRPr="004307B1" w:rsidRDefault="00AD6E80" w:rsidP="004850DA">
      <w:pPr>
        <w:rPr>
          <w:sz w:val="16"/>
          <w:szCs w:val="16"/>
          <w:lang w:val="en-GB"/>
        </w:rPr>
      </w:pPr>
    </w:p>
    <w:sectPr w:rsidR="00AD6E80" w:rsidRPr="004307B1" w:rsidSect="00610471">
      <w:headerReference w:type="even" r:id="rId13"/>
      <w:headerReference w:type="default" r:id="rId14"/>
      <w:footerReference w:type="default" r:id="rId15"/>
      <w:headerReference w:type="first" r:id="rId16"/>
      <w:footerReference w:type="first" r:id="rId17"/>
      <w:pgSz w:w="11900" w:h="16840" w:code="9"/>
      <w:pgMar w:top="1134" w:right="851" w:bottom="1134" w:left="1701" w:header="0" w:footer="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C5F44F" w14:textId="77777777" w:rsidR="00F946F9" w:rsidRPr="008365EC" w:rsidRDefault="00F946F9">
      <w:r w:rsidRPr="008365EC">
        <w:separator/>
      </w:r>
    </w:p>
  </w:endnote>
  <w:endnote w:type="continuationSeparator" w:id="0">
    <w:p w14:paraId="064B8980" w14:textId="77777777" w:rsidR="00F946F9" w:rsidRPr="008365EC" w:rsidRDefault="00F946F9">
      <w:r w:rsidRPr="008365EC">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BA"/>
    <w:family w:val="swiss"/>
    <w:pitch w:val="variable"/>
    <w:sig w:usb0="E0002EFF" w:usb1="C000785B" w:usb2="00000009" w:usb3="00000000" w:csb0="000001FF" w:csb1="00000000"/>
  </w:font>
  <w:font w:name="ヒラギノ角ゴ Pro W3">
    <w:altName w:val="Yu Gothic"/>
    <w:charset w:val="00"/>
    <w:family w:val="roman"/>
    <w:pitch w:val="default"/>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55794372"/>
      <w:docPartObj>
        <w:docPartGallery w:val="Page Numbers (Bottom of Page)"/>
        <w:docPartUnique/>
      </w:docPartObj>
    </w:sdtPr>
    <w:sdtEndPr/>
    <w:sdtContent>
      <w:p w14:paraId="16F49A90" w14:textId="3FB115D6" w:rsidR="00AD6E80" w:rsidRPr="008365EC" w:rsidRDefault="00AD6E80">
        <w:pPr>
          <w:pStyle w:val="Footer"/>
          <w:jc w:val="right"/>
        </w:pPr>
        <w:r w:rsidRPr="008365EC">
          <w:rPr>
            <w:lang w:val="en-GB" w:bidi="en-GB"/>
          </w:rPr>
          <w:fldChar w:fldCharType="begin"/>
        </w:r>
        <w:r w:rsidRPr="008365EC">
          <w:rPr>
            <w:lang w:val="en-GB" w:bidi="en-GB"/>
          </w:rPr>
          <w:instrText>PAGE   \* MERGEFORMAT</w:instrText>
        </w:r>
        <w:r w:rsidRPr="008365EC">
          <w:rPr>
            <w:lang w:val="en-GB" w:bidi="en-GB"/>
          </w:rPr>
          <w:fldChar w:fldCharType="separate"/>
        </w:r>
        <w:r w:rsidRPr="008365EC">
          <w:rPr>
            <w:lang w:val="en-GB" w:bidi="en-GB"/>
          </w:rPr>
          <w:t>2</w:t>
        </w:r>
        <w:r w:rsidRPr="008365EC">
          <w:rPr>
            <w:lang w:val="en-GB" w:bidi="en-GB"/>
          </w:rPr>
          <w:fldChar w:fldCharType="end"/>
        </w:r>
      </w:p>
    </w:sdtContent>
  </w:sdt>
  <w:p w14:paraId="4664754B" w14:textId="77777777" w:rsidR="00AD6E80" w:rsidRPr="008365EC" w:rsidRDefault="00AD6E8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FE81AE" w14:textId="71848762" w:rsidR="00904B48" w:rsidRPr="008365EC" w:rsidRDefault="00611305" w:rsidP="00611305">
    <w:pPr>
      <w:pStyle w:val="Footer"/>
      <w:tabs>
        <w:tab w:val="clear" w:pos="4153"/>
        <w:tab w:val="clear" w:pos="8306"/>
        <w:tab w:val="left" w:pos="600"/>
        <w:tab w:val="left" w:pos="2310"/>
      </w:tabs>
      <w:jc w:val="center"/>
    </w:pPr>
    <w:r w:rsidRPr="008365EC">
      <w:rPr>
        <w:noProof/>
        <w:lang w:val="en-GB" w:bidi="en-GB"/>
      </w:rPr>
      <w:drawing>
        <wp:inline distT="0" distB="0" distL="0" distR="0" wp14:anchorId="044ABF4E" wp14:editId="4299BAD3">
          <wp:extent cx="2883414" cy="396241"/>
          <wp:effectExtent l="0" t="0" r="0" b="3810"/>
          <wp:docPr id="783697013" name="Attēls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Dokumentu_veidlapa_FOOTER-02 (1).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883414" cy="396241"/>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4456BF" w14:textId="77777777" w:rsidR="00F946F9" w:rsidRPr="008365EC" w:rsidRDefault="00F946F9">
      <w:r w:rsidRPr="008365EC">
        <w:separator/>
      </w:r>
    </w:p>
  </w:footnote>
  <w:footnote w:type="continuationSeparator" w:id="0">
    <w:p w14:paraId="0281E8F2" w14:textId="77777777" w:rsidR="00F946F9" w:rsidRPr="008365EC" w:rsidRDefault="00F946F9">
      <w:r w:rsidRPr="008365EC">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19D862" w14:textId="77777777" w:rsidR="00756CAE" w:rsidRPr="008365EC" w:rsidRDefault="00CA73ED">
    <w:pPr>
      <w:pStyle w:val="HeaderFooterA"/>
      <w:tabs>
        <w:tab w:val="clear" w:pos="9360"/>
        <w:tab w:val="right" w:pos="8782"/>
      </w:tabs>
      <w:rPr>
        <w:rFonts w:ascii="Times New Roman" w:eastAsia="Times New Roman" w:hAnsi="Times New Roman"/>
        <w:color w:val="auto"/>
        <w:lang w:val="lv-LV" w:bidi="x-none"/>
      </w:rPr>
    </w:pPr>
    <w:r w:rsidRPr="008365EC">
      <w:rPr>
        <w:noProof/>
        <w:lang w:bidi="en-GB"/>
      </w:rPr>
      <mc:AlternateContent>
        <mc:Choice Requires="wps">
          <w:drawing>
            <wp:inline distT="0" distB="0" distL="0" distR="0" wp14:anchorId="6E8DD364" wp14:editId="51F3936C">
              <wp:extent cx="5575935" cy="2012950"/>
              <wp:effectExtent l="0" t="0" r="0" b="0"/>
              <wp:docPr id="1" name="AutoShape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575935" cy="20129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59B244B1" id="AutoShape 1" o:spid="_x0000_s1026" style="width:439.05pt;height:15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" filled="f" stroked="f">
              <v:path arrowok="t"/>
              <w10:anchorlock/>
            </v:rec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7CC8A8" w14:textId="77777777" w:rsidR="00756CAE" w:rsidRPr="008365EC" w:rsidRDefault="00756CAE">
    <w:pPr>
      <w:pStyle w:val="HeaderFooterA"/>
      <w:tabs>
        <w:tab w:val="clear" w:pos="9360"/>
        <w:tab w:val="right" w:pos="8782"/>
      </w:tabs>
      <w:rPr>
        <w:rFonts w:ascii="Times New Roman" w:eastAsia="Times New Roman" w:hAnsi="Times New Roman"/>
        <w:color w:val="auto"/>
        <w:lang w:val="lv-LV" w:bidi="x-none"/>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43877D" w14:textId="3C1ADCE1" w:rsidR="00756CAE" w:rsidRPr="008365EC" w:rsidRDefault="00E3203C" w:rsidP="00F631D4">
    <w:pPr>
      <w:pStyle w:val="Header"/>
      <w:tabs>
        <w:tab w:val="left" w:pos="426"/>
        <w:tab w:val="left" w:pos="1418"/>
      </w:tabs>
    </w:pPr>
    <w:r w:rsidRPr="008365EC">
      <w:rPr>
        <w:noProof/>
        <w:lang w:val="en-GB" w:bidi="en-GB"/>
      </w:rPr>
      <w:drawing>
        <wp:inline distT="0" distB="0" distL="0" distR="0" wp14:anchorId="6D986B24" wp14:editId="61EA3D9C">
          <wp:extent cx="5537200" cy="1587500"/>
          <wp:effectExtent l="0" t="0" r="0" b="0"/>
          <wp:docPr id="548802271" name="Picture 5488022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Dokumentu_Pamatveidlapa_ar_FOOTER-01.png"/>
                  <pic:cNvPicPr/>
                </pic:nvPicPr>
                <pic:blipFill>
                  <a:blip r:embed="rId1">
                    <a:extLst>
                      <a:ext uri="{28A0092B-C50C-407E-A947-70E740481C1C}">
                        <a14:useLocalDpi xmlns:a14="http://schemas.microsoft.com/office/drawing/2010/main" val="0"/>
                      </a:ext>
                    </a:extLst>
                  </a:blip>
                  <a:stretch>
                    <a:fillRect/>
                  </a:stretch>
                </pic:blipFill>
                <pic:spPr>
                  <a:xfrm>
                    <a:off x="0" y="0"/>
                    <a:ext cx="5537200" cy="1587500"/>
                  </a:xfrm>
                  <a:prstGeom prst="rect">
                    <a:avLst/>
                  </a:prstGeom>
                </pic:spPr>
              </pic:pic>
            </a:graphicData>
          </a:graphic>
        </wp:inline>
      </w:drawing>
    </w:r>
  </w:p>
  <w:p w14:paraId="2E3C67A7" w14:textId="5A42A3CB" w:rsidR="00C96B4F" w:rsidRPr="008365EC" w:rsidRDefault="00BA1D4B" w:rsidP="00BA1D4B">
    <w:pPr>
      <w:pStyle w:val="Header"/>
      <w:tabs>
        <w:tab w:val="left" w:pos="426"/>
        <w:tab w:val="left" w:pos="1418"/>
      </w:tabs>
      <w:jc w:val="center"/>
    </w:pPr>
    <w:r w:rsidRPr="008365EC">
      <w:rPr>
        <w:lang w:val="en-GB" w:bidi="en-GB"/>
      </w:rPr>
      <w:t>Riga</w:t>
    </w:r>
  </w:p>
  <w:p w14:paraId="4992808E" w14:textId="145AB150" w:rsidR="00BA1D4B" w:rsidRPr="008365EC" w:rsidRDefault="00BA1D4B" w:rsidP="00BA1D4B">
    <w:pPr>
      <w:pStyle w:val="Header"/>
      <w:tabs>
        <w:tab w:val="left" w:pos="426"/>
        <w:tab w:val="left" w:pos="1418"/>
      </w:tabs>
      <w:jc w:val="center"/>
    </w:pPr>
  </w:p>
  <w:p w14:paraId="765108D9" w14:textId="16746497" w:rsidR="00BA1D4B" w:rsidRPr="008365EC" w:rsidRDefault="00BA1D4B" w:rsidP="00BA1D4B">
    <w:pPr>
      <w:pStyle w:val="Header"/>
      <w:tabs>
        <w:tab w:val="left" w:pos="426"/>
        <w:tab w:val="left" w:pos="1418"/>
      </w:tabs>
      <w:jc w:val="both"/>
    </w:pPr>
    <w:bookmarkStart w:id="1" w:name="docDate"/>
    <w:bookmarkEnd w:id="1"/>
    <w:r w:rsidRPr="008365EC">
      <w:rPr>
        <w:lang w:val="en-GB" w:bidi="en-GB"/>
      </w:rPr>
      <w:t xml:space="preserve"> </w:t>
    </w:r>
    <w:bookmarkStart w:id="2" w:name="docNr"/>
    <w:bookmarkEnd w:id="2"/>
    <w:r w:rsidR="003376DC">
      <w:rPr>
        <w:lang w:val="en-GB" w:bidi="en-GB"/>
      </w:rPr>
      <w:t>11.06.2026.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BF7721F1"/>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FFFFFF1D"/>
    <w:multiLevelType w:val="multilevel"/>
    <w:tmpl w:val="42C61850"/>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2" w15:restartNumberingAfterBreak="0">
    <w:nsid w:val="073238ED"/>
    <w:multiLevelType w:val="hybridMultilevel"/>
    <w:tmpl w:val="599AF710"/>
    <w:lvl w:ilvl="0" w:tplc="FFFFFFFF">
      <w:start w:val="1"/>
      <w:numFmt w:val="decimal"/>
      <w:lvlText w:val="%1)"/>
      <w:lvlJc w:val="left"/>
      <w:pPr>
        <w:ind w:left="720" w:hanging="360"/>
      </w:pPr>
      <w:rPr>
        <w:rFonts w:hint="default"/>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12F629E6"/>
    <w:multiLevelType w:val="multilevel"/>
    <w:tmpl w:val="18806D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3252917"/>
    <w:multiLevelType w:val="multilevel"/>
    <w:tmpl w:val="4350AD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40A0820"/>
    <w:multiLevelType w:val="multilevel"/>
    <w:tmpl w:val="B5DC26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E6B256A"/>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15:restartNumberingAfterBreak="0">
    <w:nsid w:val="2C520D89"/>
    <w:multiLevelType w:val="multilevel"/>
    <w:tmpl w:val="E1B452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3ED4869"/>
    <w:multiLevelType w:val="multilevel"/>
    <w:tmpl w:val="75BE7A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BFE4CFD"/>
    <w:multiLevelType w:val="multilevel"/>
    <w:tmpl w:val="B88EC1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1DD0854"/>
    <w:multiLevelType w:val="multilevel"/>
    <w:tmpl w:val="44A252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451E5338"/>
    <w:multiLevelType w:val="multilevel"/>
    <w:tmpl w:val="B9C8A6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5830775"/>
    <w:multiLevelType w:val="hybridMultilevel"/>
    <w:tmpl w:val="B4CC6AFA"/>
    <w:lvl w:ilvl="0" w:tplc="5BEE2F28">
      <w:start w:val="1"/>
      <w:numFmt w:val="decimal"/>
      <w:lvlText w:val="%1)"/>
      <w:lvlJc w:val="left"/>
      <w:pPr>
        <w:ind w:left="720" w:hanging="360"/>
      </w:pPr>
      <w:rPr>
        <w:rFonts w:hint="default"/>
        <w:i w:val="0"/>
        <w:iCs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3" w15:restartNumberingAfterBreak="0">
    <w:nsid w:val="536B0667"/>
    <w:multiLevelType w:val="multilevel"/>
    <w:tmpl w:val="7CFEA7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DAD78CE"/>
    <w:multiLevelType w:val="hybridMultilevel"/>
    <w:tmpl w:val="DBB40A4E"/>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5" w15:restartNumberingAfterBreak="0">
    <w:nsid w:val="6BD4750B"/>
    <w:multiLevelType w:val="hybridMultilevel"/>
    <w:tmpl w:val="599AF710"/>
    <w:lvl w:ilvl="0" w:tplc="B2B68E84">
      <w:start w:val="1"/>
      <w:numFmt w:val="decimal"/>
      <w:lvlText w:val="%1)"/>
      <w:lvlJc w:val="left"/>
      <w:pPr>
        <w:ind w:left="720" w:hanging="360"/>
      </w:pPr>
      <w:rPr>
        <w:rFonts w:hint="default"/>
        <w:b w:val="0"/>
        <w:bCs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796483408">
    <w:abstractNumId w:val="1"/>
  </w:num>
  <w:num w:numId="2" w16cid:durableId="1870488046">
    <w:abstractNumId w:val="12"/>
  </w:num>
  <w:num w:numId="3" w16cid:durableId="2033219571">
    <w:abstractNumId w:val="14"/>
  </w:num>
  <w:num w:numId="4" w16cid:durableId="1779565406">
    <w:abstractNumId w:val="15"/>
  </w:num>
  <w:num w:numId="5" w16cid:durableId="745104887">
    <w:abstractNumId w:val="2"/>
  </w:num>
  <w:num w:numId="6" w16cid:durableId="300580002">
    <w:abstractNumId w:val="13"/>
  </w:num>
  <w:num w:numId="7" w16cid:durableId="1915967846">
    <w:abstractNumId w:val="7"/>
  </w:num>
  <w:num w:numId="8" w16cid:durableId="1934196068">
    <w:abstractNumId w:val="9"/>
  </w:num>
  <w:num w:numId="9" w16cid:durableId="571620969">
    <w:abstractNumId w:val="6"/>
  </w:num>
  <w:num w:numId="10" w16cid:durableId="843129181">
    <w:abstractNumId w:val="11"/>
  </w:num>
  <w:num w:numId="11" w16cid:durableId="276179321">
    <w:abstractNumId w:val="10"/>
  </w:num>
  <w:num w:numId="12" w16cid:durableId="615449933">
    <w:abstractNumId w:val="8"/>
  </w:num>
  <w:num w:numId="13" w16cid:durableId="1863089765">
    <w:abstractNumId w:val="3"/>
  </w:num>
  <w:num w:numId="14" w16cid:durableId="583606041">
    <w:abstractNumId w:val="5"/>
  </w:num>
  <w:num w:numId="15" w16cid:durableId="516894443">
    <w:abstractNumId w:val="0"/>
  </w:num>
  <w:num w:numId="16" w16cid:durableId="40248368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stylePaneFormatFilter w:val="2801" w:allStyles="1" w:customStyles="0" w:latentStyles="0" w:stylesInUse="0" w:headingStyles="0" w:numberingStyles="0" w:tableStyles="0" w:directFormattingOnRuns="0" w:directFormattingOnParagraphs="0" w:directFormattingOnNumbering="0" w:directFormattingOnTables="1" w:clearFormatting="0" w:top3HeadingStyles="1" w:visibleStyles="0" w:alternateStyleNames="0"/>
  <w:defaultTabStop w:val="720"/>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3F37"/>
    <w:rsid w:val="00001F3B"/>
    <w:rsid w:val="00002ED1"/>
    <w:rsid w:val="00004F0D"/>
    <w:rsid w:val="00007185"/>
    <w:rsid w:val="00007725"/>
    <w:rsid w:val="000113D9"/>
    <w:rsid w:val="000124FC"/>
    <w:rsid w:val="00015AED"/>
    <w:rsid w:val="00023CF9"/>
    <w:rsid w:val="00026D94"/>
    <w:rsid w:val="000316A6"/>
    <w:rsid w:val="00037BB3"/>
    <w:rsid w:val="0004246F"/>
    <w:rsid w:val="00042776"/>
    <w:rsid w:val="0004286D"/>
    <w:rsid w:val="000476FA"/>
    <w:rsid w:val="00051CF1"/>
    <w:rsid w:val="000525F0"/>
    <w:rsid w:val="00053F59"/>
    <w:rsid w:val="00055B82"/>
    <w:rsid w:val="00056137"/>
    <w:rsid w:val="00060FFC"/>
    <w:rsid w:val="00071007"/>
    <w:rsid w:val="00071403"/>
    <w:rsid w:val="00074DF7"/>
    <w:rsid w:val="000823F7"/>
    <w:rsid w:val="00083E27"/>
    <w:rsid w:val="00083EF9"/>
    <w:rsid w:val="00092F1A"/>
    <w:rsid w:val="00094E02"/>
    <w:rsid w:val="000A0105"/>
    <w:rsid w:val="000A1247"/>
    <w:rsid w:val="000A47E6"/>
    <w:rsid w:val="000A4CE4"/>
    <w:rsid w:val="000A7891"/>
    <w:rsid w:val="000B4C19"/>
    <w:rsid w:val="000B56F3"/>
    <w:rsid w:val="000B5A63"/>
    <w:rsid w:val="000E674C"/>
    <w:rsid w:val="000F04EB"/>
    <w:rsid w:val="000F35C1"/>
    <w:rsid w:val="000F3B09"/>
    <w:rsid w:val="000F4D78"/>
    <w:rsid w:val="000F6B23"/>
    <w:rsid w:val="00100167"/>
    <w:rsid w:val="00105F3D"/>
    <w:rsid w:val="00110BA5"/>
    <w:rsid w:val="00123BAD"/>
    <w:rsid w:val="0013079F"/>
    <w:rsid w:val="0014150E"/>
    <w:rsid w:val="00142A15"/>
    <w:rsid w:val="00154674"/>
    <w:rsid w:val="00160BEF"/>
    <w:rsid w:val="0016355B"/>
    <w:rsid w:val="00163F7B"/>
    <w:rsid w:val="00172778"/>
    <w:rsid w:val="00175B46"/>
    <w:rsid w:val="00176AEB"/>
    <w:rsid w:val="0018082C"/>
    <w:rsid w:val="001817E8"/>
    <w:rsid w:val="00193BC9"/>
    <w:rsid w:val="001949B9"/>
    <w:rsid w:val="00197CAA"/>
    <w:rsid w:val="001A19C0"/>
    <w:rsid w:val="001A4A96"/>
    <w:rsid w:val="001A6CCB"/>
    <w:rsid w:val="001B000D"/>
    <w:rsid w:val="001B0DFB"/>
    <w:rsid w:val="001C1098"/>
    <w:rsid w:val="001C37D7"/>
    <w:rsid w:val="001C6F5A"/>
    <w:rsid w:val="001D43D0"/>
    <w:rsid w:val="001E6965"/>
    <w:rsid w:val="001F568F"/>
    <w:rsid w:val="001F5D53"/>
    <w:rsid w:val="001F730D"/>
    <w:rsid w:val="00201545"/>
    <w:rsid w:val="0020229E"/>
    <w:rsid w:val="00204643"/>
    <w:rsid w:val="00220D37"/>
    <w:rsid w:val="00222574"/>
    <w:rsid w:val="00231433"/>
    <w:rsid w:val="00231F6F"/>
    <w:rsid w:val="00232B95"/>
    <w:rsid w:val="00233FCE"/>
    <w:rsid w:val="002355E8"/>
    <w:rsid w:val="0023780C"/>
    <w:rsid w:val="00240540"/>
    <w:rsid w:val="00240890"/>
    <w:rsid w:val="002425E4"/>
    <w:rsid w:val="00246DE4"/>
    <w:rsid w:val="00252D35"/>
    <w:rsid w:val="00257800"/>
    <w:rsid w:val="00271A65"/>
    <w:rsid w:val="00282249"/>
    <w:rsid w:val="00284596"/>
    <w:rsid w:val="002858CD"/>
    <w:rsid w:val="00291CB1"/>
    <w:rsid w:val="00292289"/>
    <w:rsid w:val="00295220"/>
    <w:rsid w:val="002A7D36"/>
    <w:rsid w:val="002A7DC6"/>
    <w:rsid w:val="002B3AEB"/>
    <w:rsid w:val="002C0008"/>
    <w:rsid w:val="002C747A"/>
    <w:rsid w:val="002D2B27"/>
    <w:rsid w:val="002E0214"/>
    <w:rsid w:val="002E4835"/>
    <w:rsid w:val="002E5D03"/>
    <w:rsid w:val="002E786C"/>
    <w:rsid w:val="003029BF"/>
    <w:rsid w:val="00304338"/>
    <w:rsid w:val="00306DBE"/>
    <w:rsid w:val="003076C7"/>
    <w:rsid w:val="0031257F"/>
    <w:rsid w:val="0032335F"/>
    <w:rsid w:val="003258C5"/>
    <w:rsid w:val="00325A6F"/>
    <w:rsid w:val="00332B4F"/>
    <w:rsid w:val="003376DC"/>
    <w:rsid w:val="00341261"/>
    <w:rsid w:val="003414AF"/>
    <w:rsid w:val="003431DB"/>
    <w:rsid w:val="00344BFB"/>
    <w:rsid w:val="003645FD"/>
    <w:rsid w:val="00372B0A"/>
    <w:rsid w:val="003734D3"/>
    <w:rsid w:val="003817D3"/>
    <w:rsid w:val="0038268E"/>
    <w:rsid w:val="003831A2"/>
    <w:rsid w:val="00384C24"/>
    <w:rsid w:val="003852E2"/>
    <w:rsid w:val="003865B2"/>
    <w:rsid w:val="003865D9"/>
    <w:rsid w:val="00386982"/>
    <w:rsid w:val="003877B2"/>
    <w:rsid w:val="003970CF"/>
    <w:rsid w:val="003A01A5"/>
    <w:rsid w:val="003A76FA"/>
    <w:rsid w:val="003B073D"/>
    <w:rsid w:val="003B486A"/>
    <w:rsid w:val="003C0CA0"/>
    <w:rsid w:val="003C2FBA"/>
    <w:rsid w:val="003C3AF3"/>
    <w:rsid w:val="003C6218"/>
    <w:rsid w:val="003C665B"/>
    <w:rsid w:val="003E205B"/>
    <w:rsid w:val="003E4612"/>
    <w:rsid w:val="003E5070"/>
    <w:rsid w:val="003F4543"/>
    <w:rsid w:val="003F6BC3"/>
    <w:rsid w:val="004008C2"/>
    <w:rsid w:val="00403F3D"/>
    <w:rsid w:val="00404C6B"/>
    <w:rsid w:val="00410642"/>
    <w:rsid w:val="004124BC"/>
    <w:rsid w:val="004153BF"/>
    <w:rsid w:val="0042175E"/>
    <w:rsid w:val="004226C7"/>
    <w:rsid w:val="00423666"/>
    <w:rsid w:val="00427DCC"/>
    <w:rsid w:val="004307B1"/>
    <w:rsid w:val="00434A29"/>
    <w:rsid w:val="004428E5"/>
    <w:rsid w:val="00444A0A"/>
    <w:rsid w:val="00444D23"/>
    <w:rsid w:val="00445394"/>
    <w:rsid w:val="00446136"/>
    <w:rsid w:val="00446224"/>
    <w:rsid w:val="004479F1"/>
    <w:rsid w:val="004542C7"/>
    <w:rsid w:val="00454D63"/>
    <w:rsid w:val="0047104A"/>
    <w:rsid w:val="004724EF"/>
    <w:rsid w:val="00472769"/>
    <w:rsid w:val="00472EEB"/>
    <w:rsid w:val="004850DA"/>
    <w:rsid w:val="00486082"/>
    <w:rsid w:val="00490270"/>
    <w:rsid w:val="00492673"/>
    <w:rsid w:val="00495061"/>
    <w:rsid w:val="004A0D6C"/>
    <w:rsid w:val="004A46F2"/>
    <w:rsid w:val="004A4AAF"/>
    <w:rsid w:val="004A66C9"/>
    <w:rsid w:val="004B7DA8"/>
    <w:rsid w:val="004C2F01"/>
    <w:rsid w:val="004C4326"/>
    <w:rsid w:val="004C4EA1"/>
    <w:rsid w:val="004C7363"/>
    <w:rsid w:val="004D362E"/>
    <w:rsid w:val="004D3EB2"/>
    <w:rsid w:val="004D4267"/>
    <w:rsid w:val="004D7723"/>
    <w:rsid w:val="004E0EFE"/>
    <w:rsid w:val="004E14A2"/>
    <w:rsid w:val="004E5C8A"/>
    <w:rsid w:val="004F05F8"/>
    <w:rsid w:val="004F581B"/>
    <w:rsid w:val="004F7382"/>
    <w:rsid w:val="00500C93"/>
    <w:rsid w:val="005049FC"/>
    <w:rsid w:val="005064CE"/>
    <w:rsid w:val="00507FCF"/>
    <w:rsid w:val="005127FC"/>
    <w:rsid w:val="005154AF"/>
    <w:rsid w:val="005155A1"/>
    <w:rsid w:val="00525EB5"/>
    <w:rsid w:val="00526683"/>
    <w:rsid w:val="00535FCB"/>
    <w:rsid w:val="00542D58"/>
    <w:rsid w:val="0054525F"/>
    <w:rsid w:val="0054630E"/>
    <w:rsid w:val="00551D0D"/>
    <w:rsid w:val="005530B6"/>
    <w:rsid w:val="00556BCC"/>
    <w:rsid w:val="005607C7"/>
    <w:rsid w:val="00564212"/>
    <w:rsid w:val="00565D3A"/>
    <w:rsid w:val="00566466"/>
    <w:rsid w:val="00567414"/>
    <w:rsid w:val="00585947"/>
    <w:rsid w:val="0058788E"/>
    <w:rsid w:val="00593771"/>
    <w:rsid w:val="00594C45"/>
    <w:rsid w:val="00595C63"/>
    <w:rsid w:val="005A5F9B"/>
    <w:rsid w:val="005A7629"/>
    <w:rsid w:val="005B07D3"/>
    <w:rsid w:val="005B7FA3"/>
    <w:rsid w:val="005C450D"/>
    <w:rsid w:val="005C4D26"/>
    <w:rsid w:val="005D3325"/>
    <w:rsid w:val="005D3F37"/>
    <w:rsid w:val="005D7F6E"/>
    <w:rsid w:val="005E3DA9"/>
    <w:rsid w:val="005E42C6"/>
    <w:rsid w:val="005E46C2"/>
    <w:rsid w:val="005E47B7"/>
    <w:rsid w:val="005E591F"/>
    <w:rsid w:val="005F1D86"/>
    <w:rsid w:val="005F5364"/>
    <w:rsid w:val="005F6A1F"/>
    <w:rsid w:val="006013BE"/>
    <w:rsid w:val="006034FF"/>
    <w:rsid w:val="00605113"/>
    <w:rsid w:val="00605E6A"/>
    <w:rsid w:val="0061039B"/>
    <w:rsid w:val="00610471"/>
    <w:rsid w:val="00611305"/>
    <w:rsid w:val="00614687"/>
    <w:rsid w:val="006154A9"/>
    <w:rsid w:val="00616469"/>
    <w:rsid w:val="00621B2E"/>
    <w:rsid w:val="00630A2D"/>
    <w:rsid w:val="006339F1"/>
    <w:rsid w:val="00643F18"/>
    <w:rsid w:val="00646467"/>
    <w:rsid w:val="0065270E"/>
    <w:rsid w:val="00653088"/>
    <w:rsid w:val="00667302"/>
    <w:rsid w:val="00681D93"/>
    <w:rsid w:val="00687345"/>
    <w:rsid w:val="006874A7"/>
    <w:rsid w:val="0068764F"/>
    <w:rsid w:val="006934FC"/>
    <w:rsid w:val="00697281"/>
    <w:rsid w:val="00697421"/>
    <w:rsid w:val="006A0886"/>
    <w:rsid w:val="006A45CD"/>
    <w:rsid w:val="006A672C"/>
    <w:rsid w:val="006B7E8D"/>
    <w:rsid w:val="006C2508"/>
    <w:rsid w:val="006C3F48"/>
    <w:rsid w:val="006D1C11"/>
    <w:rsid w:val="006D5B59"/>
    <w:rsid w:val="006F1FEA"/>
    <w:rsid w:val="006F381C"/>
    <w:rsid w:val="006F4AF6"/>
    <w:rsid w:val="00704AF4"/>
    <w:rsid w:val="00712459"/>
    <w:rsid w:val="00712803"/>
    <w:rsid w:val="007152FC"/>
    <w:rsid w:val="00717601"/>
    <w:rsid w:val="00717FEF"/>
    <w:rsid w:val="00730621"/>
    <w:rsid w:val="007310C6"/>
    <w:rsid w:val="00741FB1"/>
    <w:rsid w:val="0075005B"/>
    <w:rsid w:val="007532F0"/>
    <w:rsid w:val="00753E40"/>
    <w:rsid w:val="00756CAE"/>
    <w:rsid w:val="0076528F"/>
    <w:rsid w:val="0078047A"/>
    <w:rsid w:val="0078148C"/>
    <w:rsid w:val="00782B9D"/>
    <w:rsid w:val="00783CC9"/>
    <w:rsid w:val="007857EA"/>
    <w:rsid w:val="00786C3E"/>
    <w:rsid w:val="007875D1"/>
    <w:rsid w:val="007A34BE"/>
    <w:rsid w:val="007A74BA"/>
    <w:rsid w:val="007A7C32"/>
    <w:rsid w:val="007B2EEF"/>
    <w:rsid w:val="007D4235"/>
    <w:rsid w:val="007D62F7"/>
    <w:rsid w:val="007F14FC"/>
    <w:rsid w:val="007F3584"/>
    <w:rsid w:val="008010C3"/>
    <w:rsid w:val="008034ED"/>
    <w:rsid w:val="00803AE0"/>
    <w:rsid w:val="008112DB"/>
    <w:rsid w:val="00813FFC"/>
    <w:rsid w:val="00814DED"/>
    <w:rsid w:val="0081519B"/>
    <w:rsid w:val="00821A17"/>
    <w:rsid w:val="008248B8"/>
    <w:rsid w:val="00825028"/>
    <w:rsid w:val="008252B6"/>
    <w:rsid w:val="00832355"/>
    <w:rsid w:val="008365EC"/>
    <w:rsid w:val="00846A38"/>
    <w:rsid w:val="00846AD9"/>
    <w:rsid w:val="00847840"/>
    <w:rsid w:val="00847FAC"/>
    <w:rsid w:val="008533C8"/>
    <w:rsid w:val="00854A57"/>
    <w:rsid w:val="0086774D"/>
    <w:rsid w:val="0087576D"/>
    <w:rsid w:val="0087586F"/>
    <w:rsid w:val="008940B5"/>
    <w:rsid w:val="00894A67"/>
    <w:rsid w:val="0089670C"/>
    <w:rsid w:val="008A2CD8"/>
    <w:rsid w:val="008A6513"/>
    <w:rsid w:val="008B37D6"/>
    <w:rsid w:val="008B5680"/>
    <w:rsid w:val="008B7520"/>
    <w:rsid w:val="008C2228"/>
    <w:rsid w:val="008C7639"/>
    <w:rsid w:val="008C7DD9"/>
    <w:rsid w:val="008D0382"/>
    <w:rsid w:val="008E3092"/>
    <w:rsid w:val="008E4C93"/>
    <w:rsid w:val="008F5D73"/>
    <w:rsid w:val="008F76D6"/>
    <w:rsid w:val="00901C98"/>
    <w:rsid w:val="00904B48"/>
    <w:rsid w:val="009134FF"/>
    <w:rsid w:val="009136B5"/>
    <w:rsid w:val="00922997"/>
    <w:rsid w:val="00923D91"/>
    <w:rsid w:val="009258BC"/>
    <w:rsid w:val="0092743D"/>
    <w:rsid w:val="00931737"/>
    <w:rsid w:val="00931A18"/>
    <w:rsid w:val="00934651"/>
    <w:rsid w:val="00934E5B"/>
    <w:rsid w:val="0094302F"/>
    <w:rsid w:val="00950905"/>
    <w:rsid w:val="00952521"/>
    <w:rsid w:val="00952FD4"/>
    <w:rsid w:val="0095575C"/>
    <w:rsid w:val="00960D16"/>
    <w:rsid w:val="00972B4B"/>
    <w:rsid w:val="009753E9"/>
    <w:rsid w:val="00984EA1"/>
    <w:rsid w:val="00990F49"/>
    <w:rsid w:val="00994B21"/>
    <w:rsid w:val="009974F3"/>
    <w:rsid w:val="009978AA"/>
    <w:rsid w:val="009A1AA7"/>
    <w:rsid w:val="009B2578"/>
    <w:rsid w:val="009B3ACA"/>
    <w:rsid w:val="009B590F"/>
    <w:rsid w:val="009E3710"/>
    <w:rsid w:val="009E5DF7"/>
    <w:rsid w:val="009E5F7A"/>
    <w:rsid w:val="009E647D"/>
    <w:rsid w:val="009F0750"/>
    <w:rsid w:val="00A0310B"/>
    <w:rsid w:val="00A075D3"/>
    <w:rsid w:val="00A23870"/>
    <w:rsid w:val="00A240BC"/>
    <w:rsid w:val="00A264CA"/>
    <w:rsid w:val="00A26D83"/>
    <w:rsid w:val="00A3285A"/>
    <w:rsid w:val="00A35BA3"/>
    <w:rsid w:val="00A36920"/>
    <w:rsid w:val="00A42EF6"/>
    <w:rsid w:val="00A45251"/>
    <w:rsid w:val="00A466A6"/>
    <w:rsid w:val="00A46CB4"/>
    <w:rsid w:val="00A47A54"/>
    <w:rsid w:val="00A52673"/>
    <w:rsid w:val="00A55640"/>
    <w:rsid w:val="00A65235"/>
    <w:rsid w:val="00A704BC"/>
    <w:rsid w:val="00A74E05"/>
    <w:rsid w:val="00A75326"/>
    <w:rsid w:val="00A82CBA"/>
    <w:rsid w:val="00A860AF"/>
    <w:rsid w:val="00A8692B"/>
    <w:rsid w:val="00A90154"/>
    <w:rsid w:val="00A94E85"/>
    <w:rsid w:val="00A950BA"/>
    <w:rsid w:val="00AA0385"/>
    <w:rsid w:val="00AA0BA6"/>
    <w:rsid w:val="00AA0E4F"/>
    <w:rsid w:val="00AA3FCC"/>
    <w:rsid w:val="00AA6194"/>
    <w:rsid w:val="00AB152E"/>
    <w:rsid w:val="00AB25CE"/>
    <w:rsid w:val="00AB272A"/>
    <w:rsid w:val="00AB39CD"/>
    <w:rsid w:val="00AB46EA"/>
    <w:rsid w:val="00AB5F0D"/>
    <w:rsid w:val="00AC5BB7"/>
    <w:rsid w:val="00AC6E12"/>
    <w:rsid w:val="00AC7F8B"/>
    <w:rsid w:val="00AD6E80"/>
    <w:rsid w:val="00AE08D0"/>
    <w:rsid w:val="00AE4880"/>
    <w:rsid w:val="00AE5BED"/>
    <w:rsid w:val="00AE66B7"/>
    <w:rsid w:val="00AF1038"/>
    <w:rsid w:val="00AF16F7"/>
    <w:rsid w:val="00AF3CC9"/>
    <w:rsid w:val="00B00A0B"/>
    <w:rsid w:val="00B03DC1"/>
    <w:rsid w:val="00B03F61"/>
    <w:rsid w:val="00B04FCA"/>
    <w:rsid w:val="00B07D67"/>
    <w:rsid w:val="00B11F02"/>
    <w:rsid w:val="00B134A3"/>
    <w:rsid w:val="00B16827"/>
    <w:rsid w:val="00B17037"/>
    <w:rsid w:val="00B223A9"/>
    <w:rsid w:val="00B2479E"/>
    <w:rsid w:val="00B278AB"/>
    <w:rsid w:val="00B3501E"/>
    <w:rsid w:val="00B36522"/>
    <w:rsid w:val="00B40397"/>
    <w:rsid w:val="00B519F3"/>
    <w:rsid w:val="00B5619F"/>
    <w:rsid w:val="00B613B8"/>
    <w:rsid w:val="00B62F57"/>
    <w:rsid w:val="00B63029"/>
    <w:rsid w:val="00B63112"/>
    <w:rsid w:val="00B6749A"/>
    <w:rsid w:val="00B67B48"/>
    <w:rsid w:val="00B706FC"/>
    <w:rsid w:val="00B736D9"/>
    <w:rsid w:val="00B739FC"/>
    <w:rsid w:val="00B74FDD"/>
    <w:rsid w:val="00B76FCA"/>
    <w:rsid w:val="00B7745C"/>
    <w:rsid w:val="00B80F87"/>
    <w:rsid w:val="00B829E7"/>
    <w:rsid w:val="00B9002B"/>
    <w:rsid w:val="00B91F97"/>
    <w:rsid w:val="00B9273D"/>
    <w:rsid w:val="00B93EE2"/>
    <w:rsid w:val="00B968F0"/>
    <w:rsid w:val="00BA1D4B"/>
    <w:rsid w:val="00BA486D"/>
    <w:rsid w:val="00BB28A2"/>
    <w:rsid w:val="00BB3132"/>
    <w:rsid w:val="00BB6551"/>
    <w:rsid w:val="00BB7662"/>
    <w:rsid w:val="00BC0733"/>
    <w:rsid w:val="00BD0053"/>
    <w:rsid w:val="00BD04C9"/>
    <w:rsid w:val="00BD40BD"/>
    <w:rsid w:val="00BD4F97"/>
    <w:rsid w:val="00BE6435"/>
    <w:rsid w:val="00BF3486"/>
    <w:rsid w:val="00C00F1E"/>
    <w:rsid w:val="00C01DAB"/>
    <w:rsid w:val="00C144F2"/>
    <w:rsid w:val="00C1499B"/>
    <w:rsid w:val="00C15633"/>
    <w:rsid w:val="00C2117D"/>
    <w:rsid w:val="00C2229A"/>
    <w:rsid w:val="00C22922"/>
    <w:rsid w:val="00C24FC4"/>
    <w:rsid w:val="00C2685C"/>
    <w:rsid w:val="00C35484"/>
    <w:rsid w:val="00C4247C"/>
    <w:rsid w:val="00C43740"/>
    <w:rsid w:val="00C440B6"/>
    <w:rsid w:val="00C47489"/>
    <w:rsid w:val="00C53652"/>
    <w:rsid w:val="00C60FF5"/>
    <w:rsid w:val="00C61343"/>
    <w:rsid w:val="00C634CD"/>
    <w:rsid w:val="00C80CAD"/>
    <w:rsid w:val="00C8152F"/>
    <w:rsid w:val="00C83E2B"/>
    <w:rsid w:val="00C83F42"/>
    <w:rsid w:val="00C84969"/>
    <w:rsid w:val="00C94F67"/>
    <w:rsid w:val="00C950CD"/>
    <w:rsid w:val="00C96B4F"/>
    <w:rsid w:val="00CA73ED"/>
    <w:rsid w:val="00CB01FB"/>
    <w:rsid w:val="00CB0E32"/>
    <w:rsid w:val="00CB15AE"/>
    <w:rsid w:val="00CB467E"/>
    <w:rsid w:val="00CB6644"/>
    <w:rsid w:val="00CE0892"/>
    <w:rsid w:val="00CE50CF"/>
    <w:rsid w:val="00CE763C"/>
    <w:rsid w:val="00CF0E0B"/>
    <w:rsid w:val="00CF2432"/>
    <w:rsid w:val="00CF3691"/>
    <w:rsid w:val="00CF78D1"/>
    <w:rsid w:val="00D0213A"/>
    <w:rsid w:val="00D045C9"/>
    <w:rsid w:val="00D05059"/>
    <w:rsid w:val="00D11D0A"/>
    <w:rsid w:val="00D230EA"/>
    <w:rsid w:val="00D43D83"/>
    <w:rsid w:val="00D47F6B"/>
    <w:rsid w:val="00D50004"/>
    <w:rsid w:val="00D551DA"/>
    <w:rsid w:val="00D621FC"/>
    <w:rsid w:val="00D64F99"/>
    <w:rsid w:val="00D66D5B"/>
    <w:rsid w:val="00D712F5"/>
    <w:rsid w:val="00D716B3"/>
    <w:rsid w:val="00D724E1"/>
    <w:rsid w:val="00D73E0A"/>
    <w:rsid w:val="00D76383"/>
    <w:rsid w:val="00D81E77"/>
    <w:rsid w:val="00D81F1C"/>
    <w:rsid w:val="00D86507"/>
    <w:rsid w:val="00D86704"/>
    <w:rsid w:val="00D9048D"/>
    <w:rsid w:val="00D90FB0"/>
    <w:rsid w:val="00D911A0"/>
    <w:rsid w:val="00D91D61"/>
    <w:rsid w:val="00DA0C26"/>
    <w:rsid w:val="00DA6955"/>
    <w:rsid w:val="00DA6E49"/>
    <w:rsid w:val="00DB5348"/>
    <w:rsid w:val="00DC6352"/>
    <w:rsid w:val="00DD4467"/>
    <w:rsid w:val="00DE602E"/>
    <w:rsid w:val="00DE63E1"/>
    <w:rsid w:val="00DF7010"/>
    <w:rsid w:val="00E17D97"/>
    <w:rsid w:val="00E270DB"/>
    <w:rsid w:val="00E3203C"/>
    <w:rsid w:val="00E3552D"/>
    <w:rsid w:val="00E414CF"/>
    <w:rsid w:val="00E41BD3"/>
    <w:rsid w:val="00E4450D"/>
    <w:rsid w:val="00E5754D"/>
    <w:rsid w:val="00E604D8"/>
    <w:rsid w:val="00E6066D"/>
    <w:rsid w:val="00E6219B"/>
    <w:rsid w:val="00E71BDB"/>
    <w:rsid w:val="00E74E3E"/>
    <w:rsid w:val="00E763A3"/>
    <w:rsid w:val="00E76AA5"/>
    <w:rsid w:val="00E80D98"/>
    <w:rsid w:val="00E825A9"/>
    <w:rsid w:val="00E85B8A"/>
    <w:rsid w:val="00E9627C"/>
    <w:rsid w:val="00EA2B78"/>
    <w:rsid w:val="00EA33E9"/>
    <w:rsid w:val="00EA3C8D"/>
    <w:rsid w:val="00EB089E"/>
    <w:rsid w:val="00EB3D84"/>
    <w:rsid w:val="00EB4ADB"/>
    <w:rsid w:val="00EB5174"/>
    <w:rsid w:val="00EC0922"/>
    <w:rsid w:val="00ED26A9"/>
    <w:rsid w:val="00ED464B"/>
    <w:rsid w:val="00ED782C"/>
    <w:rsid w:val="00EE1E88"/>
    <w:rsid w:val="00EE4F1D"/>
    <w:rsid w:val="00EF3068"/>
    <w:rsid w:val="00F01C15"/>
    <w:rsid w:val="00F07192"/>
    <w:rsid w:val="00F127CF"/>
    <w:rsid w:val="00F14C75"/>
    <w:rsid w:val="00F1732B"/>
    <w:rsid w:val="00F17977"/>
    <w:rsid w:val="00F213A8"/>
    <w:rsid w:val="00F25D58"/>
    <w:rsid w:val="00F37ED3"/>
    <w:rsid w:val="00F42529"/>
    <w:rsid w:val="00F504FF"/>
    <w:rsid w:val="00F527AA"/>
    <w:rsid w:val="00F545FA"/>
    <w:rsid w:val="00F547CD"/>
    <w:rsid w:val="00F60E97"/>
    <w:rsid w:val="00F631D4"/>
    <w:rsid w:val="00F64D7B"/>
    <w:rsid w:val="00F83C9D"/>
    <w:rsid w:val="00F84201"/>
    <w:rsid w:val="00F84DED"/>
    <w:rsid w:val="00F862F0"/>
    <w:rsid w:val="00F92B28"/>
    <w:rsid w:val="00F946F9"/>
    <w:rsid w:val="00F95981"/>
    <w:rsid w:val="00FA04FA"/>
    <w:rsid w:val="00FA10AA"/>
    <w:rsid w:val="00FA15B6"/>
    <w:rsid w:val="00FA2BB2"/>
    <w:rsid w:val="00FA4078"/>
    <w:rsid w:val="00FC0601"/>
    <w:rsid w:val="00FC6A5F"/>
    <w:rsid w:val="00FC7B99"/>
    <w:rsid w:val="00FD4156"/>
    <w:rsid w:val="00FD4C4F"/>
    <w:rsid w:val="00FD6730"/>
    <w:rsid w:val="00FE0013"/>
    <w:rsid w:val="00FE036D"/>
    <w:rsid w:val="00FE246D"/>
    <w:rsid w:val="00FE6162"/>
    <w:rsid w:val="00FF1ABA"/>
    <w:rsid w:val="00FF2D63"/>
    <w:rsid w:val="00FF579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oNotEmbedSmartTags/>
  <w:decimalSymbol w:val="."/>
  <w:listSeparator w:val=";"/>
  <w14:docId w14:val="18B71F65"/>
  <w14:defaultImageDpi w14:val="300"/>
  <w15:chartTrackingRefBased/>
  <w15:docId w15:val="{64EA3D88-3321-4560-9F45-24574A3026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Normal Indent" w:locked="1"/>
    <w:lsdException w:name="footnote text" w:locked="1"/>
    <w:lsdException w:name="annotation text" w:locked="1"/>
    <w:lsdException w:name="header" w:locked="1"/>
    <w:lsdException w:name="footer" w:locked="1" w:uiPriority="99"/>
    <w:lsdException w:name="index heading" w:locked="1"/>
    <w:lsdException w:name="caption" w:locked="1" w:semiHidden="1" w:unhideWhenUsed="1"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locked="1" w:qFormat="1"/>
    <w:lsdException w:name="Closing" w:locked="1"/>
    <w:lsdException w:name="Signature" w:locked="1"/>
    <w:lsdException w:name="Default Paragraph Font" w:locked="1"/>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locked="1"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uiPriority="99"/>
    <w:lsdException w:name="FollowedHyperlink" w:locked="1"/>
    <w:lsdException w:name="Strong" w:locked="1" w:uiPriority="22" w:qFormat="1"/>
    <w:lsdException w:name="Emphasis" w:locked="1" w:qFormat="1"/>
    <w:lsdException w:name="Document Map" w:locked="1"/>
    <w:lsdException w:name="Plain Text" w:locked="1"/>
    <w:lsdException w:name="E-mail Signature" w:locked="1"/>
    <w:lsdException w:name="HTML Top of Form" w:locked="1"/>
    <w:lsdException w:name="HTML Bottom of Form" w:locked="1"/>
    <w:lsdException w:name="Normal (Web)" w:locked="1" w:uiPriority="99"/>
    <w:lsdException w:name="HTML Acronym" w:locked="1"/>
    <w:lsdException w:name="HTML Address" w:locked="1"/>
    <w:lsdException w:name="HTML Cite" w:locked="1"/>
    <w:lsdException w:name="HTML Code" w:locked="1"/>
    <w:lsdException w:name="HTML Definition" w:locked="1"/>
    <w:lsdException w:name="HTML Keyboard" w:locked="1" w:semiHidden="1" w:unhideWhenUsed="1"/>
    <w:lsdException w:name="HTML Preformatted" w:locked="1"/>
    <w:lsdException w:name="HTML Sample" w:locked="1"/>
    <w:lsdException w:name="HTML Typewriter" w:lock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lsdException w:name="Table Theme" w:locked="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3285A"/>
    <w:rPr>
      <w:sz w:val="24"/>
      <w:szCs w:val="24"/>
      <w:lang w:val="lv-LV"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erFooterA">
    <w:name w:val="Header &amp; Footer A"/>
    <w:pPr>
      <w:tabs>
        <w:tab w:val="right" w:pos="9360"/>
      </w:tabs>
    </w:pPr>
    <w:rPr>
      <w:rFonts w:ascii="Helvetica" w:eastAsia="ヒラギノ角ゴ Pro W3" w:hAnsi="Helvetica"/>
      <w:color w:val="000000"/>
      <w:u w:color="000000"/>
      <w:lang w:eastAsia="lv-LV"/>
    </w:rPr>
  </w:style>
  <w:style w:type="paragraph" w:customStyle="1" w:styleId="HeaderFooter">
    <w:name w:val="Header &amp; Footer"/>
    <w:pPr>
      <w:tabs>
        <w:tab w:val="right" w:pos="9360"/>
      </w:tabs>
    </w:pPr>
    <w:rPr>
      <w:rFonts w:ascii="Helvetica" w:eastAsia="ヒラギノ角ゴ Pro W3" w:hAnsi="Helvetica"/>
      <w:color w:val="000000"/>
      <w:lang w:eastAsia="lv-LV"/>
    </w:rPr>
  </w:style>
  <w:style w:type="paragraph" w:customStyle="1" w:styleId="Body">
    <w:name w:val="Body"/>
    <w:pPr>
      <w:spacing w:after="240"/>
    </w:pPr>
    <w:rPr>
      <w:rFonts w:ascii="Helvetica" w:eastAsia="ヒラギノ角ゴ Pro W3" w:hAnsi="Helvetica"/>
      <w:color w:val="000000"/>
      <w:sz w:val="24"/>
      <w:lang w:eastAsia="lv-LV"/>
    </w:rPr>
  </w:style>
  <w:style w:type="paragraph" w:styleId="Header">
    <w:name w:val="header"/>
    <w:basedOn w:val="Normal"/>
    <w:locked/>
    <w:rsid w:val="00756CAE"/>
    <w:pPr>
      <w:tabs>
        <w:tab w:val="center" w:pos="4153"/>
        <w:tab w:val="right" w:pos="8306"/>
      </w:tabs>
    </w:pPr>
  </w:style>
  <w:style w:type="paragraph" w:styleId="Footer">
    <w:name w:val="footer"/>
    <w:basedOn w:val="Normal"/>
    <w:link w:val="FooterChar"/>
    <w:uiPriority w:val="99"/>
    <w:locked/>
    <w:rsid w:val="00756CAE"/>
    <w:pPr>
      <w:tabs>
        <w:tab w:val="center" w:pos="4153"/>
        <w:tab w:val="right" w:pos="8306"/>
      </w:tabs>
    </w:pPr>
  </w:style>
  <w:style w:type="character" w:customStyle="1" w:styleId="FooterChar">
    <w:name w:val="Footer Char"/>
    <w:basedOn w:val="DefaultParagraphFont"/>
    <w:link w:val="Footer"/>
    <w:uiPriority w:val="99"/>
    <w:rsid w:val="00F84DED"/>
    <w:rPr>
      <w:sz w:val="24"/>
      <w:szCs w:val="24"/>
      <w:lang w:val="en-GB" w:eastAsia="en-US"/>
    </w:rPr>
  </w:style>
  <w:style w:type="character" w:styleId="Hyperlink">
    <w:name w:val="Hyperlink"/>
    <w:basedOn w:val="DefaultParagraphFont"/>
    <w:uiPriority w:val="99"/>
    <w:unhideWhenUsed/>
    <w:locked/>
    <w:rsid w:val="007F3584"/>
    <w:rPr>
      <w:color w:val="0000FF"/>
      <w:u w:val="single"/>
    </w:rPr>
  </w:style>
  <w:style w:type="paragraph" w:styleId="ListParagraph">
    <w:name w:val="List Paragraph"/>
    <w:basedOn w:val="Normal"/>
    <w:uiPriority w:val="34"/>
    <w:qFormat/>
    <w:rsid w:val="007F3584"/>
    <w:pPr>
      <w:ind w:left="720"/>
      <w:contextualSpacing/>
    </w:pPr>
  </w:style>
  <w:style w:type="paragraph" w:customStyle="1" w:styleId="Default">
    <w:name w:val="Default"/>
    <w:rsid w:val="007F3584"/>
    <w:pPr>
      <w:autoSpaceDE w:val="0"/>
      <w:autoSpaceDN w:val="0"/>
      <w:adjustRightInd w:val="0"/>
    </w:pPr>
    <w:rPr>
      <w:color w:val="000000"/>
      <w:sz w:val="24"/>
      <w:szCs w:val="24"/>
      <w:lang w:val="lv-LV" w:eastAsia="lv-LV"/>
    </w:rPr>
  </w:style>
  <w:style w:type="character" w:styleId="UnresolvedMention">
    <w:name w:val="Unresolved Mention"/>
    <w:basedOn w:val="DefaultParagraphFont"/>
    <w:uiPriority w:val="99"/>
    <w:semiHidden/>
    <w:unhideWhenUsed/>
    <w:rsid w:val="0054630E"/>
    <w:rPr>
      <w:color w:val="605E5C"/>
      <w:shd w:val="clear" w:color="auto" w:fill="E1DFDD"/>
    </w:rPr>
  </w:style>
  <w:style w:type="paragraph" w:styleId="Revision">
    <w:name w:val="Revision"/>
    <w:hidden/>
    <w:uiPriority w:val="99"/>
    <w:semiHidden/>
    <w:rsid w:val="00ED782C"/>
    <w:rPr>
      <w:sz w:val="24"/>
      <w:szCs w:val="24"/>
      <w:lang w:eastAsia="en-US"/>
    </w:rPr>
  </w:style>
  <w:style w:type="character" w:styleId="CommentReference">
    <w:name w:val="annotation reference"/>
    <w:basedOn w:val="DefaultParagraphFont"/>
    <w:locked/>
    <w:rsid w:val="00197CAA"/>
    <w:rPr>
      <w:sz w:val="16"/>
      <w:szCs w:val="16"/>
    </w:rPr>
  </w:style>
  <w:style w:type="paragraph" w:styleId="CommentText">
    <w:name w:val="annotation text"/>
    <w:basedOn w:val="Normal"/>
    <w:link w:val="CommentTextChar"/>
    <w:locked/>
    <w:rsid w:val="00197CAA"/>
    <w:rPr>
      <w:sz w:val="20"/>
      <w:szCs w:val="20"/>
    </w:rPr>
  </w:style>
  <w:style w:type="character" w:customStyle="1" w:styleId="CommentTextChar">
    <w:name w:val="Comment Text Char"/>
    <w:basedOn w:val="DefaultParagraphFont"/>
    <w:link w:val="CommentText"/>
    <w:rsid w:val="00197CAA"/>
    <w:rPr>
      <w:lang w:val="en-GB" w:eastAsia="en-US"/>
    </w:rPr>
  </w:style>
  <w:style w:type="paragraph" w:styleId="CommentSubject">
    <w:name w:val="annotation subject"/>
    <w:basedOn w:val="CommentText"/>
    <w:next w:val="CommentText"/>
    <w:link w:val="CommentSubjectChar"/>
    <w:semiHidden/>
    <w:unhideWhenUsed/>
    <w:locked/>
    <w:rsid w:val="00197CAA"/>
    <w:rPr>
      <w:b/>
      <w:bCs/>
    </w:rPr>
  </w:style>
  <w:style w:type="character" w:customStyle="1" w:styleId="CommentSubjectChar">
    <w:name w:val="Comment Subject Char"/>
    <w:basedOn w:val="CommentTextChar"/>
    <w:link w:val="CommentSubject"/>
    <w:semiHidden/>
    <w:rsid w:val="00197CAA"/>
    <w:rPr>
      <w:b/>
      <w:bCs/>
      <w:lang w:val="en-GB" w:eastAsia="en-US"/>
    </w:rPr>
  </w:style>
  <w:style w:type="paragraph" w:customStyle="1" w:styleId="Tabulasheader">
    <w:name w:val="Tabulas header"/>
    <w:basedOn w:val="BodyText"/>
    <w:link w:val="TabulasheaderChar"/>
    <w:uiPriority w:val="1"/>
    <w:qFormat/>
    <w:rsid w:val="008C7639"/>
    <w:pPr>
      <w:spacing w:before="120"/>
      <w:jc w:val="center"/>
    </w:pPr>
    <w:rPr>
      <w:rFonts w:asciiTheme="minorHAnsi" w:eastAsiaTheme="minorEastAsia" w:hAnsiTheme="minorHAnsi" w:cstheme="minorBidi"/>
      <w:b/>
      <w:bCs/>
      <w:sz w:val="22"/>
      <w:szCs w:val="22"/>
      <w:lang w:val="lv" w:eastAsia="zh-CN"/>
      <w14:ligatures w14:val="standardContextual"/>
    </w:rPr>
  </w:style>
  <w:style w:type="character" w:customStyle="1" w:styleId="TabulasheaderChar">
    <w:name w:val="Tabulas header Char"/>
    <w:basedOn w:val="BodyTextChar"/>
    <w:link w:val="Tabulasheader"/>
    <w:uiPriority w:val="1"/>
    <w:rsid w:val="008C7639"/>
    <w:rPr>
      <w:rFonts w:asciiTheme="minorHAnsi" w:eastAsiaTheme="minorEastAsia" w:hAnsiTheme="minorHAnsi" w:cstheme="minorBidi"/>
      <w:b/>
      <w:bCs/>
      <w:sz w:val="22"/>
      <w:szCs w:val="22"/>
      <w:lang w:val="lv" w:eastAsia="zh-CN"/>
      <w14:ligatures w14:val="standardContextual"/>
    </w:rPr>
  </w:style>
  <w:style w:type="paragraph" w:styleId="BodyText">
    <w:name w:val="Body Text"/>
    <w:basedOn w:val="Normal"/>
    <w:link w:val="BodyTextChar"/>
    <w:locked/>
    <w:rsid w:val="008C7639"/>
    <w:pPr>
      <w:spacing w:after="120"/>
    </w:pPr>
  </w:style>
  <w:style w:type="character" w:customStyle="1" w:styleId="BodyTextChar">
    <w:name w:val="Body Text Char"/>
    <w:basedOn w:val="DefaultParagraphFont"/>
    <w:link w:val="BodyText"/>
    <w:rsid w:val="008C7639"/>
    <w:rPr>
      <w:sz w:val="24"/>
      <w:szCs w:val="24"/>
      <w:lang w:val="en-GB" w:eastAsia="en-US"/>
    </w:rPr>
  </w:style>
  <w:style w:type="paragraph" w:styleId="NormalWeb">
    <w:name w:val="Normal (Web)"/>
    <w:basedOn w:val="Normal"/>
    <w:uiPriority w:val="99"/>
    <w:unhideWhenUsed/>
    <w:locked/>
    <w:rsid w:val="009F0750"/>
    <w:pPr>
      <w:spacing w:before="100" w:beforeAutospacing="1" w:after="100" w:afterAutospacing="1"/>
    </w:pPr>
    <w:rPr>
      <w:lang w:eastAsia="lv-LV"/>
    </w:rPr>
  </w:style>
  <w:style w:type="character" w:styleId="Strong">
    <w:name w:val="Strong"/>
    <w:basedOn w:val="DefaultParagraphFont"/>
    <w:uiPriority w:val="22"/>
    <w:qFormat/>
    <w:locked/>
    <w:rsid w:val="009F0750"/>
    <w:rPr>
      <w:b/>
      <w:bCs/>
    </w:rPr>
  </w:style>
  <w:style w:type="table" w:styleId="TableGrid">
    <w:name w:val="Table Grid"/>
    <w:basedOn w:val="TableNormal"/>
    <w:locked/>
    <w:rsid w:val="00291C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208830">
      <w:bodyDiv w:val="1"/>
      <w:marLeft w:val="0"/>
      <w:marRight w:val="0"/>
      <w:marTop w:val="0"/>
      <w:marBottom w:val="0"/>
      <w:divBdr>
        <w:top w:val="none" w:sz="0" w:space="0" w:color="auto"/>
        <w:left w:val="none" w:sz="0" w:space="0" w:color="auto"/>
        <w:bottom w:val="none" w:sz="0" w:space="0" w:color="auto"/>
        <w:right w:val="none" w:sz="0" w:space="0" w:color="auto"/>
      </w:divBdr>
    </w:div>
    <w:div w:id="99616137">
      <w:bodyDiv w:val="1"/>
      <w:marLeft w:val="0"/>
      <w:marRight w:val="0"/>
      <w:marTop w:val="0"/>
      <w:marBottom w:val="0"/>
      <w:divBdr>
        <w:top w:val="none" w:sz="0" w:space="0" w:color="auto"/>
        <w:left w:val="none" w:sz="0" w:space="0" w:color="auto"/>
        <w:bottom w:val="none" w:sz="0" w:space="0" w:color="auto"/>
        <w:right w:val="none" w:sz="0" w:space="0" w:color="auto"/>
      </w:divBdr>
    </w:div>
    <w:div w:id="127012923">
      <w:bodyDiv w:val="1"/>
      <w:marLeft w:val="0"/>
      <w:marRight w:val="0"/>
      <w:marTop w:val="0"/>
      <w:marBottom w:val="0"/>
      <w:divBdr>
        <w:top w:val="none" w:sz="0" w:space="0" w:color="auto"/>
        <w:left w:val="none" w:sz="0" w:space="0" w:color="auto"/>
        <w:bottom w:val="none" w:sz="0" w:space="0" w:color="auto"/>
        <w:right w:val="none" w:sz="0" w:space="0" w:color="auto"/>
      </w:divBdr>
      <w:divsChild>
        <w:div w:id="1991901985">
          <w:marLeft w:val="0"/>
          <w:marRight w:val="0"/>
          <w:marTop w:val="0"/>
          <w:marBottom w:val="0"/>
          <w:divBdr>
            <w:top w:val="none" w:sz="0" w:space="0" w:color="auto"/>
            <w:left w:val="none" w:sz="0" w:space="0" w:color="auto"/>
            <w:bottom w:val="none" w:sz="0" w:space="0" w:color="auto"/>
            <w:right w:val="none" w:sz="0" w:space="0" w:color="auto"/>
          </w:divBdr>
        </w:div>
      </w:divsChild>
    </w:div>
    <w:div w:id="181676667">
      <w:bodyDiv w:val="1"/>
      <w:marLeft w:val="0"/>
      <w:marRight w:val="0"/>
      <w:marTop w:val="0"/>
      <w:marBottom w:val="0"/>
      <w:divBdr>
        <w:top w:val="none" w:sz="0" w:space="0" w:color="auto"/>
        <w:left w:val="none" w:sz="0" w:space="0" w:color="auto"/>
        <w:bottom w:val="none" w:sz="0" w:space="0" w:color="auto"/>
        <w:right w:val="none" w:sz="0" w:space="0" w:color="auto"/>
      </w:divBdr>
      <w:divsChild>
        <w:div w:id="1689867367">
          <w:marLeft w:val="0"/>
          <w:marRight w:val="0"/>
          <w:marTop w:val="0"/>
          <w:marBottom w:val="0"/>
          <w:divBdr>
            <w:top w:val="none" w:sz="0" w:space="0" w:color="auto"/>
            <w:left w:val="none" w:sz="0" w:space="0" w:color="auto"/>
            <w:bottom w:val="none" w:sz="0" w:space="0" w:color="auto"/>
            <w:right w:val="none" w:sz="0" w:space="0" w:color="auto"/>
          </w:divBdr>
        </w:div>
      </w:divsChild>
    </w:div>
    <w:div w:id="216209228">
      <w:bodyDiv w:val="1"/>
      <w:marLeft w:val="0"/>
      <w:marRight w:val="0"/>
      <w:marTop w:val="0"/>
      <w:marBottom w:val="0"/>
      <w:divBdr>
        <w:top w:val="none" w:sz="0" w:space="0" w:color="auto"/>
        <w:left w:val="none" w:sz="0" w:space="0" w:color="auto"/>
        <w:bottom w:val="none" w:sz="0" w:space="0" w:color="auto"/>
        <w:right w:val="none" w:sz="0" w:space="0" w:color="auto"/>
      </w:divBdr>
    </w:div>
    <w:div w:id="229271784">
      <w:bodyDiv w:val="1"/>
      <w:marLeft w:val="0"/>
      <w:marRight w:val="0"/>
      <w:marTop w:val="0"/>
      <w:marBottom w:val="0"/>
      <w:divBdr>
        <w:top w:val="none" w:sz="0" w:space="0" w:color="auto"/>
        <w:left w:val="none" w:sz="0" w:space="0" w:color="auto"/>
        <w:bottom w:val="none" w:sz="0" w:space="0" w:color="auto"/>
        <w:right w:val="none" w:sz="0" w:space="0" w:color="auto"/>
      </w:divBdr>
      <w:divsChild>
        <w:div w:id="46228047">
          <w:marLeft w:val="0"/>
          <w:marRight w:val="0"/>
          <w:marTop w:val="0"/>
          <w:marBottom w:val="0"/>
          <w:divBdr>
            <w:top w:val="none" w:sz="0" w:space="0" w:color="auto"/>
            <w:left w:val="none" w:sz="0" w:space="0" w:color="auto"/>
            <w:bottom w:val="none" w:sz="0" w:space="0" w:color="auto"/>
            <w:right w:val="none" w:sz="0" w:space="0" w:color="auto"/>
          </w:divBdr>
        </w:div>
      </w:divsChild>
    </w:div>
    <w:div w:id="234245940">
      <w:bodyDiv w:val="1"/>
      <w:marLeft w:val="0"/>
      <w:marRight w:val="0"/>
      <w:marTop w:val="0"/>
      <w:marBottom w:val="0"/>
      <w:divBdr>
        <w:top w:val="none" w:sz="0" w:space="0" w:color="auto"/>
        <w:left w:val="none" w:sz="0" w:space="0" w:color="auto"/>
        <w:bottom w:val="none" w:sz="0" w:space="0" w:color="auto"/>
        <w:right w:val="none" w:sz="0" w:space="0" w:color="auto"/>
      </w:divBdr>
      <w:divsChild>
        <w:div w:id="171652777">
          <w:marLeft w:val="0"/>
          <w:marRight w:val="0"/>
          <w:marTop w:val="0"/>
          <w:marBottom w:val="0"/>
          <w:divBdr>
            <w:top w:val="none" w:sz="0" w:space="0" w:color="auto"/>
            <w:left w:val="none" w:sz="0" w:space="0" w:color="auto"/>
            <w:bottom w:val="none" w:sz="0" w:space="0" w:color="auto"/>
            <w:right w:val="none" w:sz="0" w:space="0" w:color="auto"/>
          </w:divBdr>
        </w:div>
      </w:divsChild>
    </w:div>
    <w:div w:id="271205189">
      <w:bodyDiv w:val="1"/>
      <w:marLeft w:val="0"/>
      <w:marRight w:val="0"/>
      <w:marTop w:val="0"/>
      <w:marBottom w:val="0"/>
      <w:divBdr>
        <w:top w:val="none" w:sz="0" w:space="0" w:color="auto"/>
        <w:left w:val="none" w:sz="0" w:space="0" w:color="auto"/>
        <w:bottom w:val="none" w:sz="0" w:space="0" w:color="auto"/>
        <w:right w:val="none" w:sz="0" w:space="0" w:color="auto"/>
      </w:divBdr>
    </w:div>
    <w:div w:id="287857168">
      <w:bodyDiv w:val="1"/>
      <w:marLeft w:val="0"/>
      <w:marRight w:val="0"/>
      <w:marTop w:val="0"/>
      <w:marBottom w:val="0"/>
      <w:divBdr>
        <w:top w:val="none" w:sz="0" w:space="0" w:color="auto"/>
        <w:left w:val="none" w:sz="0" w:space="0" w:color="auto"/>
        <w:bottom w:val="none" w:sz="0" w:space="0" w:color="auto"/>
        <w:right w:val="none" w:sz="0" w:space="0" w:color="auto"/>
      </w:divBdr>
    </w:div>
    <w:div w:id="394427737">
      <w:bodyDiv w:val="1"/>
      <w:marLeft w:val="0"/>
      <w:marRight w:val="0"/>
      <w:marTop w:val="0"/>
      <w:marBottom w:val="0"/>
      <w:divBdr>
        <w:top w:val="none" w:sz="0" w:space="0" w:color="auto"/>
        <w:left w:val="none" w:sz="0" w:space="0" w:color="auto"/>
        <w:bottom w:val="none" w:sz="0" w:space="0" w:color="auto"/>
        <w:right w:val="none" w:sz="0" w:space="0" w:color="auto"/>
      </w:divBdr>
      <w:divsChild>
        <w:div w:id="1559626609">
          <w:marLeft w:val="0"/>
          <w:marRight w:val="0"/>
          <w:marTop w:val="0"/>
          <w:marBottom w:val="0"/>
          <w:divBdr>
            <w:top w:val="none" w:sz="0" w:space="0" w:color="auto"/>
            <w:left w:val="none" w:sz="0" w:space="0" w:color="auto"/>
            <w:bottom w:val="none" w:sz="0" w:space="0" w:color="auto"/>
            <w:right w:val="none" w:sz="0" w:space="0" w:color="auto"/>
          </w:divBdr>
        </w:div>
      </w:divsChild>
    </w:div>
    <w:div w:id="525414577">
      <w:bodyDiv w:val="1"/>
      <w:marLeft w:val="0"/>
      <w:marRight w:val="0"/>
      <w:marTop w:val="0"/>
      <w:marBottom w:val="0"/>
      <w:divBdr>
        <w:top w:val="none" w:sz="0" w:space="0" w:color="auto"/>
        <w:left w:val="none" w:sz="0" w:space="0" w:color="auto"/>
        <w:bottom w:val="none" w:sz="0" w:space="0" w:color="auto"/>
        <w:right w:val="none" w:sz="0" w:space="0" w:color="auto"/>
      </w:divBdr>
      <w:divsChild>
        <w:div w:id="787774473">
          <w:marLeft w:val="0"/>
          <w:marRight w:val="0"/>
          <w:marTop w:val="0"/>
          <w:marBottom w:val="0"/>
          <w:divBdr>
            <w:top w:val="none" w:sz="0" w:space="0" w:color="auto"/>
            <w:left w:val="none" w:sz="0" w:space="0" w:color="auto"/>
            <w:bottom w:val="none" w:sz="0" w:space="0" w:color="auto"/>
            <w:right w:val="none" w:sz="0" w:space="0" w:color="auto"/>
          </w:divBdr>
        </w:div>
      </w:divsChild>
    </w:div>
    <w:div w:id="528178406">
      <w:bodyDiv w:val="1"/>
      <w:marLeft w:val="0"/>
      <w:marRight w:val="0"/>
      <w:marTop w:val="0"/>
      <w:marBottom w:val="0"/>
      <w:divBdr>
        <w:top w:val="none" w:sz="0" w:space="0" w:color="auto"/>
        <w:left w:val="none" w:sz="0" w:space="0" w:color="auto"/>
        <w:bottom w:val="none" w:sz="0" w:space="0" w:color="auto"/>
        <w:right w:val="none" w:sz="0" w:space="0" w:color="auto"/>
      </w:divBdr>
      <w:divsChild>
        <w:div w:id="1107307507">
          <w:marLeft w:val="0"/>
          <w:marRight w:val="0"/>
          <w:marTop w:val="0"/>
          <w:marBottom w:val="0"/>
          <w:divBdr>
            <w:top w:val="none" w:sz="0" w:space="0" w:color="auto"/>
            <w:left w:val="none" w:sz="0" w:space="0" w:color="auto"/>
            <w:bottom w:val="none" w:sz="0" w:space="0" w:color="auto"/>
            <w:right w:val="none" w:sz="0" w:space="0" w:color="auto"/>
          </w:divBdr>
        </w:div>
      </w:divsChild>
    </w:div>
    <w:div w:id="603537942">
      <w:bodyDiv w:val="1"/>
      <w:marLeft w:val="0"/>
      <w:marRight w:val="0"/>
      <w:marTop w:val="0"/>
      <w:marBottom w:val="0"/>
      <w:divBdr>
        <w:top w:val="none" w:sz="0" w:space="0" w:color="auto"/>
        <w:left w:val="none" w:sz="0" w:space="0" w:color="auto"/>
        <w:bottom w:val="none" w:sz="0" w:space="0" w:color="auto"/>
        <w:right w:val="none" w:sz="0" w:space="0" w:color="auto"/>
      </w:divBdr>
    </w:div>
    <w:div w:id="674110149">
      <w:bodyDiv w:val="1"/>
      <w:marLeft w:val="0"/>
      <w:marRight w:val="0"/>
      <w:marTop w:val="0"/>
      <w:marBottom w:val="0"/>
      <w:divBdr>
        <w:top w:val="none" w:sz="0" w:space="0" w:color="auto"/>
        <w:left w:val="none" w:sz="0" w:space="0" w:color="auto"/>
        <w:bottom w:val="none" w:sz="0" w:space="0" w:color="auto"/>
        <w:right w:val="none" w:sz="0" w:space="0" w:color="auto"/>
      </w:divBdr>
      <w:divsChild>
        <w:div w:id="761685017">
          <w:marLeft w:val="0"/>
          <w:marRight w:val="0"/>
          <w:marTop w:val="0"/>
          <w:marBottom w:val="0"/>
          <w:divBdr>
            <w:top w:val="none" w:sz="0" w:space="0" w:color="auto"/>
            <w:left w:val="none" w:sz="0" w:space="0" w:color="auto"/>
            <w:bottom w:val="none" w:sz="0" w:space="0" w:color="auto"/>
            <w:right w:val="none" w:sz="0" w:space="0" w:color="auto"/>
          </w:divBdr>
        </w:div>
      </w:divsChild>
    </w:div>
    <w:div w:id="703864994">
      <w:bodyDiv w:val="1"/>
      <w:marLeft w:val="0"/>
      <w:marRight w:val="0"/>
      <w:marTop w:val="0"/>
      <w:marBottom w:val="0"/>
      <w:divBdr>
        <w:top w:val="none" w:sz="0" w:space="0" w:color="auto"/>
        <w:left w:val="none" w:sz="0" w:space="0" w:color="auto"/>
        <w:bottom w:val="none" w:sz="0" w:space="0" w:color="auto"/>
        <w:right w:val="none" w:sz="0" w:space="0" w:color="auto"/>
      </w:divBdr>
      <w:divsChild>
        <w:div w:id="1631863267">
          <w:marLeft w:val="0"/>
          <w:marRight w:val="0"/>
          <w:marTop w:val="0"/>
          <w:marBottom w:val="0"/>
          <w:divBdr>
            <w:top w:val="none" w:sz="0" w:space="0" w:color="auto"/>
            <w:left w:val="none" w:sz="0" w:space="0" w:color="auto"/>
            <w:bottom w:val="none" w:sz="0" w:space="0" w:color="auto"/>
            <w:right w:val="none" w:sz="0" w:space="0" w:color="auto"/>
          </w:divBdr>
          <w:divsChild>
            <w:div w:id="234172288">
              <w:marLeft w:val="0"/>
              <w:marRight w:val="0"/>
              <w:marTop w:val="0"/>
              <w:marBottom w:val="0"/>
              <w:divBdr>
                <w:top w:val="none" w:sz="0" w:space="0" w:color="auto"/>
                <w:left w:val="none" w:sz="0" w:space="0" w:color="auto"/>
                <w:bottom w:val="none" w:sz="0" w:space="0" w:color="auto"/>
                <w:right w:val="none" w:sz="0" w:space="0" w:color="auto"/>
              </w:divBdr>
              <w:divsChild>
                <w:div w:id="2021198025">
                  <w:marLeft w:val="0"/>
                  <w:marRight w:val="0"/>
                  <w:marTop w:val="0"/>
                  <w:marBottom w:val="0"/>
                  <w:divBdr>
                    <w:top w:val="none" w:sz="0" w:space="0" w:color="auto"/>
                    <w:left w:val="none" w:sz="0" w:space="0" w:color="auto"/>
                    <w:bottom w:val="none" w:sz="0" w:space="0" w:color="auto"/>
                    <w:right w:val="none" w:sz="0" w:space="0" w:color="auto"/>
                  </w:divBdr>
                  <w:divsChild>
                    <w:div w:id="1498225319">
                      <w:marLeft w:val="0"/>
                      <w:marRight w:val="0"/>
                      <w:marTop w:val="0"/>
                      <w:marBottom w:val="0"/>
                      <w:divBdr>
                        <w:top w:val="none" w:sz="0" w:space="0" w:color="auto"/>
                        <w:left w:val="none" w:sz="0" w:space="0" w:color="auto"/>
                        <w:bottom w:val="none" w:sz="0" w:space="0" w:color="auto"/>
                        <w:right w:val="none" w:sz="0" w:space="0" w:color="auto"/>
                      </w:divBdr>
                      <w:divsChild>
                        <w:div w:id="1303849572">
                          <w:marLeft w:val="0"/>
                          <w:marRight w:val="0"/>
                          <w:marTop w:val="0"/>
                          <w:marBottom w:val="0"/>
                          <w:divBdr>
                            <w:top w:val="none" w:sz="0" w:space="0" w:color="auto"/>
                            <w:left w:val="none" w:sz="0" w:space="0" w:color="auto"/>
                            <w:bottom w:val="none" w:sz="0" w:space="0" w:color="auto"/>
                            <w:right w:val="none" w:sz="0" w:space="0" w:color="auto"/>
                          </w:divBdr>
                          <w:divsChild>
                            <w:div w:id="1021736630">
                              <w:marLeft w:val="0"/>
                              <w:marRight w:val="0"/>
                              <w:marTop w:val="0"/>
                              <w:marBottom w:val="0"/>
                              <w:divBdr>
                                <w:top w:val="none" w:sz="0" w:space="0" w:color="auto"/>
                                <w:left w:val="none" w:sz="0" w:space="0" w:color="auto"/>
                                <w:bottom w:val="none" w:sz="0" w:space="0" w:color="auto"/>
                                <w:right w:val="none" w:sz="0" w:space="0" w:color="auto"/>
                              </w:divBdr>
                              <w:divsChild>
                                <w:div w:id="599066352">
                                  <w:marLeft w:val="0"/>
                                  <w:marRight w:val="0"/>
                                  <w:marTop w:val="0"/>
                                  <w:marBottom w:val="0"/>
                                  <w:divBdr>
                                    <w:top w:val="none" w:sz="0" w:space="0" w:color="auto"/>
                                    <w:left w:val="none" w:sz="0" w:space="0" w:color="auto"/>
                                    <w:bottom w:val="none" w:sz="0" w:space="0" w:color="auto"/>
                                    <w:right w:val="none" w:sz="0" w:space="0" w:color="auto"/>
                                  </w:divBdr>
                                  <w:divsChild>
                                    <w:div w:id="508106978">
                                      <w:marLeft w:val="0"/>
                                      <w:marRight w:val="0"/>
                                      <w:marTop w:val="0"/>
                                      <w:marBottom w:val="0"/>
                                      <w:divBdr>
                                        <w:top w:val="none" w:sz="0" w:space="0" w:color="auto"/>
                                        <w:left w:val="none" w:sz="0" w:space="0" w:color="auto"/>
                                        <w:bottom w:val="none" w:sz="0" w:space="0" w:color="auto"/>
                                        <w:right w:val="none" w:sz="0" w:space="0" w:color="auto"/>
                                      </w:divBdr>
                                      <w:divsChild>
                                        <w:div w:id="1382051552">
                                          <w:marLeft w:val="0"/>
                                          <w:marRight w:val="0"/>
                                          <w:marTop w:val="0"/>
                                          <w:marBottom w:val="0"/>
                                          <w:divBdr>
                                            <w:top w:val="none" w:sz="0" w:space="0" w:color="auto"/>
                                            <w:left w:val="none" w:sz="0" w:space="0" w:color="auto"/>
                                            <w:bottom w:val="none" w:sz="0" w:space="0" w:color="auto"/>
                                            <w:right w:val="none" w:sz="0" w:space="0" w:color="auto"/>
                                          </w:divBdr>
                                          <w:divsChild>
                                            <w:div w:id="211238154">
                                              <w:marLeft w:val="0"/>
                                              <w:marRight w:val="0"/>
                                              <w:marTop w:val="0"/>
                                              <w:marBottom w:val="0"/>
                                              <w:divBdr>
                                                <w:top w:val="none" w:sz="0" w:space="0" w:color="auto"/>
                                                <w:left w:val="none" w:sz="0" w:space="0" w:color="auto"/>
                                                <w:bottom w:val="none" w:sz="0" w:space="0" w:color="auto"/>
                                                <w:right w:val="none" w:sz="0" w:space="0" w:color="auto"/>
                                              </w:divBdr>
                                              <w:divsChild>
                                                <w:div w:id="1207983988">
                                                  <w:marLeft w:val="0"/>
                                                  <w:marRight w:val="0"/>
                                                  <w:marTop w:val="0"/>
                                                  <w:marBottom w:val="0"/>
                                                  <w:divBdr>
                                                    <w:top w:val="none" w:sz="0" w:space="0" w:color="auto"/>
                                                    <w:left w:val="none" w:sz="0" w:space="0" w:color="auto"/>
                                                    <w:bottom w:val="none" w:sz="0" w:space="0" w:color="auto"/>
                                                    <w:right w:val="none" w:sz="0" w:space="0" w:color="auto"/>
                                                  </w:divBdr>
                                                  <w:divsChild>
                                                    <w:div w:id="111945229">
                                                      <w:marLeft w:val="0"/>
                                                      <w:marRight w:val="0"/>
                                                      <w:marTop w:val="0"/>
                                                      <w:marBottom w:val="0"/>
                                                      <w:divBdr>
                                                        <w:top w:val="none" w:sz="0" w:space="0" w:color="auto"/>
                                                        <w:left w:val="none" w:sz="0" w:space="0" w:color="auto"/>
                                                        <w:bottom w:val="none" w:sz="0" w:space="0" w:color="auto"/>
                                                        <w:right w:val="none" w:sz="0" w:space="0" w:color="auto"/>
                                                      </w:divBdr>
                                                      <w:divsChild>
                                                        <w:div w:id="1507404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827207722">
      <w:bodyDiv w:val="1"/>
      <w:marLeft w:val="0"/>
      <w:marRight w:val="0"/>
      <w:marTop w:val="0"/>
      <w:marBottom w:val="0"/>
      <w:divBdr>
        <w:top w:val="none" w:sz="0" w:space="0" w:color="auto"/>
        <w:left w:val="none" w:sz="0" w:space="0" w:color="auto"/>
        <w:bottom w:val="none" w:sz="0" w:space="0" w:color="auto"/>
        <w:right w:val="none" w:sz="0" w:space="0" w:color="auto"/>
      </w:divBdr>
      <w:divsChild>
        <w:div w:id="1655449637">
          <w:marLeft w:val="0"/>
          <w:marRight w:val="0"/>
          <w:marTop w:val="0"/>
          <w:marBottom w:val="0"/>
          <w:divBdr>
            <w:top w:val="none" w:sz="0" w:space="0" w:color="auto"/>
            <w:left w:val="none" w:sz="0" w:space="0" w:color="auto"/>
            <w:bottom w:val="none" w:sz="0" w:space="0" w:color="auto"/>
            <w:right w:val="none" w:sz="0" w:space="0" w:color="auto"/>
          </w:divBdr>
        </w:div>
      </w:divsChild>
    </w:div>
    <w:div w:id="874387685">
      <w:bodyDiv w:val="1"/>
      <w:marLeft w:val="0"/>
      <w:marRight w:val="0"/>
      <w:marTop w:val="0"/>
      <w:marBottom w:val="0"/>
      <w:divBdr>
        <w:top w:val="none" w:sz="0" w:space="0" w:color="auto"/>
        <w:left w:val="none" w:sz="0" w:space="0" w:color="auto"/>
        <w:bottom w:val="none" w:sz="0" w:space="0" w:color="auto"/>
        <w:right w:val="none" w:sz="0" w:space="0" w:color="auto"/>
      </w:divBdr>
      <w:divsChild>
        <w:div w:id="1841576191">
          <w:marLeft w:val="0"/>
          <w:marRight w:val="0"/>
          <w:marTop w:val="0"/>
          <w:marBottom w:val="0"/>
          <w:divBdr>
            <w:top w:val="none" w:sz="0" w:space="0" w:color="auto"/>
            <w:left w:val="none" w:sz="0" w:space="0" w:color="auto"/>
            <w:bottom w:val="none" w:sz="0" w:space="0" w:color="auto"/>
            <w:right w:val="none" w:sz="0" w:space="0" w:color="auto"/>
          </w:divBdr>
        </w:div>
      </w:divsChild>
    </w:div>
    <w:div w:id="922493715">
      <w:bodyDiv w:val="1"/>
      <w:marLeft w:val="0"/>
      <w:marRight w:val="0"/>
      <w:marTop w:val="0"/>
      <w:marBottom w:val="0"/>
      <w:divBdr>
        <w:top w:val="none" w:sz="0" w:space="0" w:color="auto"/>
        <w:left w:val="none" w:sz="0" w:space="0" w:color="auto"/>
        <w:bottom w:val="none" w:sz="0" w:space="0" w:color="auto"/>
        <w:right w:val="none" w:sz="0" w:space="0" w:color="auto"/>
      </w:divBdr>
      <w:divsChild>
        <w:div w:id="2134474262">
          <w:marLeft w:val="0"/>
          <w:marRight w:val="0"/>
          <w:marTop w:val="0"/>
          <w:marBottom w:val="567"/>
          <w:divBdr>
            <w:top w:val="none" w:sz="0" w:space="0" w:color="auto"/>
            <w:left w:val="none" w:sz="0" w:space="0" w:color="auto"/>
            <w:bottom w:val="none" w:sz="0" w:space="0" w:color="auto"/>
            <w:right w:val="none" w:sz="0" w:space="0" w:color="auto"/>
          </w:divBdr>
        </w:div>
      </w:divsChild>
    </w:div>
    <w:div w:id="1036275382">
      <w:bodyDiv w:val="1"/>
      <w:marLeft w:val="0"/>
      <w:marRight w:val="0"/>
      <w:marTop w:val="0"/>
      <w:marBottom w:val="0"/>
      <w:divBdr>
        <w:top w:val="none" w:sz="0" w:space="0" w:color="auto"/>
        <w:left w:val="none" w:sz="0" w:space="0" w:color="auto"/>
        <w:bottom w:val="none" w:sz="0" w:space="0" w:color="auto"/>
        <w:right w:val="none" w:sz="0" w:space="0" w:color="auto"/>
      </w:divBdr>
      <w:divsChild>
        <w:div w:id="112795792">
          <w:marLeft w:val="0"/>
          <w:marRight w:val="0"/>
          <w:marTop w:val="0"/>
          <w:marBottom w:val="0"/>
          <w:divBdr>
            <w:top w:val="none" w:sz="0" w:space="0" w:color="auto"/>
            <w:left w:val="none" w:sz="0" w:space="0" w:color="auto"/>
            <w:bottom w:val="none" w:sz="0" w:space="0" w:color="auto"/>
            <w:right w:val="none" w:sz="0" w:space="0" w:color="auto"/>
          </w:divBdr>
        </w:div>
      </w:divsChild>
    </w:div>
    <w:div w:id="1063915712">
      <w:bodyDiv w:val="1"/>
      <w:marLeft w:val="0"/>
      <w:marRight w:val="0"/>
      <w:marTop w:val="0"/>
      <w:marBottom w:val="0"/>
      <w:divBdr>
        <w:top w:val="none" w:sz="0" w:space="0" w:color="auto"/>
        <w:left w:val="none" w:sz="0" w:space="0" w:color="auto"/>
        <w:bottom w:val="none" w:sz="0" w:space="0" w:color="auto"/>
        <w:right w:val="none" w:sz="0" w:space="0" w:color="auto"/>
      </w:divBdr>
      <w:divsChild>
        <w:div w:id="166605132">
          <w:marLeft w:val="0"/>
          <w:marRight w:val="0"/>
          <w:marTop w:val="0"/>
          <w:marBottom w:val="0"/>
          <w:divBdr>
            <w:top w:val="none" w:sz="0" w:space="0" w:color="auto"/>
            <w:left w:val="none" w:sz="0" w:space="0" w:color="auto"/>
            <w:bottom w:val="none" w:sz="0" w:space="0" w:color="auto"/>
            <w:right w:val="none" w:sz="0" w:space="0" w:color="auto"/>
          </w:divBdr>
        </w:div>
      </w:divsChild>
    </w:div>
    <w:div w:id="1068383379">
      <w:bodyDiv w:val="1"/>
      <w:marLeft w:val="0"/>
      <w:marRight w:val="0"/>
      <w:marTop w:val="0"/>
      <w:marBottom w:val="0"/>
      <w:divBdr>
        <w:top w:val="none" w:sz="0" w:space="0" w:color="auto"/>
        <w:left w:val="none" w:sz="0" w:space="0" w:color="auto"/>
        <w:bottom w:val="none" w:sz="0" w:space="0" w:color="auto"/>
        <w:right w:val="none" w:sz="0" w:space="0" w:color="auto"/>
      </w:divBdr>
    </w:div>
    <w:div w:id="1099250477">
      <w:bodyDiv w:val="1"/>
      <w:marLeft w:val="0"/>
      <w:marRight w:val="0"/>
      <w:marTop w:val="0"/>
      <w:marBottom w:val="0"/>
      <w:divBdr>
        <w:top w:val="none" w:sz="0" w:space="0" w:color="auto"/>
        <w:left w:val="none" w:sz="0" w:space="0" w:color="auto"/>
        <w:bottom w:val="none" w:sz="0" w:space="0" w:color="auto"/>
        <w:right w:val="none" w:sz="0" w:space="0" w:color="auto"/>
      </w:divBdr>
      <w:divsChild>
        <w:div w:id="974145649">
          <w:marLeft w:val="0"/>
          <w:marRight w:val="0"/>
          <w:marTop w:val="0"/>
          <w:marBottom w:val="0"/>
          <w:divBdr>
            <w:top w:val="none" w:sz="0" w:space="0" w:color="auto"/>
            <w:left w:val="none" w:sz="0" w:space="0" w:color="auto"/>
            <w:bottom w:val="none" w:sz="0" w:space="0" w:color="auto"/>
            <w:right w:val="none" w:sz="0" w:space="0" w:color="auto"/>
          </w:divBdr>
          <w:divsChild>
            <w:div w:id="1248467344">
              <w:marLeft w:val="0"/>
              <w:marRight w:val="0"/>
              <w:marTop w:val="0"/>
              <w:marBottom w:val="0"/>
              <w:divBdr>
                <w:top w:val="none" w:sz="0" w:space="0" w:color="auto"/>
                <w:left w:val="none" w:sz="0" w:space="0" w:color="auto"/>
                <w:bottom w:val="none" w:sz="0" w:space="0" w:color="auto"/>
                <w:right w:val="none" w:sz="0" w:space="0" w:color="auto"/>
              </w:divBdr>
              <w:divsChild>
                <w:div w:id="360978903">
                  <w:marLeft w:val="0"/>
                  <w:marRight w:val="0"/>
                  <w:marTop w:val="0"/>
                  <w:marBottom w:val="0"/>
                  <w:divBdr>
                    <w:top w:val="none" w:sz="0" w:space="0" w:color="auto"/>
                    <w:left w:val="none" w:sz="0" w:space="0" w:color="auto"/>
                    <w:bottom w:val="none" w:sz="0" w:space="0" w:color="auto"/>
                    <w:right w:val="none" w:sz="0" w:space="0" w:color="auto"/>
                  </w:divBdr>
                  <w:divsChild>
                    <w:div w:id="364789735">
                      <w:marLeft w:val="0"/>
                      <w:marRight w:val="0"/>
                      <w:marTop w:val="0"/>
                      <w:marBottom w:val="0"/>
                      <w:divBdr>
                        <w:top w:val="none" w:sz="0" w:space="0" w:color="auto"/>
                        <w:left w:val="none" w:sz="0" w:space="0" w:color="auto"/>
                        <w:bottom w:val="none" w:sz="0" w:space="0" w:color="auto"/>
                        <w:right w:val="none" w:sz="0" w:space="0" w:color="auto"/>
                      </w:divBdr>
                      <w:divsChild>
                        <w:div w:id="955409963">
                          <w:marLeft w:val="0"/>
                          <w:marRight w:val="0"/>
                          <w:marTop w:val="0"/>
                          <w:marBottom w:val="0"/>
                          <w:divBdr>
                            <w:top w:val="none" w:sz="0" w:space="0" w:color="auto"/>
                            <w:left w:val="none" w:sz="0" w:space="0" w:color="auto"/>
                            <w:bottom w:val="none" w:sz="0" w:space="0" w:color="auto"/>
                            <w:right w:val="none" w:sz="0" w:space="0" w:color="auto"/>
                          </w:divBdr>
                          <w:divsChild>
                            <w:div w:id="148330517">
                              <w:marLeft w:val="0"/>
                              <w:marRight w:val="0"/>
                              <w:marTop w:val="0"/>
                              <w:marBottom w:val="0"/>
                              <w:divBdr>
                                <w:top w:val="none" w:sz="0" w:space="0" w:color="auto"/>
                                <w:left w:val="none" w:sz="0" w:space="0" w:color="auto"/>
                                <w:bottom w:val="none" w:sz="0" w:space="0" w:color="auto"/>
                                <w:right w:val="none" w:sz="0" w:space="0" w:color="auto"/>
                              </w:divBdr>
                              <w:divsChild>
                                <w:div w:id="1906840671">
                                  <w:marLeft w:val="0"/>
                                  <w:marRight w:val="0"/>
                                  <w:marTop w:val="0"/>
                                  <w:marBottom w:val="0"/>
                                  <w:divBdr>
                                    <w:top w:val="none" w:sz="0" w:space="0" w:color="auto"/>
                                    <w:left w:val="none" w:sz="0" w:space="0" w:color="auto"/>
                                    <w:bottom w:val="none" w:sz="0" w:space="0" w:color="auto"/>
                                    <w:right w:val="none" w:sz="0" w:space="0" w:color="auto"/>
                                  </w:divBdr>
                                  <w:divsChild>
                                    <w:div w:id="1168331705">
                                      <w:marLeft w:val="0"/>
                                      <w:marRight w:val="0"/>
                                      <w:marTop w:val="0"/>
                                      <w:marBottom w:val="0"/>
                                      <w:divBdr>
                                        <w:top w:val="none" w:sz="0" w:space="0" w:color="auto"/>
                                        <w:left w:val="none" w:sz="0" w:space="0" w:color="auto"/>
                                        <w:bottom w:val="none" w:sz="0" w:space="0" w:color="auto"/>
                                        <w:right w:val="none" w:sz="0" w:space="0" w:color="auto"/>
                                      </w:divBdr>
                                      <w:divsChild>
                                        <w:div w:id="1639912875">
                                          <w:marLeft w:val="0"/>
                                          <w:marRight w:val="0"/>
                                          <w:marTop w:val="0"/>
                                          <w:marBottom w:val="0"/>
                                          <w:divBdr>
                                            <w:top w:val="none" w:sz="0" w:space="0" w:color="auto"/>
                                            <w:left w:val="none" w:sz="0" w:space="0" w:color="auto"/>
                                            <w:bottom w:val="none" w:sz="0" w:space="0" w:color="auto"/>
                                            <w:right w:val="none" w:sz="0" w:space="0" w:color="auto"/>
                                          </w:divBdr>
                                          <w:divsChild>
                                            <w:div w:id="652292202">
                                              <w:marLeft w:val="0"/>
                                              <w:marRight w:val="0"/>
                                              <w:marTop w:val="0"/>
                                              <w:marBottom w:val="0"/>
                                              <w:divBdr>
                                                <w:top w:val="none" w:sz="0" w:space="0" w:color="auto"/>
                                                <w:left w:val="none" w:sz="0" w:space="0" w:color="auto"/>
                                                <w:bottom w:val="none" w:sz="0" w:space="0" w:color="auto"/>
                                                <w:right w:val="none" w:sz="0" w:space="0" w:color="auto"/>
                                              </w:divBdr>
                                              <w:divsChild>
                                                <w:div w:id="213200673">
                                                  <w:marLeft w:val="0"/>
                                                  <w:marRight w:val="0"/>
                                                  <w:marTop w:val="0"/>
                                                  <w:marBottom w:val="0"/>
                                                  <w:divBdr>
                                                    <w:top w:val="none" w:sz="0" w:space="0" w:color="auto"/>
                                                    <w:left w:val="none" w:sz="0" w:space="0" w:color="auto"/>
                                                    <w:bottom w:val="none" w:sz="0" w:space="0" w:color="auto"/>
                                                    <w:right w:val="none" w:sz="0" w:space="0" w:color="auto"/>
                                                  </w:divBdr>
                                                  <w:divsChild>
                                                    <w:div w:id="289871253">
                                                      <w:marLeft w:val="0"/>
                                                      <w:marRight w:val="0"/>
                                                      <w:marTop w:val="0"/>
                                                      <w:marBottom w:val="0"/>
                                                      <w:divBdr>
                                                        <w:top w:val="none" w:sz="0" w:space="0" w:color="auto"/>
                                                        <w:left w:val="none" w:sz="0" w:space="0" w:color="auto"/>
                                                        <w:bottom w:val="none" w:sz="0" w:space="0" w:color="auto"/>
                                                        <w:right w:val="none" w:sz="0" w:space="0" w:color="auto"/>
                                                      </w:divBdr>
                                                      <w:divsChild>
                                                        <w:div w:id="982850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101536218">
      <w:bodyDiv w:val="1"/>
      <w:marLeft w:val="0"/>
      <w:marRight w:val="0"/>
      <w:marTop w:val="0"/>
      <w:marBottom w:val="0"/>
      <w:divBdr>
        <w:top w:val="none" w:sz="0" w:space="0" w:color="auto"/>
        <w:left w:val="none" w:sz="0" w:space="0" w:color="auto"/>
        <w:bottom w:val="none" w:sz="0" w:space="0" w:color="auto"/>
        <w:right w:val="none" w:sz="0" w:space="0" w:color="auto"/>
      </w:divBdr>
      <w:divsChild>
        <w:div w:id="1499156614">
          <w:marLeft w:val="0"/>
          <w:marRight w:val="0"/>
          <w:marTop w:val="0"/>
          <w:marBottom w:val="0"/>
          <w:divBdr>
            <w:top w:val="none" w:sz="0" w:space="0" w:color="auto"/>
            <w:left w:val="none" w:sz="0" w:space="0" w:color="auto"/>
            <w:bottom w:val="none" w:sz="0" w:space="0" w:color="auto"/>
            <w:right w:val="none" w:sz="0" w:space="0" w:color="auto"/>
          </w:divBdr>
          <w:divsChild>
            <w:div w:id="1310018327">
              <w:marLeft w:val="0"/>
              <w:marRight w:val="0"/>
              <w:marTop w:val="0"/>
              <w:marBottom w:val="0"/>
              <w:divBdr>
                <w:top w:val="none" w:sz="0" w:space="0" w:color="auto"/>
                <w:left w:val="none" w:sz="0" w:space="0" w:color="auto"/>
                <w:bottom w:val="none" w:sz="0" w:space="0" w:color="auto"/>
                <w:right w:val="none" w:sz="0" w:space="0" w:color="auto"/>
              </w:divBdr>
              <w:divsChild>
                <w:div w:id="278217978">
                  <w:marLeft w:val="0"/>
                  <w:marRight w:val="0"/>
                  <w:marTop w:val="0"/>
                  <w:marBottom w:val="0"/>
                  <w:divBdr>
                    <w:top w:val="none" w:sz="0" w:space="0" w:color="auto"/>
                    <w:left w:val="none" w:sz="0" w:space="0" w:color="auto"/>
                    <w:bottom w:val="none" w:sz="0" w:space="0" w:color="auto"/>
                    <w:right w:val="none" w:sz="0" w:space="0" w:color="auto"/>
                  </w:divBdr>
                  <w:divsChild>
                    <w:div w:id="980502336">
                      <w:marLeft w:val="0"/>
                      <w:marRight w:val="0"/>
                      <w:marTop w:val="0"/>
                      <w:marBottom w:val="0"/>
                      <w:divBdr>
                        <w:top w:val="none" w:sz="0" w:space="0" w:color="auto"/>
                        <w:left w:val="none" w:sz="0" w:space="0" w:color="auto"/>
                        <w:bottom w:val="none" w:sz="0" w:space="0" w:color="auto"/>
                        <w:right w:val="none" w:sz="0" w:space="0" w:color="auto"/>
                      </w:divBdr>
                      <w:divsChild>
                        <w:div w:id="433214675">
                          <w:marLeft w:val="0"/>
                          <w:marRight w:val="0"/>
                          <w:marTop w:val="0"/>
                          <w:marBottom w:val="0"/>
                          <w:divBdr>
                            <w:top w:val="none" w:sz="0" w:space="0" w:color="auto"/>
                            <w:left w:val="none" w:sz="0" w:space="0" w:color="auto"/>
                            <w:bottom w:val="none" w:sz="0" w:space="0" w:color="auto"/>
                            <w:right w:val="none" w:sz="0" w:space="0" w:color="auto"/>
                          </w:divBdr>
                          <w:divsChild>
                            <w:div w:id="408694137">
                              <w:marLeft w:val="0"/>
                              <w:marRight w:val="0"/>
                              <w:marTop w:val="0"/>
                              <w:marBottom w:val="0"/>
                              <w:divBdr>
                                <w:top w:val="none" w:sz="0" w:space="0" w:color="auto"/>
                                <w:left w:val="none" w:sz="0" w:space="0" w:color="auto"/>
                                <w:bottom w:val="none" w:sz="0" w:space="0" w:color="auto"/>
                                <w:right w:val="none" w:sz="0" w:space="0" w:color="auto"/>
                              </w:divBdr>
                              <w:divsChild>
                                <w:div w:id="1505046025">
                                  <w:marLeft w:val="0"/>
                                  <w:marRight w:val="0"/>
                                  <w:marTop w:val="0"/>
                                  <w:marBottom w:val="0"/>
                                  <w:divBdr>
                                    <w:top w:val="none" w:sz="0" w:space="0" w:color="auto"/>
                                    <w:left w:val="none" w:sz="0" w:space="0" w:color="auto"/>
                                    <w:bottom w:val="none" w:sz="0" w:space="0" w:color="auto"/>
                                    <w:right w:val="none" w:sz="0" w:space="0" w:color="auto"/>
                                  </w:divBdr>
                                  <w:divsChild>
                                    <w:div w:id="1751925894">
                                      <w:marLeft w:val="0"/>
                                      <w:marRight w:val="0"/>
                                      <w:marTop w:val="0"/>
                                      <w:marBottom w:val="0"/>
                                      <w:divBdr>
                                        <w:top w:val="none" w:sz="0" w:space="0" w:color="auto"/>
                                        <w:left w:val="none" w:sz="0" w:space="0" w:color="auto"/>
                                        <w:bottom w:val="none" w:sz="0" w:space="0" w:color="auto"/>
                                        <w:right w:val="none" w:sz="0" w:space="0" w:color="auto"/>
                                      </w:divBdr>
                                      <w:divsChild>
                                        <w:div w:id="1494830261">
                                          <w:marLeft w:val="0"/>
                                          <w:marRight w:val="0"/>
                                          <w:marTop w:val="0"/>
                                          <w:marBottom w:val="0"/>
                                          <w:divBdr>
                                            <w:top w:val="none" w:sz="0" w:space="0" w:color="auto"/>
                                            <w:left w:val="none" w:sz="0" w:space="0" w:color="auto"/>
                                            <w:bottom w:val="none" w:sz="0" w:space="0" w:color="auto"/>
                                            <w:right w:val="none" w:sz="0" w:space="0" w:color="auto"/>
                                          </w:divBdr>
                                          <w:divsChild>
                                            <w:div w:id="1405184076">
                                              <w:marLeft w:val="0"/>
                                              <w:marRight w:val="0"/>
                                              <w:marTop w:val="0"/>
                                              <w:marBottom w:val="0"/>
                                              <w:divBdr>
                                                <w:top w:val="none" w:sz="0" w:space="0" w:color="auto"/>
                                                <w:left w:val="none" w:sz="0" w:space="0" w:color="auto"/>
                                                <w:bottom w:val="none" w:sz="0" w:space="0" w:color="auto"/>
                                                <w:right w:val="none" w:sz="0" w:space="0" w:color="auto"/>
                                              </w:divBdr>
                                              <w:divsChild>
                                                <w:div w:id="1267035643">
                                                  <w:marLeft w:val="0"/>
                                                  <w:marRight w:val="0"/>
                                                  <w:marTop w:val="0"/>
                                                  <w:marBottom w:val="0"/>
                                                  <w:divBdr>
                                                    <w:top w:val="none" w:sz="0" w:space="0" w:color="auto"/>
                                                    <w:left w:val="none" w:sz="0" w:space="0" w:color="auto"/>
                                                    <w:bottom w:val="none" w:sz="0" w:space="0" w:color="auto"/>
                                                    <w:right w:val="none" w:sz="0" w:space="0" w:color="auto"/>
                                                  </w:divBdr>
                                                  <w:divsChild>
                                                    <w:div w:id="1898975482">
                                                      <w:marLeft w:val="0"/>
                                                      <w:marRight w:val="0"/>
                                                      <w:marTop w:val="0"/>
                                                      <w:marBottom w:val="0"/>
                                                      <w:divBdr>
                                                        <w:top w:val="none" w:sz="0" w:space="0" w:color="auto"/>
                                                        <w:left w:val="none" w:sz="0" w:space="0" w:color="auto"/>
                                                        <w:bottom w:val="none" w:sz="0" w:space="0" w:color="auto"/>
                                                        <w:right w:val="none" w:sz="0" w:space="0" w:color="auto"/>
                                                      </w:divBdr>
                                                      <w:divsChild>
                                                        <w:div w:id="1903826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224872351">
      <w:bodyDiv w:val="1"/>
      <w:marLeft w:val="0"/>
      <w:marRight w:val="0"/>
      <w:marTop w:val="0"/>
      <w:marBottom w:val="0"/>
      <w:divBdr>
        <w:top w:val="none" w:sz="0" w:space="0" w:color="auto"/>
        <w:left w:val="none" w:sz="0" w:space="0" w:color="auto"/>
        <w:bottom w:val="none" w:sz="0" w:space="0" w:color="auto"/>
        <w:right w:val="none" w:sz="0" w:space="0" w:color="auto"/>
      </w:divBdr>
      <w:divsChild>
        <w:div w:id="475143649">
          <w:marLeft w:val="0"/>
          <w:marRight w:val="0"/>
          <w:marTop w:val="0"/>
          <w:marBottom w:val="0"/>
          <w:divBdr>
            <w:top w:val="none" w:sz="0" w:space="0" w:color="auto"/>
            <w:left w:val="none" w:sz="0" w:space="0" w:color="auto"/>
            <w:bottom w:val="none" w:sz="0" w:space="0" w:color="auto"/>
            <w:right w:val="none" w:sz="0" w:space="0" w:color="auto"/>
          </w:divBdr>
        </w:div>
      </w:divsChild>
    </w:div>
    <w:div w:id="1323317022">
      <w:bodyDiv w:val="1"/>
      <w:marLeft w:val="0"/>
      <w:marRight w:val="0"/>
      <w:marTop w:val="0"/>
      <w:marBottom w:val="0"/>
      <w:divBdr>
        <w:top w:val="none" w:sz="0" w:space="0" w:color="auto"/>
        <w:left w:val="none" w:sz="0" w:space="0" w:color="auto"/>
        <w:bottom w:val="none" w:sz="0" w:space="0" w:color="auto"/>
        <w:right w:val="none" w:sz="0" w:space="0" w:color="auto"/>
      </w:divBdr>
      <w:divsChild>
        <w:div w:id="1483155658">
          <w:marLeft w:val="0"/>
          <w:marRight w:val="0"/>
          <w:marTop w:val="0"/>
          <w:marBottom w:val="0"/>
          <w:divBdr>
            <w:top w:val="none" w:sz="0" w:space="0" w:color="auto"/>
            <w:left w:val="none" w:sz="0" w:space="0" w:color="auto"/>
            <w:bottom w:val="none" w:sz="0" w:space="0" w:color="auto"/>
            <w:right w:val="none" w:sz="0" w:space="0" w:color="auto"/>
          </w:divBdr>
        </w:div>
      </w:divsChild>
    </w:div>
    <w:div w:id="1404453430">
      <w:bodyDiv w:val="1"/>
      <w:marLeft w:val="0"/>
      <w:marRight w:val="0"/>
      <w:marTop w:val="0"/>
      <w:marBottom w:val="0"/>
      <w:divBdr>
        <w:top w:val="none" w:sz="0" w:space="0" w:color="auto"/>
        <w:left w:val="none" w:sz="0" w:space="0" w:color="auto"/>
        <w:bottom w:val="none" w:sz="0" w:space="0" w:color="auto"/>
        <w:right w:val="none" w:sz="0" w:space="0" w:color="auto"/>
      </w:divBdr>
      <w:divsChild>
        <w:div w:id="247230400">
          <w:marLeft w:val="0"/>
          <w:marRight w:val="0"/>
          <w:marTop w:val="0"/>
          <w:marBottom w:val="0"/>
          <w:divBdr>
            <w:top w:val="none" w:sz="0" w:space="0" w:color="auto"/>
            <w:left w:val="none" w:sz="0" w:space="0" w:color="auto"/>
            <w:bottom w:val="none" w:sz="0" w:space="0" w:color="auto"/>
            <w:right w:val="none" w:sz="0" w:space="0" w:color="auto"/>
          </w:divBdr>
          <w:divsChild>
            <w:div w:id="781874178">
              <w:marLeft w:val="0"/>
              <w:marRight w:val="0"/>
              <w:marTop w:val="0"/>
              <w:marBottom w:val="0"/>
              <w:divBdr>
                <w:top w:val="none" w:sz="0" w:space="0" w:color="auto"/>
                <w:left w:val="none" w:sz="0" w:space="0" w:color="auto"/>
                <w:bottom w:val="none" w:sz="0" w:space="0" w:color="auto"/>
                <w:right w:val="none" w:sz="0" w:space="0" w:color="auto"/>
              </w:divBdr>
              <w:divsChild>
                <w:div w:id="577330644">
                  <w:marLeft w:val="0"/>
                  <w:marRight w:val="0"/>
                  <w:marTop w:val="0"/>
                  <w:marBottom w:val="0"/>
                  <w:divBdr>
                    <w:top w:val="none" w:sz="0" w:space="0" w:color="auto"/>
                    <w:left w:val="none" w:sz="0" w:space="0" w:color="auto"/>
                    <w:bottom w:val="none" w:sz="0" w:space="0" w:color="auto"/>
                    <w:right w:val="none" w:sz="0" w:space="0" w:color="auto"/>
                  </w:divBdr>
                  <w:divsChild>
                    <w:div w:id="1418475985">
                      <w:marLeft w:val="0"/>
                      <w:marRight w:val="0"/>
                      <w:marTop w:val="0"/>
                      <w:marBottom w:val="0"/>
                      <w:divBdr>
                        <w:top w:val="none" w:sz="0" w:space="0" w:color="auto"/>
                        <w:left w:val="none" w:sz="0" w:space="0" w:color="auto"/>
                        <w:bottom w:val="none" w:sz="0" w:space="0" w:color="auto"/>
                        <w:right w:val="none" w:sz="0" w:space="0" w:color="auto"/>
                      </w:divBdr>
                      <w:divsChild>
                        <w:div w:id="721756338">
                          <w:marLeft w:val="0"/>
                          <w:marRight w:val="0"/>
                          <w:marTop w:val="0"/>
                          <w:marBottom w:val="0"/>
                          <w:divBdr>
                            <w:top w:val="none" w:sz="0" w:space="0" w:color="auto"/>
                            <w:left w:val="none" w:sz="0" w:space="0" w:color="auto"/>
                            <w:bottom w:val="none" w:sz="0" w:space="0" w:color="auto"/>
                            <w:right w:val="none" w:sz="0" w:space="0" w:color="auto"/>
                          </w:divBdr>
                          <w:divsChild>
                            <w:div w:id="710107497">
                              <w:marLeft w:val="0"/>
                              <w:marRight w:val="0"/>
                              <w:marTop w:val="0"/>
                              <w:marBottom w:val="0"/>
                              <w:divBdr>
                                <w:top w:val="none" w:sz="0" w:space="0" w:color="auto"/>
                                <w:left w:val="none" w:sz="0" w:space="0" w:color="auto"/>
                                <w:bottom w:val="none" w:sz="0" w:space="0" w:color="auto"/>
                                <w:right w:val="none" w:sz="0" w:space="0" w:color="auto"/>
                              </w:divBdr>
                              <w:divsChild>
                                <w:div w:id="1239636222">
                                  <w:marLeft w:val="0"/>
                                  <w:marRight w:val="0"/>
                                  <w:marTop w:val="0"/>
                                  <w:marBottom w:val="0"/>
                                  <w:divBdr>
                                    <w:top w:val="none" w:sz="0" w:space="0" w:color="auto"/>
                                    <w:left w:val="none" w:sz="0" w:space="0" w:color="auto"/>
                                    <w:bottom w:val="none" w:sz="0" w:space="0" w:color="auto"/>
                                    <w:right w:val="none" w:sz="0" w:space="0" w:color="auto"/>
                                  </w:divBdr>
                                  <w:divsChild>
                                    <w:div w:id="1771854853">
                                      <w:marLeft w:val="0"/>
                                      <w:marRight w:val="0"/>
                                      <w:marTop w:val="0"/>
                                      <w:marBottom w:val="0"/>
                                      <w:divBdr>
                                        <w:top w:val="none" w:sz="0" w:space="0" w:color="auto"/>
                                        <w:left w:val="none" w:sz="0" w:space="0" w:color="auto"/>
                                        <w:bottom w:val="none" w:sz="0" w:space="0" w:color="auto"/>
                                        <w:right w:val="none" w:sz="0" w:space="0" w:color="auto"/>
                                      </w:divBdr>
                                      <w:divsChild>
                                        <w:div w:id="884756855">
                                          <w:marLeft w:val="0"/>
                                          <w:marRight w:val="0"/>
                                          <w:marTop w:val="0"/>
                                          <w:marBottom w:val="0"/>
                                          <w:divBdr>
                                            <w:top w:val="none" w:sz="0" w:space="0" w:color="auto"/>
                                            <w:left w:val="none" w:sz="0" w:space="0" w:color="auto"/>
                                            <w:bottom w:val="none" w:sz="0" w:space="0" w:color="auto"/>
                                            <w:right w:val="none" w:sz="0" w:space="0" w:color="auto"/>
                                          </w:divBdr>
                                          <w:divsChild>
                                            <w:div w:id="1687054732">
                                              <w:marLeft w:val="0"/>
                                              <w:marRight w:val="0"/>
                                              <w:marTop w:val="0"/>
                                              <w:marBottom w:val="0"/>
                                              <w:divBdr>
                                                <w:top w:val="none" w:sz="0" w:space="0" w:color="auto"/>
                                                <w:left w:val="none" w:sz="0" w:space="0" w:color="auto"/>
                                                <w:bottom w:val="none" w:sz="0" w:space="0" w:color="auto"/>
                                                <w:right w:val="none" w:sz="0" w:space="0" w:color="auto"/>
                                              </w:divBdr>
                                              <w:divsChild>
                                                <w:div w:id="2104719187">
                                                  <w:marLeft w:val="0"/>
                                                  <w:marRight w:val="0"/>
                                                  <w:marTop w:val="0"/>
                                                  <w:marBottom w:val="0"/>
                                                  <w:divBdr>
                                                    <w:top w:val="none" w:sz="0" w:space="0" w:color="auto"/>
                                                    <w:left w:val="none" w:sz="0" w:space="0" w:color="auto"/>
                                                    <w:bottom w:val="none" w:sz="0" w:space="0" w:color="auto"/>
                                                    <w:right w:val="none" w:sz="0" w:space="0" w:color="auto"/>
                                                  </w:divBdr>
                                                  <w:divsChild>
                                                    <w:div w:id="1323696321">
                                                      <w:marLeft w:val="0"/>
                                                      <w:marRight w:val="0"/>
                                                      <w:marTop w:val="0"/>
                                                      <w:marBottom w:val="0"/>
                                                      <w:divBdr>
                                                        <w:top w:val="none" w:sz="0" w:space="0" w:color="auto"/>
                                                        <w:left w:val="none" w:sz="0" w:space="0" w:color="auto"/>
                                                        <w:bottom w:val="none" w:sz="0" w:space="0" w:color="auto"/>
                                                        <w:right w:val="none" w:sz="0" w:space="0" w:color="auto"/>
                                                      </w:divBdr>
                                                      <w:divsChild>
                                                        <w:div w:id="331186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462335029">
      <w:bodyDiv w:val="1"/>
      <w:marLeft w:val="0"/>
      <w:marRight w:val="0"/>
      <w:marTop w:val="0"/>
      <w:marBottom w:val="0"/>
      <w:divBdr>
        <w:top w:val="none" w:sz="0" w:space="0" w:color="auto"/>
        <w:left w:val="none" w:sz="0" w:space="0" w:color="auto"/>
        <w:bottom w:val="none" w:sz="0" w:space="0" w:color="auto"/>
        <w:right w:val="none" w:sz="0" w:space="0" w:color="auto"/>
      </w:divBdr>
    </w:div>
    <w:div w:id="1478720493">
      <w:bodyDiv w:val="1"/>
      <w:marLeft w:val="0"/>
      <w:marRight w:val="0"/>
      <w:marTop w:val="0"/>
      <w:marBottom w:val="0"/>
      <w:divBdr>
        <w:top w:val="none" w:sz="0" w:space="0" w:color="auto"/>
        <w:left w:val="none" w:sz="0" w:space="0" w:color="auto"/>
        <w:bottom w:val="none" w:sz="0" w:space="0" w:color="auto"/>
        <w:right w:val="none" w:sz="0" w:space="0" w:color="auto"/>
      </w:divBdr>
      <w:divsChild>
        <w:div w:id="518736126">
          <w:marLeft w:val="0"/>
          <w:marRight w:val="0"/>
          <w:marTop w:val="0"/>
          <w:marBottom w:val="0"/>
          <w:divBdr>
            <w:top w:val="none" w:sz="0" w:space="0" w:color="auto"/>
            <w:left w:val="none" w:sz="0" w:space="0" w:color="auto"/>
            <w:bottom w:val="none" w:sz="0" w:space="0" w:color="auto"/>
            <w:right w:val="none" w:sz="0" w:space="0" w:color="auto"/>
          </w:divBdr>
        </w:div>
      </w:divsChild>
    </w:div>
    <w:div w:id="1500779143">
      <w:bodyDiv w:val="1"/>
      <w:marLeft w:val="0"/>
      <w:marRight w:val="0"/>
      <w:marTop w:val="0"/>
      <w:marBottom w:val="0"/>
      <w:divBdr>
        <w:top w:val="none" w:sz="0" w:space="0" w:color="auto"/>
        <w:left w:val="none" w:sz="0" w:space="0" w:color="auto"/>
        <w:bottom w:val="none" w:sz="0" w:space="0" w:color="auto"/>
        <w:right w:val="none" w:sz="0" w:space="0" w:color="auto"/>
      </w:divBdr>
      <w:divsChild>
        <w:div w:id="1582790176">
          <w:marLeft w:val="0"/>
          <w:marRight w:val="0"/>
          <w:marTop w:val="0"/>
          <w:marBottom w:val="0"/>
          <w:divBdr>
            <w:top w:val="none" w:sz="0" w:space="0" w:color="auto"/>
            <w:left w:val="none" w:sz="0" w:space="0" w:color="auto"/>
            <w:bottom w:val="none" w:sz="0" w:space="0" w:color="auto"/>
            <w:right w:val="none" w:sz="0" w:space="0" w:color="auto"/>
          </w:divBdr>
        </w:div>
      </w:divsChild>
    </w:div>
    <w:div w:id="1566140112">
      <w:bodyDiv w:val="1"/>
      <w:marLeft w:val="0"/>
      <w:marRight w:val="0"/>
      <w:marTop w:val="0"/>
      <w:marBottom w:val="0"/>
      <w:divBdr>
        <w:top w:val="none" w:sz="0" w:space="0" w:color="auto"/>
        <w:left w:val="none" w:sz="0" w:space="0" w:color="auto"/>
        <w:bottom w:val="none" w:sz="0" w:space="0" w:color="auto"/>
        <w:right w:val="none" w:sz="0" w:space="0" w:color="auto"/>
      </w:divBdr>
      <w:divsChild>
        <w:div w:id="843276234">
          <w:marLeft w:val="0"/>
          <w:marRight w:val="0"/>
          <w:marTop w:val="0"/>
          <w:marBottom w:val="0"/>
          <w:divBdr>
            <w:top w:val="none" w:sz="0" w:space="0" w:color="auto"/>
            <w:left w:val="none" w:sz="0" w:space="0" w:color="auto"/>
            <w:bottom w:val="none" w:sz="0" w:space="0" w:color="auto"/>
            <w:right w:val="none" w:sz="0" w:space="0" w:color="auto"/>
          </w:divBdr>
        </w:div>
      </w:divsChild>
    </w:div>
    <w:div w:id="1579248513">
      <w:bodyDiv w:val="1"/>
      <w:marLeft w:val="0"/>
      <w:marRight w:val="0"/>
      <w:marTop w:val="0"/>
      <w:marBottom w:val="0"/>
      <w:divBdr>
        <w:top w:val="none" w:sz="0" w:space="0" w:color="auto"/>
        <w:left w:val="none" w:sz="0" w:space="0" w:color="auto"/>
        <w:bottom w:val="none" w:sz="0" w:space="0" w:color="auto"/>
        <w:right w:val="none" w:sz="0" w:space="0" w:color="auto"/>
      </w:divBdr>
      <w:divsChild>
        <w:div w:id="64839826">
          <w:marLeft w:val="0"/>
          <w:marRight w:val="0"/>
          <w:marTop w:val="0"/>
          <w:marBottom w:val="0"/>
          <w:divBdr>
            <w:top w:val="none" w:sz="0" w:space="0" w:color="auto"/>
            <w:left w:val="none" w:sz="0" w:space="0" w:color="auto"/>
            <w:bottom w:val="none" w:sz="0" w:space="0" w:color="auto"/>
            <w:right w:val="none" w:sz="0" w:space="0" w:color="auto"/>
          </w:divBdr>
        </w:div>
      </w:divsChild>
    </w:div>
    <w:div w:id="1602108438">
      <w:bodyDiv w:val="1"/>
      <w:marLeft w:val="0"/>
      <w:marRight w:val="0"/>
      <w:marTop w:val="0"/>
      <w:marBottom w:val="0"/>
      <w:divBdr>
        <w:top w:val="none" w:sz="0" w:space="0" w:color="auto"/>
        <w:left w:val="none" w:sz="0" w:space="0" w:color="auto"/>
        <w:bottom w:val="none" w:sz="0" w:space="0" w:color="auto"/>
        <w:right w:val="none" w:sz="0" w:space="0" w:color="auto"/>
      </w:divBdr>
    </w:div>
    <w:div w:id="1626546108">
      <w:bodyDiv w:val="1"/>
      <w:marLeft w:val="0"/>
      <w:marRight w:val="0"/>
      <w:marTop w:val="0"/>
      <w:marBottom w:val="0"/>
      <w:divBdr>
        <w:top w:val="none" w:sz="0" w:space="0" w:color="auto"/>
        <w:left w:val="none" w:sz="0" w:space="0" w:color="auto"/>
        <w:bottom w:val="none" w:sz="0" w:space="0" w:color="auto"/>
        <w:right w:val="none" w:sz="0" w:space="0" w:color="auto"/>
      </w:divBdr>
      <w:divsChild>
        <w:div w:id="1463425719">
          <w:marLeft w:val="0"/>
          <w:marRight w:val="0"/>
          <w:marTop w:val="0"/>
          <w:marBottom w:val="0"/>
          <w:divBdr>
            <w:top w:val="none" w:sz="0" w:space="0" w:color="auto"/>
            <w:left w:val="none" w:sz="0" w:space="0" w:color="auto"/>
            <w:bottom w:val="none" w:sz="0" w:space="0" w:color="auto"/>
            <w:right w:val="none" w:sz="0" w:space="0" w:color="auto"/>
          </w:divBdr>
        </w:div>
      </w:divsChild>
    </w:div>
    <w:div w:id="1633319046">
      <w:bodyDiv w:val="1"/>
      <w:marLeft w:val="0"/>
      <w:marRight w:val="0"/>
      <w:marTop w:val="0"/>
      <w:marBottom w:val="0"/>
      <w:divBdr>
        <w:top w:val="none" w:sz="0" w:space="0" w:color="auto"/>
        <w:left w:val="none" w:sz="0" w:space="0" w:color="auto"/>
        <w:bottom w:val="none" w:sz="0" w:space="0" w:color="auto"/>
        <w:right w:val="none" w:sz="0" w:space="0" w:color="auto"/>
      </w:divBdr>
      <w:divsChild>
        <w:div w:id="790127492">
          <w:marLeft w:val="0"/>
          <w:marRight w:val="0"/>
          <w:marTop w:val="0"/>
          <w:marBottom w:val="0"/>
          <w:divBdr>
            <w:top w:val="none" w:sz="0" w:space="0" w:color="auto"/>
            <w:left w:val="none" w:sz="0" w:space="0" w:color="auto"/>
            <w:bottom w:val="none" w:sz="0" w:space="0" w:color="auto"/>
            <w:right w:val="none" w:sz="0" w:space="0" w:color="auto"/>
          </w:divBdr>
        </w:div>
      </w:divsChild>
    </w:div>
    <w:div w:id="1716002495">
      <w:bodyDiv w:val="1"/>
      <w:marLeft w:val="0"/>
      <w:marRight w:val="0"/>
      <w:marTop w:val="0"/>
      <w:marBottom w:val="0"/>
      <w:divBdr>
        <w:top w:val="none" w:sz="0" w:space="0" w:color="auto"/>
        <w:left w:val="none" w:sz="0" w:space="0" w:color="auto"/>
        <w:bottom w:val="none" w:sz="0" w:space="0" w:color="auto"/>
        <w:right w:val="none" w:sz="0" w:space="0" w:color="auto"/>
      </w:divBdr>
      <w:divsChild>
        <w:div w:id="1649893542">
          <w:marLeft w:val="0"/>
          <w:marRight w:val="0"/>
          <w:marTop w:val="0"/>
          <w:marBottom w:val="0"/>
          <w:divBdr>
            <w:top w:val="none" w:sz="0" w:space="0" w:color="auto"/>
            <w:left w:val="none" w:sz="0" w:space="0" w:color="auto"/>
            <w:bottom w:val="none" w:sz="0" w:space="0" w:color="auto"/>
            <w:right w:val="none" w:sz="0" w:space="0" w:color="auto"/>
          </w:divBdr>
        </w:div>
      </w:divsChild>
    </w:div>
    <w:div w:id="1947997432">
      <w:bodyDiv w:val="1"/>
      <w:marLeft w:val="0"/>
      <w:marRight w:val="0"/>
      <w:marTop w:val="0"/>
      <w:marBottom w:val="0"/>
      <w:divBdr>
        <w:top w:val="none" w:sz="0" w:space="0" w:color="auto"/>
        <w:left w:val="none" w:sz="0" w:space="0" w:color="auto"/>
        <w:bottom w:val="none" w:sz="0" w:space="0" w:color="auto"/>
        <w:right w:val="none" w:sz="0" w:space="0" w:color="auto"/>
      </w:divBdr>
      <w:divsChild>
        <w:div w:id="1255169520">
          <w:marLeft w:val="0"/>
          <w:marRight w:val="0"/>
          <w:marTop w:val="0"/>
          <w:marBottom w:val="0"/>
          <w:divBdr>
            <w:top w:val="none" w:sz="0" w:space="0" w:color="auto"/>
            <w:left w:val="none" w:sz="0" w:space="0" w:color="auto"/>
            <w:bottom w:val="none" w:sz="0" w:space="0" w:color="auto"/>
            <w:right w:val="none" w:sz="0" w:space="0" w:color="auto"/>
          </w:divBdr>
        </w:div>
      </w:divsChild>
    </w:div>
    <w:div w:id="1987590114">
      <w:bodyDiv w:val="1"/>
      <w:marLeft w:val="0"/>
      <w:marRight w:val="0"/>
      <w:marTop w:val="0"/>
      <w:marBottom w:val="0"/>
      <w:divBdr>
        <w:top w:val="none" w:sz="0" w:space="0" w:color="auto"/>
        <w:left w:val="none" w:sz="0" w:space="0" w:color="auto"/>
        <w:bottom w:val="none" w:sz="0" w:space="0" w:color="auto"/>
        <w:right w:val="none" w:sz="0" w:space="0" w:color="auto"/>
      </w:divBdr>
      <w:divsChild>
        <w:div w:id="671834062">
          <w:marLeft w:val="0"/>
          <w:marRight w:val="0"/>
          <w:marTop w:val="0"/>
          <w:marBottom w:val="0"/>
          <w:divBdr>
            <w:top w:val="none" w:sz="0" w:space="0" w:color="auto"/>
            <w:left w:val="none" w:sz="0" w:space="0" w:color="auto"/>
            <w:bottom w:val="none" w:sz="0" w:space="0" w:color="auto"/>
            <w:right w:val="none" w:sz="0" w:space="0" w:color="auto"/>
          </w:divBdr>
        </w:div>
      </w:divsChild>
    </w:div>
    <w:div w:id="2008827324">
      <w:bodyDiv w:val="1"/>
      <w:marLeft w:val="0"/>
      <w:marRight w:val="0"/>
      <w:marTop w:val="0"/>
      <w:marBottom w:val="0"/>
      <w:divBdr>
        <w:top w:val="none" w:sz="0" w:space="0" w:color="auto"/>
        <w:left w:val="none" w:sz="0" w:space="0" w:color="auto"/>
        <w:bottom w:val="none" w:sz="0" w:space="0" w:color="auto"/>
        <w:right w:val="none" w:sz="0" w:space="0" w:color="auto"/>
      </w:divBdr>
      <w:divsChild>
        <w:div w:id="1371878627">
          <w:marLeft w:val="0"/>
          <w:marRight w:val="0"/>
          <w:marTop w:val="0"/>
          <w:marBottom w:val="567"/>
          <w:divBdr>
            <w:top w:val="none" w:sz="0" w:space="0" w:color="auto"/>
            <w:left w:val="none" w:sz="0" w:space="0" w:color="auto"/>
            <w:bottom w:val="none" w:sz="0" w:space="0" w:color="auto"/>
            <w:right w:val="none" w:sz="0" w:space="0" w:color="auto"/>
          </w:divBdr>
        </w:div>
      </w:divsChild>
    </w:div>
    <w:div w:id="2010713050">
      <w:bodyDiv w:val="1"/>
      <w:marLeft w:val="0"/>
      <w:marRight w:val="0"/>
      <w:marTop w:val="0"/>
      <w:marBottom w:val="0"/>
      <w:divBdr>
        <w:top w:val="none" w:sz="0" w:space="0" w:color="auto"/>
        <w:left w:val="none" w:sz="0" w:space="0" w:color="auto"/>
        <w:bottom w:val="none" w:sz="0" w:space="0" w:color="auto"/>
        <w:right w:val="none" w:sz="0" w:space="0" w:color="auto"/>
      </w:divBdr>
      <w:divsChild>
        <w:div w:id="578640735">
          <w:marLeft w:val="0"/>
          <w:marRight w:val="0"/>
          <w:marTop w:val="0"/>
          <w:marBottom w:val="0"/>
          <w:divBdr>
            <w:top w:val="none" w:sz="0" w:space="0" w:color="auto"/>
            <w:left w:val="none" w:sz="0" w:space="0" w:color="auto"/>
            <w:bottom w:val="none" w:sz="0" w:space="0" w:color="auto"/>
            <w:right w:val="none" w:sz="0" w:space="0" w:color="auto"/>
          </w:divBdr>
        </w:div>
      </w:divsChild>
    </w:div>
    <w:div w:id="2017489545">
      <w:bodyDiv w:val="1"/>
      <w:marLeft w:val="0"/>
      <w:marRight w:val="0"/>
      <w:marTop w:val="0"/>
      <w:marBottom w:val="0"/>
      <w:divBdr>
        <w:top w:val="none" w:sz="0" w:space="0" w:color="auto"/>
        <w:left w:val="none" w:sz="0" w:space="0" w:color="auto"/>
        <w:bottom w:val="none" w:sz="0" w:space="0" w:color="auto"/>
        <w:right w:val="none" w:sz="0" w:space="0" w:color="auto"/>
      </w:divBdr>
      <w:divsChild>
        <w:div w:id="1515731805">
          <w:marLeft w:val="0"/>
          <w:marRight w:val="0"/>
          <w:marTop w:val="0"/>
          <w:marBottom w:val="0"/>
          <w:divBdr>
            <w:top w:val="none" w:sz="0" w:space="0" w:color="auto"/>
            <w:left w:val="none" w:sz="0" w:space="0" w:color="auto"/>
            <w:bottom w:val="none" w:sz="0" w:space="0" w:color="auto"/>
            <w:right w:val="none" w:sz="0" w:space="0" w:color="auto"/>
          </w:divBdr>
        </w:div>
      </w:divsChild>
    </w:div>
    <w:div w:id="2083989886">
      <w:bodyDiv w:val="1"/>
      <w:marLeft w:val="0"/>
      <w:marRight w:val="0"/>
      <w:marTop w:val="0"/>
      <w:marBottom w:val="0"/>
      <w:divBdr>
        <w:top w:val="none" w:sz="0" w:space="0" w:color="auto"/>
        <w:left w:val="none" w:sz="0" w:space="0" w:color="auto"/>
        <w:bottom w:val="none" w:sz="0" w:space="0" w:color="auto"/>
        <w:right w:val="none" w:sz="0" w:space="0" w:color="auto"/>
      </w:divBdr>
      <w:divsChild>
        <w:div w:id="1936204766">
          <w:marLeft w:val="0"/>
          <w:marRight w:val="0"/>
          <w:marTop w:val="0"/>
          <w:marBottom w:val="0"/>
          <w:divBdr>
            <w:top w:val="none" w:sz="0" w:space="0" w:color="auto"/>
            <w:left w:val="none" w:sz="0" w:space="0" w:color="auto"/>
            <w:bottom w:val="none" w:sz="0" w:space="0" w:color="auto"/>
            <w:right w:val="none" w:sz="0" w:space="0" w:color="auto"/>
          </w:divBdr>
        </w:div>
      </w:divsChild>
    </w:div>
    <w:div w:id="2104911946">
      <w:bodyDiv w:val="1"/>
      <w:marLeft w:val="0"/>
      <w:marRight w:val="0"/>
      <w:marTop w:val="0"/>
      <w:marBottom w:val="0"/>
      <w:divBdr>
        <w:top w:val="none" w:sz="0" w:space="0" w:color="auto"/>
        <w:left w:val="none" w:sz="0" w:space="0" w:color="auto"/>
        <w:bottom w:val="none" w:sz="0" w:space="0" w:color="auto"/>
        <w:right w:val="none" w:sz="0" w:space="0" w:color="auto"/>
      </w:divBdr>
      <w:divsChild>
        <w:div w:id="1586382556">
          <w:marLeft w:val="0"/>
          <w:marRight w:val="0"/>
          <w:marTop w:val="0"/>
          <w:marBottom w:val="0"/>
          <w:divBdr>
            <w:top w:val="none" w:sz="0" w:space="0" w:color="auto"/>
            <w:left w:val="none" w:sz="0" w:space="0" w:color="auto"/>
            <w:bottom w:val="none" w:sz="0" w:space="0" w:color="auto"/>
            <w:right w:val="none" w:sz="0" w:space="0" w:color="auto"/>
          </w:divBdr>
        </w:div>
      </w:divsChild>
    </w:div>
    <w:div w:id="2112048414">
      <w:bodyDiv w:val="1"/>
      <w:marLeft w:val="0"/>
      <w:marRight w:val="0"/>
      <w:marTop w:val="0"/>
      <w:marBottom w:val="0"/>
      <w:divBdr>
        <w:top w:val="none" w:sz="0" w:space="0" w:color="auto"/>
        <w:left w:val="none" w:sz="0" w:space="0" w:color="auto"/>
        <w:bottom w:val="none" w:sz="0" w:space="0" w:color="auto"/>
        <w:right w:val="none" w:sz="0" w:space="0" w:color="auto"/>
      </w:divBdr>
      <w:divsChild>
        <w:div w:id="1838763527">
          <w:marLeft w:val="0"/>
          <w:marRight w:val="0"/>
          <w:marTop w:val="0"/>
          <w:marBottom w:val="0"/>
          <w:divBdr>
            <w:top w:val="none" w:sz="0" w:space="0" w:color="auto"/>
            <w:left w:val="none" w:sz="0" w:space="0" w:color="auto"/>
            <w:bottom w:val="none" w:sz="0" w:space="0" w:color="auto"/>
            <w:right w:val="none" w:sz="0" w:space="0" w:color="auto"/>
          </w:divBdr>
        </w:div>
      </w:divsChild>
    </w:div>
  </w:divs>
  <w:pixelsPerInch w:val="72"/>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webSettings" Target="webSetting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2.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s" ma:contentTypeID="0x0101007C98C035752B2E4F9BA001D238EDF9B9" ma:contentTypeVersion="15" ma:contentTypeDescription="Izveidot jaunu dokumentu." ma:contentTypeScope="" ma:versionID="2aaf3fe917e627f8faf9cb8b30ade39c">
  <xsd:schema xmlns:xsd="http://www.w3.org/2001/XMLSchema" xmlns:xs="http://www.w3.org/2001/XMLSchema" xmlns:p="http://schemas.microsoft.com/office/2006/metadata/properties" xmlns:ns2="90e81eab-0ee8-4447-a625-b324b79cd243" xmlns:ns3="d177710c-40cf-4d94-a9f9-6248e9450632" targetNamespace="http://schemas.microsoft.com/office/2006/metadata/properties" ma:root="true" ma:fieldsID="b8214f03f324dd18ba44864c513d1920" ns2:_="" ns3:_="">
    <xsd:import namespace="90e81eab-0ee8-4447-a625-b324b79cd243"/>
    <xsd:import namespace="d177710c-40cf-4d94-a9f9-6248e9450632"/>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0e81eab-0ee8-4447-a625-b324b79cd2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Attēlu atzīmes" ma:readOnly="false" ma:fieldId="{5cf76f15-5ced-4ddc-b409-7134ff3c332f}" ma:taxonomyMulti="true" ma:sspId="01b0bf12-ffe8-4d08-82de-a7ac04e8c8ae"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177710c-40cf-4d94-a9f9-6248e9450632"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41a9b745-255c-4cef-8365-e8f1e8f54d13}" ma:internalName="TaxCatchAll" ma:showField="CatchAllData" ma:web="d177710c-40cf-4d94-a9f9-6248e9450632">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Koplietots a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Koplietots ar: detalizēt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d177710c-40cf-4d94-a9f9-6248e9450632" xsi:nil="true"/>
    <lcf76f155ced4ddcb4097134ff3c332f xmlns="90e81eab-0ee8-4447-a625-b324b79cd243">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spe:Receivers xmlns:spe="http://schemas.microsoft.com/sharepoint/events"/>
</file>

<file path=customXml/item6.xml><?xml version="1.0" encoding="utf-8"?>
<LongProperties xmlns="http://schemas.microsoft.com/office/2006/metadata/longProperties"/>
</file>

<file path=customXml/itemProps1.xml><?xml version="1.0" encoding="utf-8"?>
<ds:datastoreItem xmlns:ds="http://schemas.openxmlformats.org/officeDocument/2006/customXml" ds:itemID="{A2E68B2D-5A9A-4BC7-B342-391C8871E400}">
  <ds:schemaRefs>
    <ds:schemaRef ds:uri="http://schemas.microsoft.com/sharepoint/v3/contenttype/forms"/>
  </ds:schemaRefs>
</ds:datastoreItem>
</file>

<file path=customXml/itemProps2.xml><?xml version="1.0" encoding="utf-8"?>
<ds:datastoreItem xmlns:ds="http://schemas.openxmlformats.org/officeDocument/2006/customXml" ds:itemID="{E03EAB23-2734-4C99-972C-962AB64B59E1}"/>
</file>

<file path=customXml/itemProps3.xml><?xml version="1.0" encoding="utf-8"?>
<ds:datastoreItem xmlns:ds="http://schemas.openxmlformats.org/officeDocument/2006/customXml" ds:itemID="{43ED7F48-A605-48E0-A38A-B5280ADA0E10}">
  <ds:schemaRefs>
    <ds:schemaRef ds:uri="http://schemas.microsoft.com/office/2006/metadata/properties"/>
    <ds:schemaRef ds:uri="http://schemas.microsoft.com/office/infopath/2007/PartnerControls"/>
    <ds:schemaRef ds:uri="9bd55470-554b-43a4-a725-b11197aacd35"/>
    <ds:schemaRef ds:uri="39e29a67-14a6-4bd2-bf5c-c8d713f8fb27"/>
    <ds:schemaRef ds:uri="8230fadb-9988-4f00-b353-34532af48b00"/>
    <ds:schemaRef ds:uri="978be6e4-f890-4aa0-9195-00aa98d15dd1"/>
  </ds:schemaRefs>
</ds:datastoreItem>
</file>

<file path=customXml/itemProps4.xml><?xml version="1.0" encoding="utf-8"?>
<ds:datastoreItem xmlns:ds="http://schemas.openxmlformats.org/officeDocument/2006/customXml" ds:itemID="{AE5AF770-70CC-BD42-A749-21E25581BA1A}">
  <ds:schemaRefs>
    <ds:schemaRef ds:uri="http://schemas.openxmlformats.org/officeDocument/2006/bibliography"/>
  </ds:schemaRefs>
</ds:datastoreItem>
</file>

<file path=customXml/itemProps5.xml><?xml version="1.0" encoding="utf-8"?>
<ds:datastoreItem xmlns:ds="http://schemas.openxmlformats.org/officeDocument/2006/customXml" ds:itemID="{7A646B18-02F2-4E97-880C-13AF10E32747}">
  <ds:schemaRefs>
    <ds:schemaRef ds:uri="http://schemas.microsoft.com/sharepoint/events"/>
  </ds:schemaRefs>
</ds:datastoreItem>
</file>

<file path=customXml/itemProps6.xml><?xml version="1.0" encoding="utf-8"?>
<ds:datastoreItem xmlns:ds="http://schemas.openxmlformats.org/officeDocument/2006/customXml" ds:itemID="{ADF302C7-45B4-4A52-9D08-EAD3BBB3A90E}">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19</Pages>
  <Words>10293</Words>
  <Characters>58514</Characters>
  <Application>Microsoft Office Word</Application>
  <DocSecurity>4</DocSecurity>
  <Lines>487</Lines>
  <Paragraphs>137</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Rigas Satiksme</Company>
  <LinksUpToDate>false</LinksUpToDate>
  <CharactersWithSpaces>68670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cp:lastModifiedBy>Māra Volkova</cp:lastModifiedBy>
  <cp:revision>2</cp:revision>
  <cp:lastPrinted>2021-09-09T02:05:00Z</cp:lastPrinted>
  <dcterms:created xsi:type="dcterms:W3CDTF">2026-06-15T14:21:00Z</dcterms:created>
  <dcterms:modified xsi:type="dcterms:W3CDTF">2026-06-15T14:21:00Z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
    <vt:lpwstr>JK72EMXWKVUQ-10-969</vt:lpwstr>
  </property>
  <property fmtid="{D5CDD505-2E9C-101B-9397-08002B2CF9AE}" pid="3" name="_dlc_DocIdItemGuid">
    <vt:lpwstr>b413f596-b108-404b-8e0d-f45c45d4f46c</vt:lpwstr>
  </property>
  <property fmtid="{D5CDD505-2E9C-101B-9397-08002B2CF9AE}" pid="4" name="_dlc_DocIdUrl">
    <vt:lpwstr>http://mansrs/ADR/_layouts/DocIdRedir.aspx?ID=JK72EMXWKVUQ-10-969, JK72EMXWKVUQ-10-969</vt:lpwstr>
  </property>
  <property fmtid="{D5CDD505-2E9C-101B-9397-08002B2CF9AE}" pid="5" name="Jānodod arhīvā">
    <vt:lpwstr>0</vt:lpwstr>
  </property>
  <property fmtid="{D5CDD505-2E9C-101B-9397-08002B2CF9AE}" pid="6" name="Piezīmes">
    <vt:lpwstr/>
  </property>
  <property fmtid="{D5CDD505-2E9C-101B-9397-08002B2CF9AE}" pid="7" name="Glabāšanas laiks str-bā">
    <vt:lpwstr>Aktuālā versija</vt:lpwstr>
  </property>
  <property fmtid="{D5CDD505-2E9C-101B-9397-08002B2CF9AE}" pid="8" name="Par glabāšanu atbildīgais (vieta)">
    <vt:lpwstr/>
  </property>
  <property fmtid="{D5CDD505-2E9C-101B-9397-08002B2CF9AE}" pid="9" name="Veids">
    <vt:lpwstr>Veidlapa</vt:lpwstr>
  </property>
  <property fmtid="{D5CDD505-2E9C-101B-9397-08002B2CF9AE}" pid="10" name="Numurs">
    <vt:lpwstr/>
  </property>
  <property fmtid="{D5CDD505-2E9C-101B-9397-08002B2CF9AE}" pid="11" name="Apstiprināts ar INA">
    <vt:lpwstr/>
  </property>
  <property fmtid="{D5CDD505-2E9C-101B-9397-08002B2CF9AE}" pid="12" name="Procedūras Nr:">
    <vt:lpwstr>166</vt:lpwstr>
  </property>
  <property fmtid="{D5CDD505-2E9C-101B-9397-08002B2CF9AE}" pid="13" name="NrProc">
    <vt:lpwstr/>
  </property>
  <property fmtid="{D5CDD505-2E9C-101B-9397-08002B2CF9AE}" pid="14" name="Stājas spēkā">
    <vt:lpwstr/>
  </property>
  <property fmtid="{D5CDD505-2E9C-101B-9397-08002B2CF9AE}" pid="15" name="Grozīts">
    <vt:lpwstr/>
  </property>
  <property fmtid="{D5CDD505-2E9C-101B-9397-08002B2CF9AE}" pid="16" name="ContentTypeId">
    <vt:lpwstr>0x0101007C98C035752B2E4F9BA001D238EDF9B9</vt:lpwstr>
  </property>
</Properties>
</file>