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A148A4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0A34686" w14:textId="77777777" w:rsidR="00D8076F" w:rsidRDefault="00D8076F" w:rsidP="00A148A4">
      <w:pPr>
        <w:spacing w:after="0" w:line="23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076F">
        <w:rPr>
          <w:rFonts w:ascii="Times New Roman" w:hAnsi="Times New Roman" w:cs="Times New Roman"/>
          <w:i/>
          <w:iCs/>
          <w:sz w:val="24"/>
          <w:szCs w:val="24"/>
        </w:rPr>
        <w:t>kanalizācijas tīklu, notekūdeņu attīrīšanas iekārtu apkope, uzturēšana vai remonts un bīstamo atkritumu apsaimniekošana un utilizācija</w:t>
      </w:r>
    </w:p>
    <w:p w14:paraId="437648C3" w14:textId="7EEACC0F" w:rsidR="005D1BC8" w:rsidRPr="003D4054" w:rsidRDefault="005D1BC8" w:rsidP="00A148A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A148A4">
      <w:pPr>
        <w:numPr>
          <w:ilvl w:val="0"/>
          <w:numId w:val="2"/>
        </w:numPr>
        <w:spacing w:before="160" w:line="23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7A0662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A148A4">
      <w:pPr>
        <w:numPr>
          <w:ilvl w:val="0"/>
          <w:numId w:val="2"/>
        </w:numPr>
        <w:spacing w:before="160" w:line="23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A148A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A148A4">
      <w:pPr>
        <w:numPr>
          <w:ilvl w:val="0"/>
          <w:numId w:val="2"/>
        </w:numPr>
        <w:spacing w:before="160" w:line="23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09861B83" w:rsidR="008C0786" w:rsidRPr="003D4054" w:rsidRDefault="005D1BC8" w:rsidP="00A148A4">
      <w:pPr>
        <w:pStyle w:val="BodyText2"/>
        <w:tabs>
          <w:tab w:val="clear" w:pos="0"/>
        </w:tabs>
        <w:spacing w:line="23" w:lineRule="atLeast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szCs w:val="24"/>
        </w:rPr>
        <w:t>3.1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D50E8" w:rsidRPr="003D4054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8C0786" w:rsidRPr="003D4054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D4054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u</w:t>
      </w:r>
      <w:r w:rsidR="00475F3C" w:rsidRPr="003D4054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,</w:t>
      </w:r>
      <w:r w:rsidR="006B2295" w:rsidRPr="003D4054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D4054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D4054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3D4054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3D4054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3E63D029" w:rsidR="00FA41A9" w:rsidRDefault="00475F3C" w:rsidP="00A148A4">
      <w:pPr>
        <w:pStyle w:val="BodyText2"/>
        <w:tabs>
          <w:tab w:val="clear" w:pos="0"/>
        </w:tabs>
        <w:spacing w:line="23" w:lineRule="atLeast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57749" w:rsidRPr="003D4054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3D4054">
        <w:rPr>
          <w:rFonts w:ascii="Times New Roman" w:hAnsi="Times New Roman"/>
          <w:color w:val="000000" w:themeColor="text1"/>
          <w:szCs w:val="24"/>
        </w:rPr>
        <w:t> </w:t>
      </w:r>
      <w:r w:rsidR="005B40DB" w:rsidRPr="003D4054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3D4054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D4054">
        <w:rPr>
          <w:rFonts w:ascii="Times New Roman" w:hAnsi="Times New Roman"/>
          <w:color w:val="000000" w:themeColor="text1"/>
          <w:szCs w:val="24"/>
        </w:rPr>
        <w:t>ta</w:t>
      </w:r>
      <w:r w:rsidR="009C098E" w:rsidRPr="003D4054">
        <w:rPr>
          <w:rFonts w:ascii="Times New Roman" w:hAnsi="Times New Roman"/>
          <w:color w:val="000000" w:themeColor="text1"/>
          <w:szCs w:val="24"/>
        </w:rPr>
        <w:t xml:space="preserve">s visas izmaksas, kas saistītas </w:t>
      </w:r>
      <w:r w:rsidR="00D8076F" w:rsidRPr="00D8076F">
        <w:rPr>
          <w:rFonts w:ascii="Times New Roman" w:hAnsi="Times New Roman"/>
          <w:color w:val="000000" w:themeColor="text1"/>
          <w:szCs w:val="24"/>
        </w:rPr>
        <w:t>kanalizācijas tīklu, notekūdeņu attīrīšanas iekārtu</w:t>
      </w:r>
      <w:bookmarkStart w:id="0" w:name="_GoBack"/>
      <w:bookmarkEnd w:id="0"/>
      <w:r w:rsidR="00D8076F" w:rsidRPr="00D8076F">
        <w:rPr>
          <w:rFonts w:ascii="Times New Roman" w:hAnsi="Times New Roman"/>
          <w:color w:val="000000" w:themeColor="text1"/>
          <w:szCs w:val="24"/>
        </w:rPr>
        <w:t xml:space="preserve"> apkop</w:t>
      </w:r>
      <w:r w:rsidR="00D8076F">
        <w:rPr>
          <w:rFonts w:ascii="Times New Roman" w:hAnsi="Times New Roman"/>
          <w:color w:val="000000" w:themeColor="text1"/>
          <w:szCs w:val="24"/>
        </w:rPr>
        <w:t>i</w:t>
      </w:r>
      <w:r w:rsidR="00D8076F" w:rsidRPr="00D8076F">
        <w:rPr>
          <w:rFonts w:ascii="Times New Roman" w:hAnsi="Times New Roman"/>
          <w:color w:val="000000" w:themeColor="text1"/>
          <w:szCs w:val="24"/>
        </w:rPr>
        <w:t>, uzturēšan</w:t>
      </w:r>
      <w:r w:rsidR="00D8076F">
        <w:rPr>
          <w:rFonts w:ascii="Times New Roman" w:hAnsi="Times New Roman"/>
          <w:color w:val="000000" w:themeColor="text1"/>
          <w:szCs w:val="24"/>
        </w:rPr>
        <w:t>u</w:t>
      </w:r>
      <w:r w:rsidR="00D8076F" w:rsidRPr="00D8076F">
        <w:rPr>
          <w:rFonts w:ascii="Times New Roman" w:hAnsi="Times New Roman"/>
          <w:color w:val="000000" w:themeColor="text1"/>
          <w:szCs w:val="24"/>
        </w:rPr>
        <w:t xml:space="preserve"> vai remont</w:t>
      </w:r>
      <w:r w:rsidR="00D8076F">
        <w:rPr>
          <w:rFonts w:ascii="Times New Roman" w:hAnsi="Times New Roman"/>
          <w:color w:val="000000" w:themeColor="text1"/>
          <w:szCs w:val="24"/>
        </w:rPr>
        <w:t>u</w:t>
      </w:r>
      <w:r w:rsidR="00D8076F" w:rsidRPr="00D8076F">
        <w:rPr>
          <w:rFonts w:ascii="Times New Roman" w:hAnsi="Times New Roman"/>
          <w:color w:val="000000" w:themeColor="text1"/>
          <w:szCs w:val="24"/>
        </w:rPr>
        <w:t xml:space="preserve"> un bīstamo atkritumu apsaimniekošan</w:t>
      </w:r>
      <w:r w:rsidR="00D8076F">
        <w:rPr>
          <w:rFonts w:ascii="Times New Roman" w:hAnsi="Times New Roman"/>
          <w:color w:val="000000" w:themeColor="text1"/>
          <w:szCs w:val="24"/>
        </w:rPr>
        <w:t xml:space="preserve">u </w:t>
      </w:r>
      <w:r w:rsidR="00D8076F" w:rsidRPr="00D8076F">
        <w:rPr>
          <w:rFonts w:ascii="Times New Roman" w:hAnsi="Times New Roman"/>
          <w:color w:val="000000" w:themeColor="text1"/>
          <w:szCs w:val="24"/>
        </w:rPr>
        <w:t>un utilizācij</w:t>
      </w:r>
      <w:r w:rsidR="00D8076F">
        <w:rPr>
          <w:rFonts w:ascii="Times New Roman" w:hAnsi="Times New Roman"/>
          <w:color w:val="000000" w:themeColor="text1"/>
          <w:szCs w:val="24"/>
        </w:rPr>
        <w:t>u atbilstoši pakalpojuma tehniskajai specifikācijai</w:t>
      </w:r>
      <w:r w:rsidR="00210FAE"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15AFAB5E" w14:textId="5FCBC862" w:rsidR="007A0662" w:rsidRPr="007A0662" w:rsidRDefault="007A0662" w:rsidP="00A148A4">
      <w:pPr>
        <w:pStyle w:val="BodyText2"/>
        <w:spacing w:line="23" w:lineRule="atLeast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3.3.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Interese piedalīties iepirkumā:</w:t>
      </w:r>
    </w:p>
    <w:p w14:paraId="0F4DF511" w14:textId="22055983" w:rsidR="007A0662" w:rsidRDefault="007A0662" w:rsidP="00A148A4">
      <w:pPr>
        <w:pStyle w:val="BodyText2"/>
        <w:spacing w:line="23" w:lineRule="atLeast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163598ED" w14:textId="6E613399" w:rsidR="007A0662" w:rsidRPr="003D4054" w:rsidRDefault="007A0662" w:rsidP="00A148A4">
      <w:pPr>
        <w:pStyle w:val="BodyText2"/>
        <w:tabs>
          <w:tab w:val="clear" w:pos="0"/>
        </w:tabs>
        <w:spacing w:line="23" w:lineRule="atLeast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Neesam ieinteresēti piedalīties iepirkumā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193E99B0" w14:textId="13EA4A40" w:rsidR="00B5769B" w:rsidRPr="003D4054" w:rsidRDefault="00A44F25" w:rsidP="00A148A4">
      <w:pPr>
        <w:tabs>
          <w:tab w:val="left" w:pos="426"/>
        </w:tabs>
        <w:autoSpaceDE w:val="0"/>
        <w:autoSpaceDN w:val="0"/>
        <w:adjustRightInd w:val="0"/>
        <w:spacing w:before="80" w:after="80" w:line="23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148A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3354EDF9" w:rsidR="00165AB3" w:rsidRPr="007A0662" w:rsidRDefault="004A113C" w:rsidP="00A148A4">
      <w:pPr>
        <w:pStyle w:val="BodyText2"/>
        <w:tabs>
          <w:tab w:val="clear" w:pos="0"/>
        </w:tabs>
        <w:spacing w:line="23" w:lineRule="atLeast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210FAE" w:rsidRPr="007A0662">
        <w:rPr>
          <w:rFonts w:ascii="Times New Roman" w:hAnsi="Times New Roman"/>
          <w:szCs w:val="24"/>
        </w:rPr>
        <w:t>pakalpojumu</w:t>
      </w:r>
      <w:r w:rsidR="00363366" w:rsidRPr="007A0662">
        <w:rPr>
          <w:rFonts w:ascii="Times New Roman" w:hAnsi="Times New Roman"/>
          <w:szCs w:val="24"/>
        </w:rPr>
        <w:t xml:space="preserve"> </w:t>
      </w:r>
      <w:r w:rsidR="00210FAE" w:rsidRPr="007A0662">
        <w:rPr>
          <w:rFonts w:ascii="Times New Roman" w:hAnsi="Times New Roman"/>
          <w:szCs w:val="24"/>
        </w:rPr>
        <w:t>sniegsim</w:t>
      </w:r>
      <w:r w:rsidR="00656981" w:rsidRPr="007A0662">
        <w:rPr>
          <w:rFonts w:ascii="Times New Roman" w:hAnsi="Times New Roman"/>
          <w:szCs w:val="24"/>
        </w:rPr>
        <w:t xml:space="preserve"> </w:t>
      </w:r>
      <w:r w:rsidR="00616B7C" w:rsidRPr="007A0662">
        <w:rPr>
          <w:rFonts w:ascii="Times New Roman" w:hAnsi="Times New Roman"/>
          <w:szCs w:val="24"/>
        </w:rPr>
        <w:t>patstāvīgi, nepiesaistot apakšuzņēmējus</w:t>
      </w:r>
      <w:r w:rsidR="00165AB3" w:rsidRPr="007A0662">
        <w:rPr>
          <w:rFonts w:ascii="Times New Roman" w:hAnsi="Times New Roman"/>
          <w:szCs w:val="24"/>
        </w:rPr>
        <w:t>;</w:t>
      </w:r>
    </w:p>
    <w:p w14:paraId="189CAEB7" w14:textId="081A2DA0" w:rsidR="00F150DE" w:rsidRPr="007A0662" w:rsidRDefault="004A113C" w:rsidP="00A148A4">
      <w:pPr>
        <w:pStyle w:val="BodyText2"/>
        <w:tabs>
          <w:tab w:val="clear" w:pos="0"/>
        </w:tabs>
        <w:spacing w:line="23" w:lineRule="atLeast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7A0662">
        <w:rPr>
          <w:rFonts w:ascii="Times New Roman" w:hAnsi="Times New Roman"/>
          <w:szCs w:val="24"/>
        </w:rPr>
        <w:t> p</w:t>
      </w:r>
      <w:r w:rsidR="00210FAE" w:rsidRPr="007A0662">
        <w:rPr>
          <w:rFonts w:ascii="Times New Roman" w:hAnsi="Times New Roman"/>
          <w:szCs w:val="24"/>
        </w:rPr>
        <w:t>akalpojumu</w:t>
      </w:r>
      <w:r w:rsidR="00D360ED" w:rsidRPr="007A0662">
        <w:rPr>
          <w:rFonts w:ascii="Times New Roman" w:hAnsi="Times New Roman"/>
          <w:szCs w:val="24"/>
        </w:rPr>
        <w:t xml:space="preserve"> </w:t>
      </w:r>
      <w:r w:rsidR="00124654" w:rsidRPr="007A0662">
        <w:rPr>
          <w:rFonts w:ascii="Times New Roman" w:hAnsi="Times New Roman"/>
          <w:szCs w:val="24"/>
        </w:rPr>
        <w:t>veikšanā</w:t>
      </w:r>
      <w:r w:rsidR="00656981" w:rsidRPr="007A0662">
        <w:rPr>
          <w:rFonts w:ascii="Times New Roman" w:hAnsi="Times New Roman"/>
          <w:szCs w:val="24"/>
        </w:rPr>
        <w:t xml:space="preserve"> </w:t>
      </w:r>
      <w:r w:rsidR="00E70536" w:rsidRPr="007A0662">
        <w:rPr>
          <w:rFonts w:ascii="Times New Roman" w:hAnsi="Times New Roman"/>
          <w:szCs w:val="24"/>
        </w:rPr>
        <w:t>ir plānots piesaistīt apakšuzņēmējus (t.</w:t>
      </w:r>
      <w:r w:rsidR="00210FAE" w:rsidRPr="007A0662">
        <w:rPr>
          <w:rFonts w:ascii="Times New Roman" w:hAnsi="Times New Roman"/>
          <w:szCs w:val="24"/>
        </w:rPr>
        <w:t> </w:t>
      </w:r>
      <w:r w:rsidR="00E70536" w:rsidRPr="007A0662">
        <w:rPr>
          <w:rFonts w:ascii="Times New Roman" w:hAnsi="Times New Roman"/>
          <w:szCs w:val="24"/>
        </w:rPr>
        <w:t>sk.</w:t>
      </w:r>
      <w:r w:rsidR="00D51537" w:rsidRPr="007A0662">
        <w:rPr>
          <w:rFonts w:ascii="Times New Roman" w:hAnsi="Times New Roman"/>
          <w:szCs w:val="24"/>
        </w:rPr>
        <w:t>,</w:t>
      </w:r>
      <w:r w:rsidR="00E70536" w:rsidRPr="007A0662">
        <w:rPr>
          <w:rFonts w:ascii="Times New Roman" w:hAnsi="Times New Roman"/>
          <w:szCs w:val="24"/>
        </w:rPr>
        <w:t xml:space="preserve"> </w:t>
      </w:r>
      <w:proofErr w:type="spellStart"/>
      <w:r w:rsidR="00E70536" w:rsidRPr="007A0662">
        <w:rPr>
          <w:rFonts w:ascii="Times New Roman" w:hAnsi="Times New Roman"/>
          <w:szCs w:val="24"/>
        </w:rPr>
        <w:t>pašnodarbinātas</w:t>
      </w:r>
      <w:proofErr w:type="spellEnd"/>
      <w:r w:rsidR="00E70536" w:rsidRPr="007A0662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7A066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B2E19" w:rsidRPr="003D4054" w14:paraId="0DC1F9C7" w14:textId="77777777" w:rsidTr="007A0662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7A0662" w:rsidRDefault="00AB2E19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7A0662" w:rsidRDefault="00AB2E19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0FC23AA5" w:rsidR="00AB2E19" w:rsidRPr="007A0662" w:rsidRDefault="00AB2E19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 w:rsid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</w: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4862B4E1" w14:textId="77777777" w:rsidR="00AB2E19" w:rsidRPr="007A0662" w:rsidRDefault="00AB2E19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7A0662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DBA4C5A" w14:textId="77777777" w:rsidR="00AB2E19" w:rsidRPr="003D4054" w:rsidRDefault="00AB2E19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42B4C075" w:rsidR="00057749" w:rsidRPr="00057749" w:rsidRDefault="00057749" w:rsidP="00A148A4">
      <w:pPr>
        <w:tabs>
          <w:tab w:val="left" w:pos="426"/>
        </w:tabs>
        <w:autoSpaceDE w:val="0"/>
        <w:autoSpaceDN w:val="0"/>
        <w:adjustRightInd w:val="0"/>
        <w:spacing w:before="80" w:after="80" w:line="23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148A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Pieredze līdzīg</w:t>
      </w:r>
      <w:r w:rsidR="00A148A4"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ā apjoma </w:t>
      </w:r>
      <w:r w:rsidR="00D8076F"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pakalpojumu sniegšanā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(norādiet pieredzi vismaz 3, bet ne vairāk kā 5 objektos):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496"/>
        <w:gridCol w:w="4246"/>
      </w:tblGrid>
      <w:tr w:rsidR="007A0662" w:rsidRPr="00057749" w14:paraId="5FA30D01" w14:textId="77777777" w:rsidTr="007A0662">
        <w:tc>
          <w:tcPr>
            <w:tcW w:w="2728" w:type="pct"/>
            <w:gridSpan w:val="2"/>
            <w:shd w:val="clear" w:color="auto" w:fill="DEEAF6" w:themeFill="accent5" w:themeFillTint="33"/>
            <w:vAlign w:val="center"/>
          </w:tcPr>
          <w:p w14:paraId="1FFD98BB" w14:textId="77777777" w:rsidR="007A0662" w:rsidRPr="007A0662" w:rsidRDefault="007A0662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Pasūtītājs (pasūtītāja kontaktpersona)</w:t>
            </w:r>
          </w:p>
        </w:tc>
        <w:tc>
          <w:tcPr>
            <w:tcW w:w="2272" w:type="pct"/>
            <w:shd w:val="clear" w:color="auto" w:fill="DEEAF6" w:themeFill="accent5" w:themeFillTint="33"/>
            <w:vAlign w:val="center"/>
          </w:tcPr>
          <w:p w14:paraId="5ED8F71A" w14:textId="5889753E" w:rsidR="007A0662" w:rsidRPr="007A0662" w:rsidRDefault="007A0662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Sniegtā pakalpojuma īss raksturojums</w:t>
            </w:r>
          </w:p>
        </w:tc>
      </w:tr>
      <w:tr w:rsidR="00D8076F" w:rsidRPr="00057749" w14:paraId="6262B82C" w14:textId="77777777" w:rsidTr="007A0662">
        <w:tc>
          <w:tcPr>
            <w:tcW w:w="322" w:type="pct"/>
            <w:vAlign w:val="center"/>
          </w:tcPr>
          <w:p w14:paraId="0D36CA11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06" w:type="pct"/>
            <w:vAlign w:val="center"/>
          </w:tcPr>
          <w:p w14:paraId="09F29478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3A366C1A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8076F" w:rsidRPr="00057749" w14:paraId="16604135" w14:textId="77777777" w:rsidTr="007A0662">
        <w:tc>
          <w:tcPr>
            <w:tcW w:w="322" w:type="pct"/>
            <w:vAlign w:val="center"/>
          </w:tcPr>
          <w:p w14:paraId="00406819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06" w:type="pct"/>
            <w:vAlign w:val="center"/>
          </w:tcPr>
          <w:p w14:paraId="41E64114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395B665F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8076F" w:rsidRPr="00057749" w14:paraId="599BA4AC" w14:textId="77777777" w:rsidTr="007A0662">
        <w:tc>
          <w:tcPr>
            <w:tcW w:w="322" w:type="pct"/>
            <w:vAlign w:val="center"/>
          </w:tcPr>
          <w:p w14:paraId="05B2428F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06" w:type="pct"/>
            <w:vAlign w:val="center"/>
          </w:tcPr>
          <w:p w14:paraId="22B02A30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5B4F3CCA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8076F" w:rsidRPr="00057749" w14:paraId="5151D239" w14:textId="77777777" w:rsidTr="007A0662">
        <w:tc>
          <w:tcPr>
            <w:tcW w:w="322" w:type="pct"/>
            <w:vAlign w:val="center"/>
          </w:tcPr>
          <w:p w14:paraId="43094961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06" w:type="pct"/>
            <w:vAlign w:val="center"/>
          </w:tcPr>
          <w:p w14:paraId="5650E17C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77E72451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8076F" w:rsidRPr="00057749" w14:paraId="04C9B539" w14:textId="77777777" w:rsidTr="007A0662">
        <w:tc>
          <w:tcPr>
            <w:tcW w:w="322" w:type="pct"/>
            <w:vAlign w:val="center"/>
          </w:tcPr>
          <w:p w14:paraId="4AFAAA80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06" w:type="pct"/>
            <w:vAlign w:val="center"/>
          </w:tcPr>
          <w:p w14:paraId="0D6BC985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7B1E9EB2" w14:textId="77777777" w:rsidR="00D8076F" w:rsidRPr="00057749" w:rsidRDefault="00D8076F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7D94E87" w14:textId="15916B0A" w:rsidR="0085420C" w:rsidRDefault="0085420C" w:rsidP="00A148A4">
      <w:pPr>
        <w:tabs>
          <w:tab w:val="left" w:pos="426"/>
        </w:tabs>
        <w:autoSpaceDE w:val="0"/>
        <w:autoSpaceDN w:val="0"/>
        <w:adjustRightInd w:val="0"/>
        <w:spacing w:before="80" w:after="80" w:line="23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D47A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85420C">
        <w:rPr>
          <w:rFonts w:ascii="Times New Roman" w:hAnsi="Times New Roman" w:cs="Times New Roman"/>
          <w:bCs/>
          <w:sz w:val="24"/>
          <w:szCs w:val="24"/>
          <w:lang w:eastAsia="ar-SA"/>
        </w:rPr>
        <w:t>Informācija par pretendentu.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246"/>
      </w:tblGrid>
      <w:tr w:rsidR="0085420C" w:rsidRPr="00057749" w14:paraId="79A52E8D" w14:textId="77777777" w:rsidTr="007A0662">
        <w:tc>
          <w:tcPr>
            <w:tcW w:w="2728" w:type="pct"/>
            <w:shd w:val="clear" w:color="auto" w:fill="DEEAF6" w:themeFill="accent5" w:themeFillTint="33"/>
            <w:vAlign w:val="center"/>
          </w:tcPr>
          <w:p w14:paraId="5F29BD5D" w14:textId="14716A24" w:rsidR="0085420C" w:rsidRPr="007A0662" w:rsidRDefault="0085420C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b/>
                <w:bC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sz w:val="20"/>
              </w:rPr>
              <w:t>INFORMĀCIJA</w:t>
            </w:r>
          </w:p>
        </w:tc>
        <w:tc>
          <w:tcPr>
            <w:tcW w:w="2272" w:type="pct"/>
            <w:shd w:val="clear" w:color="auto" w:fill="DEEAF6" w:themeFill="accent5" w:themeFillTint="33"/>
            <w:vAlign w:val="center"/>
          </w:tcPr>
          <w:p w14:paraId="5F5276D2" w14:textId="503A1A73" w:rsidR="0085420C" w:rsidRPr="007A0662" w:rsidRDefault="0085420C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b/>
                <w:bC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sz w:val="20"/>
              </w:rPr>
              <w:t>ATBILDE</w:t>
            </w:r>
          </w:p>
        </w:tc>
      </w:tr>
      <w:tr w:rsidR="0085420C" w:rsidRPr="00057749" w14:paraId="76429FC7" w14:textId="77777777" w:rsidTr="007A0662">
        <w:tc>
          <w:tcPr>
            <w:tcW w:w="2728" w:type="pct"/>
            <w:vAlign w:val="center"/>
          </w:tcPr>
          <w:p w14:paraId="4EE80428" w14:textId="695E9ECA" w:rsidR="0085420C" w:rsidRPr="00057749" w:rsidRDefault="0085420C" w:rsidP="00A148A4">
            <w:pPr>
              <w:pStyle w:val="BodyText2"/>
              <w:tabs>
                <w:tab w:val="clear" w:pos="0"/>
              </w:tabs>
              <w:spacing w:line="23" w:lineRule="atLeas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7A0662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Pretendēta asinizācijas transportlīdzekļu skaits</w:t>
            </w:r>
            <w:r w:rsidR="00A148A4">
              <w:rPr>
                <w:rFonts w:ascii="Times New Roman" w:hAnsi="Times New Roman"/>
                <w:szCs w:val="24"/>
              </w:rPr>
              <w:t>, kuri tiks novirzīti Pasūtītāja pakalpojuma nodrošināšanai</w:t>
            </w:r>
            <w:r w:rsidR="007A066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72" w:type="pct"/>
            <w:vAlign w:val="center"/>
          </w:tcPr>
          <w:p w14:paraId="35F43FDC" w14:textId="77777777" w:rsidR="0085420C" w:rsidRPr="00057749" w:rsidRDefault="0085420C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85420C" w:rsidRPr="00057749" w14:paraId="62087B4E" w14:textId="77777777" w:rsidTr="007A0662">
        <w:tc>
          <w:tcPr>
            <w:tcW w:w="2728" w:type="pct"/>
            <w:vAlign w:val="center"/>
          </w:tcPr>
          <w:p w14:paraId="7F219FBD" w14:textId="1AFC93D5" w:rsidR="0085420C" w:rsidRPr="00057749" w:rsidRDefault="007A0662" w:rsidP="00A148A4">
            <w:pPr>
              <w:pStyle w:val="BodyText2"/>
              <w:tabs>
                <w:tab w:val="clear" w:pos="0"/>
              </w:tabs>
              <w:spacing w:line="23" w:lineRule="atLeas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 Asinizācijas transportlīdzekļu</w:t>
            </w:r>
            <w:r w:rsidR="00A148A4">
              <w:rPr>
                <w:rFonts w:ascii="Times New Roman" w:hAnsi="Times New Roman"/>
                <w:szCs w:val="24"/>
              </w:rPr>
              <w:t>, kuri tiks novirzīti Pasūtītāja pakalpojuma nodrošināšanai,</w:t>
            </w:r>
            <w:r>
              <w:rPr>
                <w:rFonts w:ascii="Times New Roman" w:hAnsi="Times New Roman"/>
                <w:szCs w:val="24"/>
              </w:rPr>
              <w:t xml:space="preserve"> tvertņu apjoms.</w:t>
            </w:r>
          </w:p>
        </w:tc>
        <w:tc>
          <w:tcPr>
            <w:tcW w:w="2272" w:type="pct"/>
            <w:vAlign w:val="center"/>
          </w:tcPr>
          <w:p w14:paraId="47FA2273" w14:textId="77777777" w:rsidR="0085420C" w:rsidRPr="00057749" w:rsidRDefault="0085420C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7A0662" w:rsidRPr="00057749" w14:paraId="67BB3D8A" w14:textId="77777777" w:rsidTr="00E6758C">
        <w:tc>
          <w:tcPr>
            <w:tcW w:w="2728" w:type="pct"/>
          </w:tcPr>
          <w:p w14:paraId="355CD163" w14:textId="6D531708" w:rsidR="007A0662" w:rsidRDefault="00A148A4" w:rsidP="00A148A4">
            <w:pPr>
              <w:pStyle w:val="BodyText2"/>
              <w:tabs>
                <w:tab w:val="clear" w:pos="0"/>
              </w:tabs>
              <w:spacing w:line="23" w:lineRule="atLeas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A0662" w:rsidRPr="007A0662">
              <w:rPr>
                <w:rFonts w:ascii="Times New Roman" w:hAnsi="Times New Roman"/>
                <w:szCs w:val="24"/>
              </w:rPr>
              <w:t>.</w:t>
            </w:r>
            <w:r w:rsidR="007A0662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 xml:space="preserve">Ar ko Pretendentam ir noslēgts vai pakalpojuma nodrošināšanai tiks noslēgts līgums par bīstamo atkritumu utilizāciju. </w:t>
            </w:r>
          </w:p>
        </w:tc>
        <w:tc>
          <w:tcPr>
            <w:tcW w:w="2272" w:type="pct"/>
            <w:vAlign w:val="center"/>
          </w:tcPr>
          <w:p w14:paraId="44D98474" w14:textId="77777777" w:rsidR="007A0662" w:rsidRPr="00057749" w:rsidRDefault="007A0662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A148A4" w:rsidRPr="00057749" w14:paraId="3BE4F07B" w14:textId="77777777" w:rsidTr="00E6758C">
        <w:tc>
          <w:tcPr>
            <w:tcW w:w="2728" w:type="pct"/>
          </w:tcPr>
          <w:p w14:paraId="51A4971B" w14:textId="74E4A659" w:rsidR="00A148A4" w:rsidRDefault="00A148A4" w:rsidP="00A148A4">
            <w:pPr>
              <w:pStyle w:val="BodyText2"/>
              <w:tabs>
                <w:tab w:val="clear" w:pos="0"/>
              </w:tabs>
              <w:spacing w:line="23" w:lineRule="atLeas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A066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 Ar ko Pretendentam ir noslēgts vai pakalpojuma nodrošināšanai tiks noslēgts līgums par bioloģisko un notekūdeņu atkritumu utilizāciju.</w:t>
            </w:r>
          </w:p>
        </w:tc>
        <w:tc>
          <w:tcPr>
            <w:tcW w:w="2272" w:type="pct"/>
            <w:vAlign w:val="center"/>
          </w:tcPr>
          <w:p w14:paraId="3245D40E" w14:textId="77777777" w:rsidR="00A148A4" w:rsidRPr="00057749" w:rsidRDefault="00A148A4" w:rsidP="00A148A4">
            <w:pPr>
              <w:pStyle w:val="BodyText2"/>
              <w:tabs>
                <w:tab w:val="clear" w:pos="0"/>
              </w:tabs>
              <w:spacing w:line="23" w:lineRule="atLeast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3D6070EF" w:rsidR="009C1A77" w:rsidRPr="003D4054" w:rsidRDefault="009C1A77" w:rsidP="00A148A4">
      <w:pPr>
        <w:numPr>
          <w:ilvl w:val="0"/>
          <w:numId w:val="2"/>
        </w:numPr>
        <w:spacing w:before="160" w:line="23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AF1539D" w14:textId="1E1E2BD1" w:rsidR="0085420C" w:rsidRPr="0085420C" w:rsidRDefault="00B660FC" w:rsidP="00A148A4">
      <w:pPr>
        <w:tabs>
          <w:tab w:val="left" w:pos="426"/>
        </w:tabs>
        <w:autoSpaceDE w:val="0"/>
        <w:autoSpaceDN w:val="0"/>
        <w:adjustRightInd w:val="0"/>
        <w:spacing w:before="80" w:after="80" w:line="23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="0085420C" w:rsidRPr="0085420C">
        <w:rPr>
          <w:rFonts w:ascii="Times New Roman" w:hAnsi="Times New Roman" w:cs="Times New Roman"/>
          <w:bCs/>
          <w:sz w:val="24"/>
          <w:szCs w:val="24"/>
          <w:lang w:eastAsia="ar-SA"/>
        </w:rPr>
        <w:t>Pretendenta finanšu pied</w:t>
      </w:r>
      <w:r w:rsidR="0085420C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85420C" w:rsidRPr="0085420C">
        <w:rPr>
          <w:rFonts w:ascii="Times New Roman" w:hAnsi="Times New Roman" w:cs="Times New Roman"/>
          <w:bCs/>
          <w:sz w:val="24"/>
          <w:szCs w:val="24"/>
          <w:lang w:eastAsia="ar-SA"/>
        </w:rPr>
        <w:t>vāj</w:t>
      </w:r>
      <w:r w:rsidR="0085420C">
        <w:rPr>
          <w:rFonts w:ascii="Times New Roman" w:hAnsi="Times New Roman" w:cs="Times New Roman"/>
          <w:bCs/>
          <w:sz w:val="24"/>
          <w:szCs w:val="24"/>
          <w:lang w:eastAsia="ar-SA"/>
        </w:rPr>
        <w:t>um</w:t>
      </w:r>
      <w:r w:rsidR="0085420C" w:rsidRPr="0085420C">
        <w:rPr>
          <w:rFonts w:ascii="Times New Roman" w:hAnsi="Times New Roman" w:cs="Times New Roman"/>
          <w:bCs/>
          <w:sz w:val="24"/>
          <w:szCs w:val="24"/>
          <w:lang w:eastAsia="ar-SA"/>
        </w:rPr>
        <w:t>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2686"/>
      </w:tblGrid>
      <w:tr w:rsidR="007A0662" w:rsidRPr="0085420C" w14:paraId="199EBC31" w14:textId="77777777" w:rsidTr="004E38E5">
        <w:trPr>
          <w:trHeight w:val="371"/>
        </w:trPr>
        <w:tc>
          <w:tcPr>
            <w:tcW w:w="5098" w:type="dxa"/>
            <w:shd w:val="clear" w:color="auto" w:fill="DEEAF6" w:themeFill="accent5" w:themeFillTint="33"/>
            <w:noWrap/>
            <w:vAlign w:val="center"/>
            <w:hideMark/>
          </w:tcPr>
          <w:p w14:paraId="6B624002" w14:textId="20765C5F" w:rsidR="0085420C" w:rsidRPr="0085420C" w:rsidRDefault="0085420C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8542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PakalpojumS</w:t>
            </w:r>
          </w:p>
        </w:tc>
        <w:tc>
          <w:tcPr>
            <w:tcW w:w="1560" w:type="dxa"/>
            <w:shd w:val="clear" w:color="auto" w:fill="DEEAF6" w:themeFill="accent5" w:themeFillTint="33"/>
            <w:noWrap/>
            <w:vAlign w:val="center"/>
            <w:hideMark/>
          </w:tcPr>
          <w:p w14:paraId="333E6E96" w14:textId="77777777" w:rsidR="0085420C" w:rsidRPr="0085420C" w:rsidRDefault="0085420C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8542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Mērvienība</w:t>
            </w:r>
          </w:p>
        </w:tc>
        <w:tc>
          <w:tcPr>
            <w:tcW w:w="2686" w:type="dxa"/>
            <w:shd w:val="clear" w:color="auto" w:fill="DEEAF6" w:themeFill="accent5" w:themeFillTint="33"/>
            <w:vAlign w:val="center"/>
            <w:hideMark/>
          </w:tcPr>
          <w:p w14:paraId="7D254396" w14:textId="072122FC" w:rsidR="0085420C" w:rsidRPr="0085420C" w:rsidRDefault="0085420C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8542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CENA PAR VIENĪBU EURO BEZ PVN</w:t>
            </w:r>
          </w:p>
        </w:tc>
      </w:tr>
      <w:tr w:rsidR="00A148A4" w:rsidRPr="0085420C" w14:paraId="2246ABE5" w14:textId="77777777" w:rsidTr="00923558">
        <w:trPr>
          <w:trHeight w:val="600"/>
        </w:trPr>
        <w:tc>
          <w:tcPr>
            <w:tcW w:w="5098" w:type="dxa"/>
            <w:shd w:val="clear" w:color="auto" w:fill="auto"/>
          </w:tcPr>
          <w:p w14:paraId="0134E504" w14:textId="31E2EC59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 xml:space="preserve">Cauruļvadu skalošana, aku izsūkšana, izmantojot </w:t>
            </w:r>
            <w:proofErr w:type="spellStart"/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vakummašīnu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</w:tcPr>
          <w:p w14:paraId="65427A08" w14:textId="7DE29A44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</w:tc>
        <w:tc>
          <w:tcPr>
            <w:tcW w:w="2686" w:type="dxa"/>
            <w:shd w:val="clear" w:color="auto" w:fill="auto"/>
            <w:noWrap/>
            <w:vAlign w:val="center"/>
          </w:tcPr>
          <w:p w14:paraId="42506BDC" w14:textId="5ED1A168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482FD09D" w14:textId="77777777" w:rsidTr="00923558">
        <w:trPr>
          <w:trHeight w:val="630"/>
        </w:trPr>
        <w:tc>
          <w:tcPr>
            <w:tcW w:w="5098" w:type="dxa"/>
            <w:shd w:val="clear" w:color="000000" w:fill="FFFFFF"/>
          </w:tcPr>
          <w:p w14:paraId="20716A17" w14:textId="6991EBB8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Cauruļvadu CCTV inspicēšana (stāvokļa novērtēšanai, līmeņa mērīšana)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</w:tcPr>
          <w:p w14:paraId="39FFAA3B" w14:textId="6AA41212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203263EA" w14:textId="2B29FF33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586FB44F" w14:textId="77777777" w:rsidTr="00923558">
        <w:trPr>
          <w:trHeight w:val="420"/>
        </w:trPr>
        <w:tc>
          <w:tcPr>
            <w:tcW w:w="5098" w:type="dxa"/>
            <w:shd w:val="clear" w:color="auto" w:fill="auto"/>
          </w:tcPr>
          <w:p w14:paraId="07CDF267" w14:textId="1A36C68F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Kanalizācijas notekūdeņu savākšana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</w:tcPr>
          <w:p w14:paraId="02D91E48" w14:textId="1FE156E1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48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6" w:type="dxa"/>
            <w:shd w:val="clear" w:color="auto" w:fill="auto"/>
            <w:noWrap/>
            <w:vAlign w:val="center"/>
          </w:tcPr>
          <w:p w14:paraId="5E6B60DC" w14:textId="0530135C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294FE3A2" w14:textId="77777777" w:rsidTr="00923558">
        <w:trPr>
          <w:trHeight w:val="585"/>
        </w:trPr>
        <w:tc>
          <w:tcPr>
            <w:tcW w:w="5098" w:type="dxa"/>
            <w:shd w:val="clear" w:color="auto" w:fill="auto"/>
          </w:tcPr>
          <w:p w14:paraId="540D9E8F" w14:textId="426C180B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Ūdens - tauku maisījuma savākšana tauku uztvērējiem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</w:tcPr>
          <w:p w14:paraId="2988AFBD" w14:textId="714F05D5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48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6" w:type="dxa"/>
            <w:shd w:val="clear" w:color="auto" w:fill="auto"/>
            <w:noWrap/>
            <w:vAlign w:val="center"/>
          </w:tcPr>
          <w:p w14:paraId="7BCAACB0" w14:textId="20635D02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318D0021" w14:textId="77777777" w:rsidTr="008D47AB">
        <w:trPr>
          <w:trHeight w:val="83"/>
        </w:trPr>
        <w:tc>
          <w:tcPr>
            <w:tcW w:w="5098" w:type="dxa"/>
            <w:shd w:val="clear" w:color="auto" w:fill="auto"/>
          </w:tcPr>
          <w:p w14:paraId="416F3614" w14:textId="2B228132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Smilšu maisījuma savākšana no cauruļvadiem un 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</w:tcPr>
          <w:p w14:paraId="627A669E" w14:textId="2EA7EB2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48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6" w:type="dxa"/>
            <w:shd w:val="clear" w:color="auto" w:fill="auto"/>
            <w:noWrap/>
            <w:vAlign w:val="center"/>
          </w:tcPr>
          <w:p w14:paraId="0CBFB4F0" w14:textId="1EF3CC20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17C4AC8A" w14:textId="77777777" w:rsidTr="00923558">
        <w:trPr>
          <w:trHeight w:val="495"/>
        </w:trPr>
        <w:tc>
          <w:tcPr>
            <w:tcW w:w="5098" w:type="dxa"/>
            <w:shd w:val="clear" w:color="auto" w:fill="auto"/>
          </w:tcPr>
          <w:p w14:paraId="12E25391" w14:textId="7104B3E1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Eļļaino ūdeņu atsūkšana no eļļas un ūdens atdalīšanas iekārtām, kods 130507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</w:tcPr>
          <w:p w14:paraId="0FAC8D96" w14:textId="2438E6D1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48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6" w:type="dxa"/>
            <w:shd w:val="clear" w:color="auto" w:fill="auto"/>
            <w:noWrap/>
            <w:vAlign w:val="center"/>
          </w:tcPr>
          <w:p w14:paraId="69C077E6" w14:textId="09EABC86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76FD0D26" w14:textId="77777777" w:rsidTr="00923558">
        <w:trPr>
          <w:trHeight w:val="510"/>
        </w:trPr>
        <w:tc>
          <w:tcPr>
            <w:tcW w:w="5098" w:type="dxa"/>
            <w:shd w:val="clear" w:color="auto" w:fill="auto"/>
          </w:tcPr>
          <w:p w14:paraId="1F27CC45" w14:textId="0C6712B6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Cauruļvadu kausēšana ziemas periodā, izmantojot ziemas apstākļiem paredzēto tehniku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</w:tcPr>
          <w:p w14:paraId="54D448B5" w14:textId="73B7C665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</w:tc>
        <w:tc>
          <w:tcPr>
            <w:tcW w:w="2686" w:type="dxa"/>
            <w:shd w:val="clear" w:color="auto" w:fill="auto"/>
            <w:noWrap/>
            <w:vAlign w:val="center"/>
          </w:tcPr>
          <w:p w14:paraId="6EF63931" w14:textId="0D4F0C71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0D956852" w14:textId="77777777" w:rsidTr="00923558">
        <w:trPr>
          <w:trHeight w:val="615"/>
        </w:trPr>
        <w:tc>
          <w:tcPr>
            <w:tcW w:w="5098" w:type="dxa"/>
            <w:shd w:val="clear" w:color="000000" w:fill="FFFFFF"/>
          </w:tcPr>
          <w:p w14:paraId="2A6C3363" w14:textId="69458218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Naftas produktu un bīstamo atkritumu  iekārtu tīrīšana, apkope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</w:tcPr>
          <w:p w14:paraId="13FC2ECA" w14:textId="6F8C9905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reize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4C9BBC58" w14:textId="2C9D0186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57FCF788" w14:textId="77777777" w:rsidTr="008D47AB">
        <w:trPr>
          <w:trHeight w:val="70"/>
        </w:trPr>
        <w:tc>
          <w:tcPr>
            <w:tcW w:w="5098" w:type="dxa"/>
            <w:shd w:val="clear" w:color="000000" w:fill="FFFFFF"/>
          </w:tcPr>
          <w:p w14:paraId="36CFEA65" w14:textId="2A9CB27B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Naftas produktu un bīstamo atkritumu utilizācija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</w:tcPr>
          <w:p w14:paraId="616002BA" w14:textId="4E28AC2A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48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3B5571D6" w14:textId="1E504D8B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10065E7D" w14:textId="77777777" w:rsidTr="008D47AB">
        <w:trPr>
          <w:trHeight w:val="70"/>
        </w:trPr>
        <w:tc>
          <w:tcPr>
            <w:tcW w:w="5098" w:type="dxa"/>
            <w:shd w:val="clear" w:color="000000" w:fill="FFFFFF"/>
            <w:vAlign w:val="center"/>
          </w:tcPr>
          <w:p w14:paraId="7AF63663" w14:textId="5877D16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Apkopes un uzturēšanas darbi.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2916F4C" w14:textId="4DFF6419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30678FDA" w14:textId="7C6A12AB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695A3513" w14:textId="77777777" w:rsidTr="00A148A4">
        <w:trPr>
          <w:trHeight w:val="70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</w:tcPr>
          <w:p w14:paraId="5F520A18" w14:textId="1A5229BF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A148A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Darbības ar bīstamajiem un sadzīves atkritumiem</w:t>
            </w:r>
          </w:p>
        </w:tc>
      </w:tr>
      <w:tr w:rsidR="00A148A4" w:rsidRPr="0085420C" w14:paraId="561FCC81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68F6C761" w14:textId="0476126A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Naftas produktu atkritumu utilizācija eļļas/ūdens maisījums (kods 130507)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E4BB917" w14:textId="243FF0AA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48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1A0893EE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6BF59EE7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1CF54FCD" w14:textId="0A60D311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Izlietotā naftas produktu absorbenta utilizācija: kods 150202 (bonas, pārslas, paklāji); kods 160708 (tvertņu tīrīšanas atkritumi)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A032446" w14:textId="2FE77932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359338C5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74187A70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41255F5E" w14:textId="1BF34916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Izlietotā naftas produktu absorbenta utilizācija: kods 150202 (absorbenta granulas)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1C87469" w14:textId="76F89E30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48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1226C321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70157FC6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6A1E1664" w14:textId="41DE17A4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Ar naftas produktiem piesārņotās grunts utilizācija, kods 170503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F4DF656" w14:textId="5E213F11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0CF00C53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321CF707" w14:textId="77777777" w:rsidTr="008D47AB">
        <w:trPr>
          <w:trHeight w:val="471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</w:tcPr>
          <w:p w14:paraId="169A2227" w14:textId="3AEC2FCD" w:rsidR="00A148A4" w:rsidRPr="00A148A4" w:rsidRDefault="00A148A4" w:rsidP="008D47A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7A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Lietus</w:t>
            </w:r>
            <w:r w:rsidRPr="00A1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47A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notekūdeņu sistēmas vai ražošanas tvertņu tīrīšana</w:t>
            </w:r>
          </w:p>
        </w:tc>
      </w:tr>
      <w:tr w:rsidR="00A148A4" w:rsidRPr="0085420C" w14:paraId="2B345B04" w14:textId="77777777" w:rsidTr="004937F3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1C3D9E9D" w14:textId="003DC12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Specializētās </w:t>
            </w:r>
            <w:proofErr w:type="spellStart"/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vakuumašīnas</w:t>
            </w:r>
            <w:proofErr w:type="spellEnd"/>
            <w:r w:rsidRPr="00A148A4">
              <w:rPr>
                <w:rFonts w:ascii="Times New Roman" w:hAnsi="Times New Roman" w:cs="Times New Roman"/>
                <w:sz w:val="24"/>
                <w:szCs w:val="24"/>
              </w:rPr>
              <w:t xml:space="preserve"> darbs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</w:tcPr>
          <w:p w14:paraId="02FAA310" w14:textId="30BFF47D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644E4EDD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41C11439" w14:textId="77777777" w:rsidTr="004937F3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2E0BD88A" w14:textId="5C27AF16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Tehniķa darbs (filtra elementu nomaiņa u.c. palīgdarbi)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</w:tcPr>
          <w:p w14:paraId="177F02D2" w14:textId="2D299936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7E9C0036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57F22DA2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2731AB3F" w14:textId="7974C87D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Smilšu utilizācija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7834FE0" w14:textId="2052DA6D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48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439C22DC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3D45DA56" w14:textId="77777777" w:rsidTr="008D47AB">
        <w:trPr>
          <w:trHeight w:val="398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</w:tcPr>
          <w:p w14:paraId="35F2C394" w14:textId="26942A87" w:rsidR="00A148A4" w:rsidRPr="00A148A4" w:rsidRDefault="00A148A4" w:rsidP="008D47A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7A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Laboratorijas darbi</w:t>
            </w:r>
          </w:p>
        </w:tc>
      </w:tr>
      <w:tr w:rsidR="00A148A4" w:rsidRPr="0085420C" w14:paraId="5A62A473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71FF7435" w14:textId="103C6869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NPK gruntī (ar gāzu hromatogrāfiju)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019F8D5" w14:textId="02EE00A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2F6BECA8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57A78FF1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154BAB31" w14:textId="787E4780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NPK ūdenī (ar gāzu hromatogrāfiju)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2F3415C" w14:textId="1133124C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191F0FA3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37C608E7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524A0570" w14:textId="1F8A0505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BTEX ūdenī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BF814F" w14:textId="2883E75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59D0BBEB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05B1CB97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43505A4A" w14:textId="0CEF4CB0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BTEX gruntī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A49096" w14:textId="5289DD28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504BC42D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1F0B55F6" w14:textId="77777777" w:rsidTr="008D47AB">
        <w:trPr>
          <w:trHeight w:val="398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</w:tcPr>
          <w:p w14:paraId="2C60F7B3" w14:textId="5EE4576A" w:rsidR="00A148A4" w:rsidRPr="00A148A4" w:rsidRDefault="00A148A4" w:rsidP="008D47A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7A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Urbšanas darbi</w:t>
            </w:r>
          </w:p>
        </w:tc>
      </w:tr>
      <w:tr w:rsidR="00A148A4" w:rsidRPr="0085420C" w14:paraId="1A055BC1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10ED803B" w14:textId="535DB46F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Urbšanas darbi (mehāniskais agregāts)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25D2450" w14:textId="0157FBC0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4A46D279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47D20B9C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5A9DC5E4" w14:textId="4CDFDE84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Urbšanas darbi (rokas urbšanas iekārta)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1BDA04E" w14:textId="68F28591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12BBC06F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1C4B2BE1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60143CBB" w14:textId="43683FC6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Novērošanas aku materiāls (caurules, filtrs, vāks, savienojumi)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36AC2B4" w14:textId="4BF6990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31BC3507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463497B9" w14:textId="77777777" w:rsidTr="008D47AB">
        <w:trPr>
          <w:trHeight w:val="398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</w:tcPr>
          <w:p w14:paraId="65F369F4" w14:textId="3A489CB9" w:rsidR="00A148A4" w:rsidRPr="00A148A4" w:rsidRDefault="00A148A4" w:rsidP="008D47A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7A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Avārijas seku likvidācijas darbi</w:t>
            </w:r>
          </w:p>
        </w:tc>
      </w:tr>
      <w:tr w:rsidR="00A148A4" w:rsidRPr="0085420C" w14:paraId="24F479B5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6AAD6521" w14:textId="11637642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Tehnika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90D836C" w14:textId="097A5FC4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3677974F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2CD6868B" w14:textId="77777777" w:rsidTr="004E38E5">
        <w:trPr>
          <w:trHeight w:val="398"/>
        </w:trPr>
        <w:tc>
          <w:tcPr>
            <w:tcW w:w="5098" w:type="dxa"/>
            <w:shd w:val="clear" w:color="000000" w:fill="FFFFFF"/>
            <w:vAlign w:val="center"/>
          </w:tcPr>
          <w:p w14:paraId="51EDDD95" w14:textId="2FBC87F6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Absorbenti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D5A8C40" w14:textId="4E766BC9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05C3350A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8A4" w:rsidRPr="0085420C" w14:paraId="142F5256" w14:textId="77777777" w:rsidTr="00A148A4">
        <w:trPr>
          <w:trHeight w:val="70"/>
        </w:trPr>
        <w:tc>
          <w:tcPr>
            <w:tcW w:w="5098" w:type="dxa"/>
            <w:shd w:val="clear" w:color="000000" w:fill="FFFFFF"/>
            <w:vAlign w:val="center"/>
          </w:tcPr>
          <w:p w14:paraId="3CF44808" w14:textId="6EB8B4DE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Remontdarbi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27C23F7" w14:textId="629522E8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48A4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14:paraId="6F7C7206" w14:textId="77777777" w:rsidR="00A148A4" w:rsidRPr="00A148A4" w:rsidRDefault="00A148A4" w:rsidP="00A148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5438AEE" w14:textId="58251414" w:rsidR="00164B6F" w:rsidRPr="009F4BBF" w:rsidRDefault="00B660FC" w:rsidP="00A148A4">
      <w:pPr>
        <w:tabs>
          <w:tab w:val="left" w:pos="426"/>
        </w:tabs>
        <w:autoSpaceDE w:val="0"/>
        <w:autoSpaceDN w:val="0"/>
        <w:adjustRightInd w:val="0"/>
        <w:spacing w:before="80" w:after="80" w:line="23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E38E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9F4B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r w:rsidR="009968D5" w:rsidRPr="009F4BBF">
        <w:rPr>
          <w:rFonts w:ascii="Times New Roman" w:hAnsi="Times New Roman" w:cs="Times New Roman"/>
          <w:bCs/>
          <w:sz w:val="24"/>
          <w:szCs w:val="24"/>
          <w:lang w:eastAsia="ar-SA"/>
        </w:rPr>
        <w:t>pakalpojuma atlīdzības</w:t>
      </w:r>
      <w:r w:rsidR="00E5140B" w:rsidRPr="009F4B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5140B" w:rsidRPr="003D4054" w14:paraId="227D3CF5" w14:textId="77777777" w:rsidTr="00057749">
        <w:tc>
          <w:tcPr>
            <w:tcW w:w="9493" w:type="dxa"/>
          </w:tcPr>
          <w:p w14:paraId="77B2D408" w14:textId="362B1463" w:rsidR="00E5140B" w:rsidRPr="003D4054" w:rsidRDefault="005708C9" w:rsidP="00A148A4">
            <w:pPr>
              <w:pStyle w:val="BodyText2"/>
              <w:tabs>
                <w:tab w:val="clear" w:pos="0"/>
              </w:tabs>
              <w:spacing w:line="23" w:lineRule="atLeast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1"/>
    <w:p w14:paraId="2765EB01" w14:textId="04884140" w:rsidR="0034716F" w:rsidRPr="009F4BBF" w:rsidRDefault="0034716F" w:rsidP="00A148A4">
      <w:pPr>
        <w:tabs>
          <w:tab w:val="left" w:pos="426"/>
        </w:tabs>
        <w:autoSpaceDE w:val="0"/>
        <w:autoSpaceDN w:val="0"/>
        <w:adjustRightInd w:val="0"/>
        <w:spacing w:before="80" w:after="80" w:line="23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E38E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9F4BBF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9F4BBF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 piedāvājuma spēkā esamību</w:t>
      </w:r>
      <w:r w:rsidR="009F4BBF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49AC" w:rsidRPr="003D4054" w14:paraId="15FDBB60" w14:textId="77777777" w:rsidTr="00057749">
        <w:tc>
          <w:tcPr>
            <w:tcW w:w="9493" w:type="dxa"/>
          </w:tcPr>
          <w:p w14:paraId="4B083C4A" w14:textId="7C678506" w:rsidR="002349AC" w:rsidRPr="003D4054" w:rsidRDefault="00B660FC" w:rsidP="00A148A4">
            <w:pPr>
              <w:pStyle w:val="BodyText2"/>
              <w:tabs>
                <w:tab w:val="clear" w:pos="0"/>
              </w:tabs>
              <w:spacing w:line="23" w:lineRule="atLeast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kas pasūtītājam jāņem vērā, lai piedāvājums pie norādītās cenas būtu spēkā, izpildes un garantijas termiņa būtu spēkā.  </w:t>
            </w:r>
          </w:p>
        </w:tc>
      </w:tr>
    </w:tbl>
    <w:p w14:paraId="09680278" w14:textId="77777777" w:rsidR="002349AC" w:rsidRPr="003D4054" w:rsidRDefault="002349AC" w:rsidP="00A148A4">
      <w:pPr>
        <w:pStyle w:val="NoSpacing"/>
        <w:tabs>
          <w:tab w:val="left" w:pos="851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EE28" w14:textId="77777777" w:rsidR="00114BC8" w:rsidRDefault="00114BC8" w:rsidP="00F150DE">
      <w:pPr>
        <w:spacing w:after="0" w:line="240" w:lineRule="auto"/>
      </w:pPr>
      <w:r>
        <w:separator/>
      </w:r>
    </w:p>
  </w:endnote>
  <w:endnote w:type="continuationSeparator" w:id="0">
    <w:p w14:paraId="7133A885" w14:textId="77777777" w:rsidR="00114BC8" w:rsidRDefault="00114BC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FA3C" w14:textId="77777777" w:rsidR="00114BC8" w:rsidRDefault="00114BC8" w:rsidP="00F150DE">
      <w:pPr>
        <w:spacing w:after="0" w:line="240" w:lineRule="auto"/>
      </w:pPr>
      <w:r>
        <w:separator/>
      </w:r>
    </w:p>
  </w:footnote>
  <w:footnote w:type="continuationSeparator" w:id="0">
    <w:p w14:paraId="282FBAD6" w14:textId="77777777" w:rsidR="00114BC8" w:rsidRDefault="00114BC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97840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A4CD5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A113C"/>
    <w:rsid w:val="004C4D3B"/>
    <w:rsid w:val="004D1B61"/>
    <w:rsid w:val="004D24A0"/>
    <w:rsid w:val="004D2A89"/>
    <w:rsid w:val="004D50E8"/>
    <w:rsid w:val="004E26AF"/>
    <w:rsid w:val="004E38E5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73D8"/>
    <w:rsid w:val="006E1C5E"/>
    <w:rsid w:val="006E3FD4"/>
    <w:rsid w:val="006E52F7"/>
    <w:rsid w:val="00700C7C"/>
    <w:rsid w:val="0071141E"/>
    <w:rsid w:val="00717593"/>
    <w:rsid w:val="007206B9"/>
    <w:rsid w:val="00722A5E"/>
    <w:rsid w:val="0075064A"/>
    <w:rsid w:val="00751DFB"/>
    <w:rsid w:val="0076728A"/>
    <w:rsid w:val="00776A36"/>
    <w:rsid w:val="00792C23"/>
    <w:rsid w:val="007A0662"/>
    <w:rsid w:val="007A1C82"/>
    <w:rsid w:val="007A7E78"/>
    <w:rsid w:val="007C535E"/>
    <w:rsid w:val="007E65B1"/>
    <w:rsid w:val="007F6BB6"/>
    <w:rsid w:val="00805258"/>
    <w:rsid w:val="008257FE"/>
    <w:rsid w:val="008271BF"/>
    <w:rsid w:val="0083529E"/>
    <w:rsid w:val="00843CFF"/>
    <w:rsid w:val="00844238"/>
    <w:rsid w:val="00847FB8"/>
    <w:rsid w:val="0085420C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0FA2"/>
    <w:rsid w:val="008C426A"/>
    <w:rsid w:val="008D10B7"/>
    <w:rsid w:val="008D47AB"/>
    <w:rsid w:val="008E56B2"/>
    <w:rsid w:val="009213FC"/>
    <w:rsid w:val="009226EE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9F4BBF"/>
    <w:rsid w:val="00A0569C"/>
    <w:rsid w:val="00A067BE"/>
    <w:rsid w:val="00A148A4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13CC"/>
    <w:rsid w:val="00B33100"/>
    <w:rsid w:val="00B37A37"/>
    <w:rsid w:val="00B4060E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06F6"/>
    <w:rsid w:val="00D8076F"/>
    <w:rsid w:val="00D86A6A"/>
    <w:rsid w:val="00D94EFD"/>
    <w:rsid w:val="00DA67DE"/>
    <w:rsid w:val="00DB5D14"/>
    <w:rsid w:val="00DB74C6"/>
    <w:rsid w:val="00DC2FE5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9da6383c-9756-4074-bb8c-4f7bfe5c6960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3232249-b7b2-4d5d-a673-2497437b76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404BF-4445-42A3-A14E-A713C001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2829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19</cp:revision>
  <dcterms:created xsi:type="dcterms:W3CDTF">2020-11-24T10:15:00Z</dcterms:created>
  <dcterms:modified xsi:type="dcterms:W3CDTF">2020-12-09T13:23:00Z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