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957EFE" w:rsidRDefault="005D1BC8" w:rsidP="00957EF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EFE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957EFE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957EFE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C38C2F7" w14:textId="17877FAD" w:rsidR="00D72845" w:rsidRPr="00957EFE" w:rsidRDefault="00D72845" w:rsidP="00957EFE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7715010"/>
      <w:r w:rsidRPr="00957EFE">
        <w:rPr>
          <w:rFonts w:ascii="Times New Roman" w:hAnsi="Times New Roman" w:cs="Times New Roman"/>
          <w:i/>
          <w:iCs/>
          <w:sz w:val="24"/>
          <w:szCs w:val="24"/>
        </w:rPr>
        <w:t>app</w:t>
      </w:r>
      <w:r w:rsidR="00CC3C1A">
        <w:rPr>
          <w:rFonts w:ascii="Times New Roman" w:hAnsi="Times New Roman" w:cs="Times New Roman"/>
          <w:i/>
          <w:iCs/>
          <w:sz w:val="24"/>
          <w:szCs w:val="24"/>
        </w:rPr>
        <w:t>ū</w:t>
      </w:r>
      <w:r w:rsidRPr="00957EF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C3C1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57EFE">
        <w:rPr>
          <w:rFonts w:ascii="Times New Roman" w:hAnsi="Times New Roman" w:cs="Times New Roman"/>
          <w:i/>
          <w:iCs/>
          <w:sz w:val="24"/>
          <w:szCs w:val="24"/>
        </w:rPr>
        <w:t>s iekārtu, kaloriferu, aizskaru apkope</w:t>
      </w:r>
      <w:r w:rsidR="00430963" w:rsidRPr="00957E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57EFE">
        <w:rPr>
          <w:rFonts w:ascii="Times New Roman" w:hAnsi="Times New Roman" w:cs="Times New Roman"/>
          <w:i/>
          <w:iCs/>
          <w:sz w:val="24"/>
          <w:szCs w:val="24"/>
        </w:rPr>
        <w:t xml:space="preserve"> remonts</w:t>
      </w:r>
      <w:r w:rsidR="00430963" w:rsidRPr="00957EFE">
        <w:rPr>
          <w:rFonts w:ascii="Times New Roman" w:hAnsi="Times New Roman" w:cs="Times New Roman"/>
          <w:i/>
          <w:iCs/>
          <w:sz w:val="24"/>
          <w:szCs w:val="24"/>
        </w:rPr>
        <w:t xml:space="preserve"> un pārbaude</w:t>
      </w:r>
    </w:p>
    <w:bookmarkEnd w:id="0"/>
    <w:p w14:paraId="437648C3" w14:textId="0C09BA32" w:rsidR="005D1BC8" w:rsidRPr="00957EFE" w:rsidRDefault="005D1BC8" w:rsidP="00957EF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57EFE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957EFE" w:rsidRDefault="005D1BC8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957EFE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57EFE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57EFE" w:rsidRDefault="005D1BC8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957EFE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57EFE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57EFE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957EFE" w:rsidRDefault="005D1BC8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00C3A852" w:rsidR="008C0786" w:rsidRPr="00957EFE" w:rsidRDefault="005D1BC8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957EFE">
        <w:rPr>
          <w:rFonts w:ascii="Times New Roman" w:hAnsi="Times New Roman"/>
          <w:b/>
          <w:bCs/>
          <w:szCs w:val="24"/>
        </w:rPr>
        <w:t>3.1</w:t>
      </w:r>
      <w:r w:rsidRPr="00957EFE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957EFE">
        <w:rPr>
          <w:rFonts w:ascii="Times New Roman" w:hAnsi="Times New Roman"/>
          <w:color w:val="000000" w:themeColor="text1"/>
          <w:szCs w:val="24"/>
        </w:rPr>
        <w:t> </w:t>
      </w:r>
      <w:r w:rsidR="008C0786" w:rsidRPr="00957EFE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957EFE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957EFE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957EFE">
        <w:rPr>
          <w:rFonts w:ascii="Times New Roman" w:hAnsi="Times New Roman"/>
          <w:color w:val="000000" w:themeColor="text1"/>
          <w:szCs w:val="24"/>
        </w:rPr>
        <w:t>u</w:t>
      </w:r>
      <w:r w:rsidR="00475F3C" w:rsidRPr="00957EFE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957EFE">
        <w:rPr>
          <w:rFonts w:ascii="Times New Roman" w:hAnsi="Times New Roman"/>
          <w:color w:val="000000" w:themeColor="text1"/>
          <w:szCs w:val="24"/>
        </w:rPr>
        <w:t>,</w:t>
      </w:r>
      <w:r w:rsidR="006B2295" w:rsidRPr="00957EFE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957EFE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957EFE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957EFE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957EFE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957EFE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5C503DC1" w:rsidR="00FA41A9" w:rsidRPr="00957EFE" w:rsidRDefault="00475F3C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957EFE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416B3A" w:rsidRPr="00957EFE">
        <w:rPr>
          <w:rFonts w:ascii="Times New Roman" w:hAnsi="Times New Roman"/>
          <w:color w:val="000000" w:themeColor="text1"/>
          <w:szCs w:val="24"/>
        </w:rPr>
        <w:t> </w:t>
      </w:r>
      <w:r w:rsidR="005B40DB" w:rsidRPr="00957EFE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957EFE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957EFE">
        <w:rPr>
          <w:rFonts w:ascii="Times New Roman" w:hAnsi="Times New Roman"/>
          <w:color w:val="000000" w:themeColor="text1"/>
          <w:szCs w:val="24"/>
        </w:rPr>
        <w:t>ta</w:t>
      </w:r>
      <w:r w:rsidR="009C098E" w:rsidRPr="00957EFE">
        <w:rPr>
          <w:rFonts w:ascii="Times New Roman" w:hAnsi="Times New Roman"/>
          <w:color w:val="000000" w:themeColor="text1"/>
          <w:szCs w:val="24"/>
        </w:rPr>
        <w:t>s v</w:t>
      </w:r>
      <w:bookmarkStart w:id="1" w:name="_GoBack"/>
      <w:bookmarkEnd w:id="1"/>
      <w:r w:rsidR="009C098E" w:rsidRPr="00957EFE">
        <w:rPr>
          <w:rFonts w:ascii="Times New Roman" w:hAnsi="Times New Roman"/>
          <w:color w:val="000000" w:themeColor="text1"/>
          <w:szCs w:val="24"/>
        </w:rPr>
        <w:t xml:space="preserve">isas izmaksas, kas saistītas ar </w:t>
      </w:r>
      <w:r w:rsidR="00430963" w:rsidRPr="00957EFE">
        <w:rPr>
          <w:rFonts w:ascii="Times New Roman" w:hAnsi="Times New Roman"/>
          <w:color w:val="000000" w:themeColor="text1"/>
          <w:szCs w:val="24"/>
        </w:rPr>
        <w:t>app</w:t>
      </w:r>
      <w:r w:rsidR="00CC3C1A">
        <w:rPr>
          <w:rFonts w:ascii="Times New Roman" w:hAnsi="Times New Roman"/>
          <w:color w:val="000000" w:themeColor="text1"/>
          <w:szCs w:val="24"/>
        </w:rPr>
        <w:t>ū</w:t>
      </w:r>
      <w:r w:rsidR="00430963" w:rsidRPr="00957EFE">
        <w:rPr>
          <w:rFonts w:ascii="Times New Roman" w:hAnsi="Times New Roman"/>
          <w:color w:val="000000" w:themeColor="text1"/>
          <w:szCs w:val="24"/>
        </w:rPr>
        <w:t>t</w:t>
      </w:r>
      <w:r w:rsidR="00CC3C1A">
        <w:rPr>
          <w:rFonts w:ascii="Times New Roman" w:hAnsi="Times New Roman"/>
          <w:color w:val="000000" w:themeColor="text1"/>
          <w:szCs w:val="24"/>
        </w:rPr>
        <w:t>e</w:t>
      </w:r>
      <w:r w:rsidR="00430963" w:rsidRPr="00957EFE">
        <w:rPr>
          <w:rFonts w:ascii="Times New Roman" w:hAnsi="Times New Roman"/>
          <w:color w:val="000000" w:themeColor="text1"/>
          <w:szCs w:val="24"/>
        </w:rPr>
        <w:t>s iekārtu, kaloriferu, aizskaru apkopi, remontu un pārbaudi</w:t>
      </w:r>
      <w:r w:rsidR="00210FAE" w:rsidRPr="00957EFE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0BE74452" w:rsidR="005D1BC8" w:rsidRPr="00957EFE" w:rsidRDefault="000717BE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91942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ar </w:t>
      </w:r>
      <w:r w:rsidR="004634C6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pakalpojuma specifikāciju</w:t>
      </w:r>
      <w:r w:rsidR="005D1BC8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to par:</w:t>
      </w:r>
    </w:p>
    <w:p w14:paraId="4691CCA2" w14:textId="193D2B3D" w:rsidR="005D1BC8" w:rsidRPr="00957EFE" w:rsidRDefault="00CC3C1A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57E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i</w:t>
      </w:r>
      <w:r w:rsidR="005D1BC8" w:rsidRPr="00957EFE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957EFE" w:rsidRDefault="00CC3C1A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57E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p</w:t>
      </w:r>
      <w:r w:rsidR="005D1BC8" w:rsidRPr="00957EFE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D1BC8" w:rsidRPr="00957EFE" w14:paraId="34A31850" w14:textId="77777777" w:rsidTr="00131D8E">
        <w:trPr>
          <w:jc w:val="center"/>
        </w:trPr>
        <w:tc>
          <w:tcPr>
            <w:tcW w:w="9072" w:type="dxa"/>
          </w:tcPr>
          <w:p w14:paraId="39E0CAD4" w14:textId="6D45B939" w:rsidR="005D1BC8" w:rsidRPr="00957EFE" w:rsidRDefault="005D1BC8" w:rsidP="00957EFE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6067368"/>
            <w:r w:rsidRPr="00957EFE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957EFE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957EFE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957EFE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957EFE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957EFE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957EFE" w:rsidRDefault="00D360ED" w:rsidP="00957EFE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957EFE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2"/>
    <w:p w14:paraId="193E99B0" w14:textId="7C97F751" w:rsidR="00B5769B" w:rsidRPr="00957EFE" w:rsidRDefault="00A44F25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Pr="00957EFE" w:rsidRDefault="00CC3C1A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957E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a</w:t>
      </w:r>
      <w:r w:rsidR="00165AB3" w:rsidRPr="00957EFE">
        <w:rPr>
          <w:rFonts w:ascii="Times New Roman" w:hAnsi="Times New Roman"/>
          <w:szCs w:val="24"/>
        </w:rPr>
        <w:t xml:space="preserve">pliecinām, ka </w:t>
      </w:r>
      <w:r w:rsidR="00210FAE" w:rsidRPr="00957EFE">
        <w:rPr>
          <w:rFonts w:ascii="Times New Roman" w:hAnsi="Times New Roman"/>
          <w:szCs w:val="24"/>
        </w:rPr>
        <w:t>pakalpojumu</w:t>
      </w:r>
      <w:r w:rsidR="00363366" w:rsidRPr="00957EFE">
        <w:rPr>
          <w:rFonts w:ascii="Times New Roman" w:hAnsi="Times New Roman"/>
          <w:szCs w:val="24"/>
        </w:rPr>
        <w:t xml:space="preserve"> </w:t>
      </w:r>
      <w:r w:rsidR="00210FAE" w:rsidRPr="00957EFE">
        <w:rPr>
          <w:rFonts w:ascii="Times New Roman" w:hAnsi="Times New Roman"/>
          <w:szCs w:val="24"/>
        </w:rPr>
        <w:t>sniegsim</w:t>
      </w:r>
      <w:r w:rsidR="00656981" w:rsidRPr="00957EFE">
        <w:rPr>
          <w:rFonts w:ascii="Times New Roman" w:hAnsi="Times New Roman"/>
          <w:szCs w:val="24"/>
        </w:rPr>
        <w:t xml:space="preserve"> </w:t>
      </w:r>
      <w:r w:rsidR="00616B7C" w:rsidRPr="00957EFE">
        <w:rPr>
          <w:rFonts w:ascii="Times New Roman" w:hAnsi="Times New Roman"/>
          <w:szCs w:val="24"/>
        </w:rPr>
        <w:t>patstāvīgi, nepiesaistot apakšuzņēmējus</w:t>
      </w:r>
      <w:r w:rsidR="00165AB3" w:rsidRPr="00957EFE">
        <w:rPr>
          <w:rFonts w:ascii="Times New Roman" w:hAnsi="Times New Roman"/>
          <w:szCs w:val="24"/>
        </w:rPr>
        <w:t>;</w:t>
      </w:r>
    </w:p>
    <w:p w14:paraId="189CAEB7" w14:textId="081A2DA0" w:rsidR="00F150DE" w:rsidRPr="00957EFE" w:rsidRDefault="00CC3C1A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957EF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p</w:t>
      </w:r>
      <w:r w:rsidR="00210FAE" w:rsidRPr="00957EFE">
        <w:rPr>
          <w:rFonts w:ascii="Times New Roman" w:hAnsi="Times New Roman"/>
          <w:szCs w:val="24"/>
        </w:rPr>
        <w:t>akalpojumu</w:t>
      </w:r>
      <w:r w:rsidR="00D360ED" w:rsidRPr="00957EFE">
        <w:rPr>
          <w:rFonts w:ascii="Times New Roman" w:hAnsi="Times New Roman"/>
          <w:szCs w:val="24"/>
        </w:rPr>
        <w:t xml:space="preserve"> </w:t>
      </w:r>
      <w:r w:rsidR="00124654" w:rsidRPr="00957EFE">
        <w:rPr>
          <w:rFonts w:ascii="Times New Roman" w:hAnsi="Times New Roman"/>
          <w:szCs w:val="24"/>
        </w:rPr>
        <w:t>veikšanā</w:t>
      </w:r>
      <w:r w:rsidR="00656981" w:rsidRPr="00957EFE">
        <w:rPr>
          <w:rFonts w:ascii="Times New Roman" w:hAnsi="Times New Roman"/>
          <w:szCs w:val="24"/>
        </w:rPr>
        <w:t xml:space="preserve"> </w:t>
      </w:r>
      <w:r w:rsidR="00E70536" w:rsidRPr="00957EFE">
        <w:rPr>
          <w:rFonts w:ascii="Times New Roman" w:hAnsi="Times New Roman"/>
          <w:szCs w:val="24"/>
        </w:rPr>
        <w:t>ir plānots piesaistīt apakšuzņēmējus (t.</w:t>
      </w:r>
      <w:r w:rsidR="00210FAE" w:rsidRPr="00957EFE">
        <w:rPr>
          <w:rFonts w:ascii="Times New Roman" w:hAnsi="Times New Roman"/>
          <w:szCs w:val="24"/>
        </w:rPr>
        <w:t> </w:t>
      </w:r>
      <w:r w:rsidR="00E70536" w:rsidRPr="00957EFE">
        <w:rPr>
          <w:rFonts w:ascii="Times New Roman" w:hAnsi="Times New Roman"/>
          <w:szCs w:val="24"/>
        </w:rPr>
        <w:t>sk.</w:t>
      </w:r>
      <w:r w:rsidR="00D51537" w:rsidRPr="00957EFE">
        <w:rPr>
          <w:rFonts w:ascii="Times New Roman" w:hAnsi="Times New Roman"/>
          <w:szCs w:val="24"/>
        </w:rPr>
        <w:t>,</w:t>
      </w:r>
      <w:r w:rsidR="00E70536" w:rsidRPr="00957EFE">
        <w:rPr>
          <w:rFonts w:ascii="Times New Roman" w:hAnsi="Times New Roman"/>
          <w:szCs w:val="24"/>
        </w:rPr>
        <w:t xml:space="preserve"> </w:t>
      </w:r>
      <w:proofErr w:type="spellStart"/>
      <w:r w:rsidR="00E70536" w:rsidRPr="00957EFE">
        <w:rPr>
          <w:rFonts w:ascii="Times New Roman" w:hAnsi="Times New Roman"/>
          <w:szCs w:val="24"/>
        </w:rPr>
        <w:t>pašnodarbinātas</w:t>
      </w:r>
      <w:proofErr w:type="spellEnd"/>
      <w:r w:rsidR="00E70536" w:rsidRPr="00957EFE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957EFE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957EFE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957EFE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576B781" w14:textId="489A4A34" w:rsidR="003625A8" w:rsidRPr="00957EFE" w:rsidRDefault="005708C9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30963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3625A8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Pakalpojumu izcenojums.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5708C9" w:rsidRPr="00957EFE" w14:paraId="5A47E46A" w14:textId="77777777" w:rsidTr="000F45DD">
        <w:trPr>
          <w:trHeight w:val="437"/>
        </w:trPr>
        <w:tc>
          <w:tcPr>
            <w:tcW w:w="6804" w:type="dxa"/>
            <w:shd w:val="clear" w:color="auto" w:fill="DEEAF6" w:themeFill="accent5" w:themeFillTint="33"/>
            <w:vAlign w:val="center"/>
          </w:tcPr>
          <w:p w14:paraId="1A3B386C" w14:textId="441A4A9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3" w:name="_Hlk56067148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Iekārtu remonta pakalpojumi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CF0505D" w14:textId="2CDB25DB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darbu cilvēkstundas cena</w:t>
            </w:r>
            <w:r w:rsidR="000F45DD"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bookmarkEnd w:id="3"/>
      <w:tr w:rsidR="005708C9" w:rsidRPr="00957EFE" w14:paraId="63AD02D0" w14:textId="77777777" w:rsidTr="005708C9">
        <w:tc>
          <w:tcPr>
            <w:tcW w:w="6804" w:type="dxa"/>
          </w:tcPr>
          <w:p w14:paraId="13128E40" w14:textId="22A40E47" w:rsidR="005708C9" w:rsidRPr="00957EFE" w:rsidRDefault="003625A8" w:rsidP="00957EFE">
            <w:pPr>
              <w:tabs>
                <w:tab w:val="left" w:pos="396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Vispārējā kārtīb</w:t>
            </w:r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: d</w:t>
            </w:r>
            <w:r w:rsidR="005708C9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arba brigādes stundas izmaksa (ieskaitot transporta izmaksas) remonta darbiem </w:t>
            </w:r>
            <w:r w:rsidR="005708C9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laikā konstatēto bojājumu novēršanā</w:t>
            </w:r>
            <w:r w:rsidR="005708C9" w:rsidRPr="0095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49E7FBA0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71DBA217" w14:textId="77777777" w:rsidTr="005708C9">
        <w:trPr>
          <w:trHeight w:val="251"/>
        </w:trPr>
        <w:tc>
          <w:tcPr>
            <w:tcW w:w="6804" w:type="dxa"/>
          </w:tcPr>
          <w:p w14:paraId="7F51CFA8" w14:textId="2EDA9948" w:rsidR="005708C9" w:rsidRPr="00957EFE" w:rsidRDefault="00430963" w:rsidP="00957EFE">
            <w:pPr>
              <w:tabs>
                <w:tab w:val="left" w:pos="396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Vispārējā kārtībā: d</w:t>
            </w:r>
            <w:r w:rsidR="005708C9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arba brigādes stundas izmaksa (ieskaitot transporta izmaksas) </w:t>
            </w:r>
            <w:r w:rsidR="005708C9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pieteiktā remonta gadījumā</w:t>
            </w:r>
            <w:r w:rsidR="00401922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vienas darba dienas laikā.</w:t>
            </w:r>
          </w:p>
        </w:tc>
        <w:tc>
          <w:tcPr>
            <w:tcW w:w="2410" w:type="dxa"/>
            <w:vAlign w:val="center"/>
          </w:tcPr>
          <w:p w14:paraId="0098680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4E6AEC20" w14:textId="77777777" w:rsidTr="005708C9">
        <w:trPr>
          <w:trHeight w:val="251"/>
        </w:trPr>
        <w:tc>
          <w:tcPr>
            <w:tcW w:w="6804" w:type="dxa"/>
          </w:tcPr>
          <w:p w14:paraId="0BE1D55A" w14:textId="34C27790" w:rsidR="005708C9" w:rsidRPr="00957EFE" w:rsidRDefault="003625A8" w:rsidP="00957EFE">
            <w:pPr>
              <w:tabs>
                <w:tab w:val="left" w:pos="396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Avārijas kārtībā: </w:t>
            </w:r>
            <w:r w:rsidR="005708C9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Darba brigādes stundas izmaksa (ieskaitot transporta izmaksas) </w:t>
            </w:r>
            <w:r w:rsidR="005708C9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remonta darbiem avārijas novēršanā</w:t>
            </w:r>
            <w:r w:rsidR="00401922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līdz trīs stundām</w:t>
            </w:r>
            <w:r w:rsidR="005708C9" w:rsidRPr="0095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71C284BB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47832760" w14:textId="77777777" w:rsidTr="00D91A64">
        <w:tc>
          <w:tcPr>
            <w:tcW w:w="6804" w:type="dxa"/>
            <w:shd w:val="clear" w:color="auto" w:fill="DEEAF6" w:themeFill="accent5" w:themeFillTint="33"/>
            <w:vAlign w:val="center"/>
          </w:tcPr>
          <w:p w14:paraId="5782F7EA" w14:textId="0EF8AA85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4" w:name="_Hlk56068608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Iekārtu apkopes pakalpojumi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566DA5EC" w14:textId="252FAA59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cena </w:t>
            </w:r>
            <w:proofErr w:type="spellStart"/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bookmarkEnd w:id="4"/>
      <w:tr w:rsidR="005708C9" w:rsidRPr="00957EFE" w14:paraId="4DC7B23B" w14:textId="77777777" w:rsidTr="005708C9">
        <w:trPr>
          <w:trHeight w:val="251"/>
        </w:trPr>
        <w:tc>
          <w:tcPr>
            <w:tcW w:w="6804" w:type="dxa"/>
          </w:tcPr>
          <w:p w14:paraId="138B8207" w14:textId="55FD88B4" w:rsidR="005708C9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Visu i</w:t>
            </w:r>
            <w:r w:rsidR="005708C9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ekārtu </w:t>
            </w:r>
            <w:r w:rsidR="005708C9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apkopes darbu izmaksas </w:t>
            </w:r>
            <w:r w:rsidR="005708C9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="005708C9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reizē.</w:t>
            </w:r>
          </w:p>
        </w:tc>
        <w:tc>
          <w:tcPr>
            <w:tcW w:w="2410" w:type="dxa"/>
            <w:vAlign w:val="center"/>
          </w:tcPr>
          <w:p w14:paraId="6A07F17A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9E" w:rsidRPr="00957EFE" w14:paraId="3FADC315" w14:textId="77777777" w:rsidTr="005708C9">
        <w:trPr>
          <w:trHeight w:val="251"/>
        </w:trPr>
        <w:tc>
          <w:tcPr>
            <w:tcW w:w="6804" w:type="dxa"/>
          </w:tcPr>
          <w:p w14:paraId="07A164BA" w14:textId="0D5F3D7A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</w:t>
            </w:r>
            <w:r w:rsidR="00430963"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gaisa aizkara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 (saskaņā ar </w:t>
            </w:r>
            <w:proofErr w:type="spellStart"/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. specifikācijas </w:t>
            </w:r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 daļu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vAlign w:val="center"/>
          </w:tcPr>
          <w:p w14:paraId="55A1EA7E" w14:textId="77777777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9E" w:rsidRPr="00957EFE" w14:paraId="4AD78921" w14:textId="77777777" w:rsidTr="005708C9">
        <w:trPr>
          <w:trHeight w:val="251"/>
        </w:trPr>
        <w:tc>
          <w:tcPr>
            <w:tcW w:w="6804" w:type="dxa"/>
          </w:tcPr>
          <w:p w14:paraId="5939C843" w14:textId="19C618CF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gaisa apputes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 (</w:t>
            </w:r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proofErr w:type="spellStart"/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. specifikācijas 3. daļu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vAlign w:val="center"/>
          </w:tcPr>
          <w:p w14:paraId="18C4A415" w14:textId="77777777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9E" w:rsidRPr="00957EFE" w14:paraId="04DE47CE" w14:textId="77777777" w:rsidTr="005708C9">
        <w:trPr>
          <w:trHeight w:val="251"/>
        </w:trPr>
        <w:tc>
          <w:tcPr>
            <w:tcW w:w="6804" w:type="dxa"/>
          </w:tcPr>
          <w:p w14:paraId="33D34902" w14:textId="5FB28C79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kalorifera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 (</w:t>
            </w:r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proofErr w:type="spellStart"/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. specifikācijas 3. daļu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vAlign w:val="center"/>
          </w:tcPr>
          <w:p w14:paraId="4BA49B15" w14:textId="77777777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9E" w:rsidRPr="00957EFE" w14:paraId="42CD776D" w14:textId="77777777" w:rsidTr="005708C9">
        <w:trPr>
          <w:trHeight w:val="251"/>
        </w:trPr>
        <w:tc>
          <w:tcPr>
            <w:tcW w:w="6804" w:type="dxa"/>
          </w:tcPr>
          <w:p w14:paraId="4332A1E6" w14:textId="5FC3DE8A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griestu ventilatoru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 (</w:t>
            </w:r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proofErr w:type="spellStart"/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="00430963" w:rsidRPr="00957EFE">
              <w:rPr>
                <w:rFonts w:ascii="Times New Roman" w:hAnsi="Times New Roman" w:cs="Times New Roman"/>
                <w:sz w:val="24"/>
                <w:szCs w:val="24"/>
              </w:rPr>
              <w:t>. specifikācijas 3. daļu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vAlign w:val="center"/>
          </w:tcPr>
          <w:p w14:paraId="0879C6D4" w14:textId="77777777" w:rsidR="0083529E" w:rsidRPr="00957EFE" w:rsidRDefault="0083529E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63" w:rsidRPr="00957EFE" w14:paraId="46902FED" w14:textId="77777777" w:rsidTr="00F41CAD">
        <w:trPr>
          <w:trHeight w:val="251"/>
        </w:trPr>
        <w:tc>
          <w:tcPr>
            <w:tcW w:w="6804" w:type="dxa"/>
            <w:shd w:val="clear" w:color="auto" w:fill="DEEAF6" w:themeFill="accent5" w:themeFillTint="33"/>
            <w:vAlign w:val="center"/>
          </w:tcPr>
          <w:p w14:paraId="24FC6A41" w14:textId="775B9AD1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Iekārtu pārbaudes pakalpojumi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02851556" w14:textId="377D35E6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cena </w:t>
            </w:r>
            <w:proofErr w:type="spellStart"/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tr w:rsidR="00430963" w:rsidRPr="00957EFE" w14:paraId="04BE4D5B" w14:textId="77777777" w:rsidTr="001F0ADB">
        <w:trPr>
          <w:trHeight w:val="251"/>
        </w:trPr>
        <w:tc>
          <w:tcPr>
            <w:tcW w:w="6804" w:type="dxa"/>
            <w:shd w:val="clear" w:color="auto" w:fill="auto"/>
          </w:tcPr>
          <w:p w14:paraId="7CD0A717" w14:textId="07D1970C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Visu iekārtu 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darbības specializēta pārbaude atbilstoši Ministru kabineta 2016. gada 19. aprīļa noteikumiem „Ugunsdrošības noteikumi”, sastādot minēto noteikumu 8. pielikuma apkures ierīces, iekārtas, dūmvadu un dabiskās ventilācijas kanālu tehniskā stāvokļa pārbaudes aktu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71ADC" w14:textId="77777777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63" w:rsidRPr="00957EFE" w14:paraId="43A361D9" w14:textId="77777777" w:rsidTr="00F41CAD">
        <w:trPr>
          <w:trHeight w:val="251"/>
        </w:trPr>
        <w:tc>
          <w:tcPr>
            <w:tcW w:w="6804" w:type="dxa"/>
            <w:shd w:val="clear" w:color="auto" w:fill="DEEAF6" w:themeFill="accent5" w:themeFillTint="33"/>
            <w:vAlign w:val="center"/>
          </w:tcPr>
          <w:p w14:paraId="3F533964" w14:textId="1F75B038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Papildu pakalpojumi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6CD78E2" w14:textId="26D40192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cena </w:t>
            </w:r>
            <w:proofErr w:type="spellStart"/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tr w:rsidR="00430963" w:rsidRPr="00957EFE" w14:paraId="5F40C7B3" w14:textId="77777777" w:rsidTr="005708C9">
        <w:trPr>
          <w:trHeight w:val="251"/>
        </w:trPr>
        <w:tc>
          <w:tcPr>
            <w:tcW w:w="6804" w:type="dxa"/>
          </w:tcPr>
          <w:p w14:paraId="6DEDA376" w14:textId="5CD0CD38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gaisa aizkara 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kalibrēšanu.</w:t>
            </w:r>
          </w:p>
        </w:tc>
        <w:tc>
          <w:tcPr>
            <w:tcW w:w="2410" w:type="dxa"/>
            <w:vAlign w:val="center"/>
          </w:tcPr>
          <w:p w14:paraId="50A4D9B5" w14:textId="77777777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63" w:rsidRPr="00957EFE" w14:paraId="0BB331EB" w14:textId="77777777" w:rsidTr="005708C9">
        <w:trPr>
          <w:trHeight w:val="251"/>
        </w:trPr>
        <w:tc>
          <w:tcPr>
            <w:tcW w:w="6804" w:type="dxa"/>
          </w:tcPr>
          <w:p w14:paraId="5339FACA" w14:textId="411279D6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gaisa apputes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kalibrēšanu.</w:t>
            </w:r>
          </w:p>
        </w:tc>
        <w:tc>
          <w:tcPr>
            <w:tcW w:w="2410" w:type="dxa"/>
            <w:vAlign w:val="center"/>
          </w:tcPr>
          <w:p w14:paraId="7256EC46" w14:textId="77777777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63" w:rsidRPr="00957EFE" w14:paraId="6BD26758" w14:textId="77777777" w:rsidTr="005708C9">
        <w:trPr>
          <w:trHeight w:val="251"/>
        </w:trPr>
        <w:tc>
          <w:tcPr>
            <w:tcW w:w="6804" w:type="dxa"/>
          </w:tcPr>
          <w:p w14:paraId="234A5D1B" w14:textId="44FF2EF4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kalorifera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kalibrēšanu.</w:t>
            </w:r>
          </w:p>
        </w:tc>
        <w:tc>
          <w:tcPr>
            <w:tcW w:w="2410" w:type="dxa"/>
            <w:vAlign w:val="center"/>
          </w:tcPr>
          <w:p w14:paraId="76E289EE" w14:textId="77777777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63" w:rsidRPr="00957EFE" w14:paraId="6B21F345" w14:textId="77777777" w:rsidTr="005708C9">
        <w:trPr>
          <w:trHeight w:val="251"/>
        </w:trPr>
        <w:tc>
          <w:tcPr>
            <w:tcW w:w="6804" w:type="dxa"/>
          </w:tcPr>
          <w:p w14:paraId="6B905349" w14:textId="55C17FB2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griestu ventilatoru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kalibrēšanu.</w:t>
            </w:r>
          </w:p>
        </w:tc>
        <w:tc>
          <w:tcPr>
            <w:tcW w:w="2410" w:type="dxa"/>
            <w:vAlign w:val="center"/>
          </w:tcPr>
          <w:p w14:paraId="1AD7FD6D" w14:textId="77777777" w:rsidR="00430963" w:rsidRPr="00957EFE" w:rsidRDefault="00430963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64C7D" w14:textId="1FFB5522" w:rsidR="005708C9" w:rsidRPr="00957EFE" w:rsidRDefault="005708C9" w:rsidP="00957EFE">
      <w:pPr>
        <w:tabs>
          <w:tab w:val="left" w:pos="3960"/>
        </w:tabs>
        <w:spacing w:after="0" w:line="30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7EFE">
        <w:rPr>
          <w:rFonts w:ascii="Times New Roman" w:hAnsi="Times New Roman" w:cs="Times New Roman"/>
          <w:i/>
          <w:iCs/>
          <w:sz w:val="20"/>
          <w:szCs w:val="20"/>
        </w:rPr>
        <w:t>*Remonta</w:t>
      </w:r>
      <w:r w:rsidR="003625A8" w:rsidRPr="00957EFE">
        <w:rPr>
          <w:rFonts w:ascii="Times New Roman" w:hAnsi="Times New Roman" w:cs="Times New Roman"/>
          <w:i/>
          <w:iCs/>
          <w:sz w:val="20"/>
          <w:szCs w:val="20"/>
        </w:rPr>
        <w:t>/apkopes/kalibrēšanas</w:t>
      </w:r>
      <w:r w:rsidRPr="00957EFE">
        <w:rPr>
          <w:rFonts w:ascii="Times New Roman" w:hAnsi="Times New Roman" w:cs="Times New Roman"/>
          <w:i/>
          <w:iCs/>
          <w:sz w:val="20"/>
          <w:szCs w:val="20"/>
        </w:rPr>
        <w:t xml:space="preserve"> darbu cilvēkstundas cenā tiek iekļautas darba brigādes 1 (vienas) stundas remonta darbu izmaksas (t.sk., transporta izmaksas), izsaukuma/ pieteikuma maksa.</w:t>
      </w:r>
    </w:p>
    <w:p w14:paraId="7EED4DD9" w14:textId="70A544A6" w:rsidR="00D72845" w:rsidRPr="00957EFE" w:rsidRDefault="005708C9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D72845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Pretendenta rezerves detaļu piegādātāju sadarbības partneri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3625A8" w:rsidRPr="00957EFE" w14:paraId="1E1D8AE0" w14:textId="77777777" w:rsidTr="00131D8E">
        <w:tc>
          <w:tcPr>
            <w:tcW w:w="9207" w:type="dxa"/>
          </w:tcPr>
          <w:p w14:paraId="73ABBA78" w14:textId="39E1A65D" w:rsidR="003625A8" w:rsidRPr="00957EFE" w:rsidRDefault="003625A8" w:rsidP="00957EF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norādiet pretendenta sadarbības partnerus, ar kuriem ir noslēgti līgumi par iekārtu rezerves detaļu piegādāšanu pretendentam</w:t>
            </w:r>
            <w:r w:rsidR="0095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vai partnerus, ar kuriem pretendents sadarbojas </w:t>
            </w:r>
            <w:r w:rsidR="00957EFE" w:rsidRPr="0095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iekārtu rezerves detaļu</w:t>
            </w:r>
            <w:r w:rsidR="0095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iegādāšanā.</w:t>
            </w:r>
          </w:p>
        </w:tc>
      </w:tr>
    </w:tbl>
    <w:p w14:paraId="28AD5240" w14:textId="4BED150E" w:rsidR="005708C9" w:rsidRPr="00957EFE" w:rsidRDefault="005708C9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Pieredze līdzīgu pakalpojumu veikšanā (norādiet pieredzi vismaz 3, bet ne vairāk kā 5 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līdzīgu 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līgumu izpildē):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5"/>
        <w:gridCol w:w="5954"/>
      </w:tblGrid>
      <w:tr w:rsidR="000F45DD" w:rsidRPr="00957EFE" w14:paraId="3B6D79C2" w14:textId="77777777" w:rsidTr="00A03DBD">
        <w:tc>
          <w:tcPr>
            <w:tcW w:w="3289" w:type="dxa"/>
            <w:gridSpan w:val="2"/>
            <w:shd w:val="clear" w:color="auto" w:fill="DEEAF6"/>
          </w:tcPr>
          <w:p w14:paraId="56FF1CAB" w14:textId="77777777" w:rsidR="000F45DD" w:rsidRPr="00957EFE" w:rsidRDefault="000F45DD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5954" w:type="dxa"/>
            <w:shd w:val="clear" w:color="auto" w:fill="DEEAF6"/>
            <w:vAlign w:val="center"/>
          </w:tcPr>
          <w:p w14:paraId="13FBBC24" w14:textId="054DBFBF" w:rsidR="000F45DD" w:rsidRPr="00957EFE" w:rsidRDefault="000F45DD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Pakalpojuma īsais raksturojums</w:t>
            </w:r>
          </w:p>
        </w:tc>
      </w:tr>
      <w:tr w:rsidR="005708C9" w:rsidRPr="00957EFE" w14:paraId="24A69E21" w14:textId="77777777" w:rsidTr="000F45DD">
        <w:tc>
          <w:tcPr>
            <w:tcW w:w="454" w:type="dxa"/>
          </w:tcPr>
          <w:p w14:paraId="71E4E8A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5BE656C" w14:textId="08BEEB3A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45CBC2" w14:textId="53E8101C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375FB1E2" w14:textId="77777777" w:rsidTr="000F45DD">
        <w:tc>
          <w:tcPr>
            <w:tcW w:w="454" w:type="dxa"/>
          </w:tcPr>
          <w:p w14:paraId="270D2ADC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F320FB7" w14:textId="43307A09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91B87E" w14:textId="1F52B683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3D05EDE4" w14:textId="77777777" w:rsidTr="000F45DD">
        <w:tc>
          <w:tcPr>
            <w:tcW w:w="454" w:type="dxa"/>
          </w:tcPr>
          <w:p w14:paraId="6D380B8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A1F57D8" w14:textId="1A15EA0E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79C1A0" w14:textId="35C678D2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2DF0F4D9" w14:textId="77777777" w:rsidTr="000F45DD">
        <w:tc>
          <w:tcPr>
            <w:tcW w:w="454" w:type="dxa"/>
          </w:tcPr>
          <w:p w14:paraId="0136E3FB" w14:textId="1FAD70D2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1D4C7CF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022FCF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14BB52ED" w14:textId="77777777" w:rsidTr="000F45DD">
        <w:tc>
          <w:tcPr>
            <w:tcW w:w="454" w:type="dxa"/>
          </w:tcPr>
          <w:p w14:paraId="03E1A34E" w14:textId="03B9BCC6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14:paraId="024298F1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FF2127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FE385" w14:textId="22AA7315" w:rsidR="009C1A77" w:rsidRPr="00957EFE" w:rsidRDefault="009C1A77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438AEE" w14:textId="4E0E1747" w:rsidR="00164B6F" w:rsidRPr="00957EFE" w:rsidRDefault="00E5140B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968D5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pakalpojuma atlīdzības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5140B" w:rsidRPr="00957EFE" w14:paraId="227D3CF5" w14:textId="77777777" w:rsidTr="00131D8E">
        <w:tc>
          <w:tcPr>
            <w:tcW w:w="9207" w:type="dxa"/>
          </w:tcPr>
          <w:p w14:paraId="77B2D408" w14:textId="362B1463" w:rsidR="00E5140B" w:rsidRPr="00957EFE" w:rsidRDefault="005708C9" w:rsidP="00957EFE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5" w:name="_Hlk51085782"/>
            <w:r w:rsidRPr="00957EFE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5"/>
    <w:p w14:paraId="2765EB01" w14:textId="59E9F28A" w:rsidR="0034716F" w:rsidRPr="00957EFE" w:rsidRDefault="0034716F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, kas nodrošina piedāvājuma spēkā esamību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2349AC" w:rsidRPr="00957EFE" w14:paraId="15FDBB60" w14:textId="77777777" w:rsidTr="00131D8E">
        <w:tc>
          <w:tcPr>
            <w:tcW w:w="9207" w:type="dxa"/>
          </w:tcPr>
          <w:p w14:paraId="4B083C4A" w14:textId="5319139E" w:rsidR="002349AC" w:rsidRPr="00957EFE" w:rsidRDefault="002349AC" w:rsidP="00957EFE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957EFE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957EFE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957EFE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957EFE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09680278" w14:textId="77777777" w:rsidR="002349AC" w:rsidRPr="00957EFE" w:rsidRDefault="002349AC" w:rsidP="00957EFE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957EFE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31D8E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25A8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01922"/>
    <w:rsid w:val="00412A56"/>
    <w:rsid w:val="004158A3"/>
    <w:rsid w:val="00416B3A"/>
    <w:rsid w:val="00430963"/>
    <w:rsid w:val="00431787"/>
    <w:rsid w:val="004349C4"/>
    <w:rsid w:val="00437793"/>
    <w:rsid w:val="0044070F"/>
    <w:rsid w:val="00445B40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45DCC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5064A"/>
    <w:rsid w:val="0076728A"/>
    <w:rsid w:val="00776A36"/>
    <w:rsid w:val="00792C23"/>
    <w:rsid w:val="00797D3B"/>
    <w:rsid w:val="007A1C82"/>
    <w:rsid w:val="007A7E78"/>
    <w:rsid w:val="007C535E"/>
    <w:rsid w:val="007E65B1"/>
    <w:rsid w:val="00805258"/>
    <w:rsid w:val="008257FE"/>
    <w:rsid w:val="008271BF"/>
    <w:rsid w:val="0083529E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57EFE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C3C1A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72845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da6383c-9756-4074-bb8c-4f7bfe5c6960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5C399E-82EC-4D71-BCF3-3209687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</cp:revision>
  <dcterms:created xsi:type="dcterms:W3CDTF">2020-10-26T13:13:00Z</dcterms:created>
  <dcterms:modified xsi:type="dcterms:W3CDTF">2020-12-08T09:01:00Z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