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0"/>
        <w:gridCol w:w="7770"/>
      </w:tblGrid>
      <w:tr w:rsidR="005F5D76" w:rsidRPr="005F5D76" w14:paraId="51B80D08"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1702FE20"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1. 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68DBC240"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Lai nodrošinātu drošu tramvaju kustību sliežu pārmiju zonā, nepieciešams paredzēt </w:t>
            </w:r>
            <w:r w:rsidRPr="005F5D76">
              <w:rPr>
                <w:rFonts w:ascii="Times New Roman" w:eastAsia="Times New Roman" w:hAnsi="Times New Roman" w:cs="Times New Roman"/>
                <w:i/>
                <w:iCs/>
                <w:sz w:val="24"/>
                <w:szCs w:val="24"/>
                <w:lang w:eastAsia="lv-LV"/>
              </w:rPr>
              <w:t>Safety integrity level</w:t>
            </w:r>
            <w:r w:rsidRPr="005F5D76">
              <w:rPr>
                <w:rFonts w:ascii="Times New Roman" w:eastAsia="Times New Roman" w:hAnsi="Times New Roman" w:cs="Times New Roman"/>
                <w:sz w:val="24"/>
                <w:szCs w:val="24"/>
                <w:lang w:eastAsia="lv-LV"/>
              </w:rPr>
              <w:t> 3.drošības līmenim (SIL 3) atbilstošas pārmiju vadības sistēmas ierīkošanu. </w:t>
            </w:r>
          </w:p>
        </w:tc>
      </w:tr>
      <w:tr w:rsidR="005F5D76" w:rsidRPr="005F5D76" w14:paraId="280E97A2"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1CD8C872"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2. 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438E7D67"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Elektrohidrauliskā pārmiju pārslēgiekārta.</w:t>
            </w:r>
            <w:r w:rsidRPr="005F5D76">
              <w:rPr>
                <w:rFonts w:ascii="Times New Roman" w:eastAsia="Times New Roman" w:hAnsi="Times New Roman" w:cs="Times New Roman"/>
                <w:sz w:val="24"/>
                <w:szCs w:val="24"/>
                <w:lang w:eastAsia="lv-LV"/>
              </w:rPr>
              <w:t> </w:t>
            </w:r>
          </w:p>
          <w:p w14:paraId="4C6DB6E7"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Vadāmo pārmiju piedziņai ir jābūt jau iemontētai pārmijā un komplektā ar vadības moduli. Lai nodrošinātu pārmiju drošumu pret izkustēšanos zem transporta līdzekļiem, transporta līdzekļu noteikšanai jābūt pasīvai, sliežu ceļā pirms pārmijas priekšgala izbūvējot kontūru, kas nosaka pārbraucoša tramvaja šuntu. Zonā aiz pārslēgiekārtas un krusteņa jāuzstāda “masas noteikšanas / riteņu šunta” bloķēšanas kontūrs. Piedziņai jānodrošina abu asmeņu (atvērta un piespiestā) bloķēšana, izmantojot mehāniskas ligzdas. Bloķēšanai ir jābūt dublētai, izmantojot sekundāru mehānisku sistēmu. Piedziņai jābūt uzgriežamai, nebojājot elementus. Regulāra piedziņu uzgriešana nav jāparedz. Piedziņai jāstrādā ar slēgšanas nominālo spēku 6kN un tam arī vēl ir jābūt regulējamām. Asmeņu galastāvokļu noturēšanas nominālajam spēkam ir jābūt 8kN un tam arī vēl ir jābūt regulējamam. Piedziņas korpusam ir jābūt izgatavotam no nerūsējošā tērauda, tam ir jābūt ar zemu profilu (ne augstāku kā 240 mm), tam ir jāatbilst hermētiskuma klasei IP67. Piedziņai ir jābūt elektriski izolētai no sliedēm. Visiem savienotājelementiem starp piedziņu un asmeņiem ir jābūt izgatavotiem no nerūsējošā tērauda. Piedziņai ir jābūt sertificētai atbilstoši drošības sertifikācijas līmenim SIL3. Piedziņai ir jāstrādā ar barošana strāvu no kontakttīkla. Vadības un signalizācijas sistēmai ir jādarbojas ar 12/24V zemspriegumu. Korpusā iebūvētajai piedziņai ir jābūt iemontētai zemes kastē, kurai arī ir jābūt elektriski izolētai no sliedēm. Zemes kastei ir jābūt izgatavotai no St37-2, ar divdaļīgu vāku, tai ir jāparedz pieslēgvieta lietus kanalizācijai un ir jānodrošina arī ūdens novadīšana no rievsliežu rievām uz lietus kanalizāciju. Zemes kastei, kā arī visu sliežu ceļa segumā iebūvējamo vadības un apsildes sistēmu montāžas kastēm, ir jāatbilst tiltu klasei – bridge class 60 (resp. jānodrošina transporta līdzekļu pārbraukšanas ar svaru 12,5 tonnas uz asi). Pārmijas piedziņai ir jābūt ar manuālās pārslēgšanas funkciju, kas nodrošina piedziņas pārslēgšanu ar 1 m garas sviras palīdzību ar spēku, kas nepārsniedz 400 N. Pārmiju max. atvērums 100mm. </w:t>
            </w:r>
          </w:p>
        </w:tc>
      </w:tr>
      <w:tr w:rsidR="005F5D76" w:rsidRPr="005F5D76" w14:paraId="2172A84F"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52DBE1EA"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3. 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5876B376"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Manuālais pārmiju pārslēgiekārta.</w:t>
            </w:r>
            <w:r w:rsidRPr="005F5D76">
              <w:rPr>
                <w:rFonts w:ascii="Times New Roman" w:eastAsia="Times New Roman" w:hAnsi="Times New Roman" w:cs="Times New Roman"/>
                <w:sz w:val="24"/>
                <w:szCs w:val="24"/>
                <w:lang w:eastAsia="lv-LV"/>
              </w:rPr>
              <w:t> </w:t>
            </w:r>
          </w:p>
          <w:p w14:paraId="5CCF8D75"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Pārmiju iestatīšanas mehānisms kvalificējas pielietojumam kā pārslēdzēja un atsperu pārmija, kam jābūt aprīkotai ar zemes kasti, sviras kārbu, piedziņas stieņiem, atsperēm un hidraulisko slāpētāja ierīci, kas ir noregulējama abiem kustības virzieniem. Zemes kastei ir jābūt izgatavotai no St37-2, ar vāku, tai ir jāparedz pieslēgvieta lietus kanalizācijai un ir jānodrošina arī ūdens novadīšana no rievsliežu rievām uz lietus kanalizāciju. Pārmiju max. atvērums 60mm, noturošais spēks gala pozīcijā līdz 2000N, augstums ne lielāks par 190 mm. Pārslēgšanu nodrošina ar 1 m garas sviras palīdzību ar spēku, kas nepārsniedz 400 N. Zemes kastei, kā arī citām sliežu ceļa segumā iebūvējamām montāžas kastēm, ir jāatbilst tiltu klasei – bridge class 60 (resp. jānodrošina transporta līdzekļu pārbraukšanas ar svaru 12,5 tonnas uz asi). </w:t>
            </w:r>
          </w:p>
        </w:tc>
      </w:tr>
      <w:tr w:rsidR="005F5D76" w:rsidRPr="005F5D76" w14:paraId="5D171460"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46AF9A44"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4. 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59BE0C0D"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Vadības sistēma.</w:t>
            </w:r>
            <w:r w:rsidRPr="005F5D76">
              <w:rPr>
                <w:rFonts w:ascii="Times New Roman" w:eastAsia="Times New Roman" w:hAnsi="Times New Roman" w:cs="Times New Roman"/>
                <w:sz w:val="24"/>
                <w:szCs w:val="24"/>
                <w:lang w:eastAsia="lv-LV"/>
              </w:rPr>
              <w:t> </w:t>
            </w:r>
          </w:p>
          <w:p w14:paraId="6AE13765"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 xml:space="preserve">Vadības moduļiem ir jābūt minimāli vismaz SIL3 sertificētiem. Vadības sistēmai ir jānodrošina savstarpēja datu apmaiņa / komunikācija ar tramvajos uzstādīto sakaru sistēmu. Vadības sistēmas komplektācijā jāiekļauj sliežu ceļā un vadības skapī iebūvējamie elementi sistēmu savstarpējai komunikācijai. Vadības sistēmai ir jāspēj analizēt un reaģēt pārmijas pārslēgšanas veidā uz vagonu pārraidītajiem </w:t>
            </w:r>
            <w:r w:rsidRPr="005F5D76">
              <w:rPr>
                <w:rFonts w:ascii="Times New Roman" w:eastAsia="Times New Roman" w:hAnsi="Times New Roman" w:cs="Times New Roman"/>
                <w:sz w:val="24"/>
                <w:szCs w:val="24"/>
                <w:lang w:eastAsia="lv-LV"/>
              </w:rPr>
              <w:lastRenderedPageBreak/>
              <w:t>pieprasījumiem sliežu pārmijas un gaisa (kontakttīkla) pārmijas pārslēgšanai gan ar vagonos iebūvēto transponderu signāliem, gan ar amperāžas pīķa signālu (akseleratora pedāļa strauju piespiedienu). Tai jāspēj bloķēt pārmijas pārslēgšanas pieprasījumus, kad tie nāk no nākošā vagona/vagonu sastāva, ja iepriekšējais vagons vēl nav atbrīvojis pārmijas zonu. Gaisa pārmijai nodrošināt darbību gan kontaktstieņa, gan pantogrāfa tipa strāvas noņēmējiem. Pārmiju stāvoklim jābūt attēlotam ar trīs lauku LED signāliem ar baltām LED diodēm - tramvaju vadītājiem labi redzamā vietā. Vadības sistēmas barošanas strāva ir kontakttīkla līdzstrāva un tajā ietilpst strāvas konvertors uz 24V. Vadības sistēma ir jāveido kā decentralizēta/modulāra sistēma, kur procesora bloks ar pārējiem vadības moduļiem ir savienots ar centrālās šinas (BUS) metodi tādejādi, ka sistēmu vajadzības gadījumā var paplašināt ar citiem vadības moduļiem (piem. divvirzienu komunikācijas moduļiem, monitoringa moduļiem, absolūtā laika reģistrēšanas moduli, citu pārmiju vadības elementiem utt.), kā arī jānodrošina iespēju sistēmu vadīt ar tālvadību. Vadības sistēmai ir jābūt programmējamai, releju vadības sistēma netiek atļauta. Vadības sistēmā jāparedz notikumu ierakstītājs ar atmiņas karti, kā arī iespēja ierakstītāja ziņojumu apskatei. Vadības sistēmā jāiekļauj informācijas displejs diagnostikas iespējai un ekspluatācijas darbību veikšanai uz vietas pie vadības skapja. Vadības sistēmas automātikai jābūt ievietotai armētas stikla šķiedras pastiprinātā skapī ar aizsardzības pakāpi vismaz IP54, kas savukārt ir jāievieto vandāļu drošā metāla kastē, kas stiprināma pie kontakttīkla balsta. Vandāļu sistēmas kaste ir jāaprīko ar sildelementu/dzesēšanas ventilatoru, kam kopā ar attiecīgu vadības moduli jānodrošina vadības sistēmas darbība Latvijas apstākļos esošajos maksimālajos un minimālajos gaisa temperatūru intervālos, kā arī Latvijai raksturīgajā gaisa mitrumā. Vadības sistēmas kastē ir jāuzstāda elektriskais 12/24V apgaismojums. Vadības sistēmā ietilpst gaisa pārmija ar galīgiem gala stāvokļiem, kam jādarbojas sinhroni ar sliežu pārmiju, un kontakttīkla seriālais kontakts, kura uzdevums ir izolēt kontakttīkla posmu amperāžas pīķa uztveršanai. Vadības sistēmā ietilpst apsildes vadības modulis, kam jāvada apsildes elementu darbība, balstoties uz sliedes temperatūras devēja informāciju, balstoties uz āra gaisa temperatūras rādītāja informāciju, balstoties uz nokrišņu detektēšanas moduļa informāciju. Vadības sistēmai ir jābūt aprīkotai ar visiem nepieciešamajiem jaudas slēdžiem un attiecīgajiem drošinātājiem (automātiem). Vadības iekārtai ir jābūt aizsargātai no iespējamiem zibens izlādes izraisītiem pārsprieguma viļņiem transporta barošanas gaisvadu līnijās. Vadības iekārtas pieslēgšana transporta barošanas 600V tīklam ir veicama caur drošinātājiem, kas izvietoti iespējami tuvu pieslēguma vietai – ieteicams uz kontakttīkla balsta staba. </w:t>
            </w:r>
          </w:p>
        </w:tc>
      </w:tr>
      <w:tr w:rsidR="005F5D76" w:rsidRPr="005F5D76" w14:paraId="4A9001CB"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59759C49"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lastRenderedPageBreak/>
              <w:t>5. 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0FF98E90"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Pārmiju apsilde.</w:t>
            </w:r>
            <w:r w:rsidRPr="005F5D76">
              <w:rPr>
                <w:rFonts w:ascii="Times New Roman" w:eastAsia="Times New Roman" w:hAnsi="Times New Roman" w:cs="Times New Roman"/>
                <w:sz w:val="24"/>
                <w:szCs w:val="24"/>
                <w:lang w:eastAsia="lv-LV"/>
              </w:rPr>
              <w:t> </w:t>
            </w:r>
          </w:p>
          <w:p w14:paraId="73DEEF52"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Pārmijas ir jānokomplektē 4 sildelementiem (2.gab. rāmjsliežu sildīšanai un 2.gab. zemasmeņu kastes sildīšanai). Sildelementi ir jāuzstāda aizsargcaurulēs. Sildelementiem ir jābūt ar skrūvējamo (nevis sakausēto) elektrisko savienojumu principu, kam vienlaicīgi jānodrošina elektriskā izolācija. Sildelementu savienošanai ar jaudas kabeļiem  paredzēt pieslēgkastes (4. gab. uz pārmiju), kas uzstādāmas pārmijas galā.  Sildelementu jaudai ir jābūt orientējoši 0,8kW – 1kW uz katru sildelementu. Sildelementu barošana ir jāparedz no kontakttīkla. Sildelementiem ir jābūt speciāli paredzētiem ekspluatācijai tramvaja sliežu ceļos, t.sk. ar pastāvīgu mitruma klātbūtni. </w:t>
            </w:r>
          </w:p>
        </w:tc>
      </w:tr>
      <w:tr w:rsidR="005F5D76" w:rsidRPr="005F5D76" w14:paraId="7F09A569" w14:textId="77777777" w:rsidTr="005F5D76">
        <w:tc>
          <w:tcPr>
            <w:tcW w:w="660" w:type="dxa"/>
            <w:tcBorders>
              <w:top w:val="single" w:sz="6" w:space="0" w:color="000000"/>
              <w:left w:val="single" w:sz="6" w:space="0" w:color="000000"/>
              <w:bottom w:val="single" w:sz="6" w:space="0" w:color="000000"/>
              <w:right w:val="single" w:sz="6" w:space="0" w:color="000000"/>
            </w:tcBorders>
            <w:shd w:val="clear" w:color="auto" w:fill="auto"/>
            <w:hideMark/>
          </w:tcPr>
          <w:p w14:paraId="11A19CE5"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lastRenderedPageBreak/>
              <w:t>6. </w:t>
            </w:r>
          </w:p>
        </w:tc>
        <w:tc>
          <w:tcPr>
            <w:tcW w:w="8670" w:type="dxa"/>
            <w:tcBorders>
              <w:top w:val="single" w:sz="6" w:space="0" w:color="000000"/>
              <w:left w:val="single" w:sz="6" w:space="0" w:color="000000"/>
              <w:bottom w:val="single" w:sz="6" w:space="0" w:color="000000"/>
              <w:right w:val="single" w:sz="6" w:space="0" w:color="000000"/>
            </w:tcBorders>
            <w:shd w:val="clear" w:color="auto" w:fill="auto"/>
            <w:hideMark/>
          </w:tcPr>
          <w:p w14:paraId="000CAFFF"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Pārmiju vadības un apsildes vadības sistēmas darbības nodrošināšanai nepieciešamo kabeļu izvietošanu paredzēt atbilstoši pārmiju veidam: </w:t>
            </w:r>
          </w:p>
          <w:p w14:paraId="01C882F6" w14:textId="77777777" w:rsidR="005F5D76" w:rsidRPr="005F5D76" w:rsidRDefault="005F5D76" w:rsidP="005F5D76">
            <w:pPr>
              <w:numPr>
                <w:ilvl w:val="0"/>
                <w:numId w:val="1"/>
              </w:numPr>
              <w:spacing w:after="0" w:line="240" w:lineRule="auto"/>
              <w:ind w:left="1080" w:firstLine="0"/>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attālums no vadības skapja līdz pārmijai ar elektrohidraulisko pārmijas pārslēgiekārtu 20m;  </w:t>
            </w:r>
          </w:p>
          <w:p w14:paraId="0454C920" w14:textId="77777777" w:rsidR="005F5D76" w:rsidRPr="005F5D76" w:rsidRDefault="005F5D76" w:rsidP="005F5D76">
            <w:pPr>
              <w:numPr>
                <w:ilvl w:val="0"/>
                <w:numId w:val="1"/>
              </w:numPr>
              <w:spacing w:after="0" w:line="240" w:lineRule="auto"/>
              <w:ind w:left="1080" w:firstLine="0"/>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attālums no vadības skapja līdz pārmijai ar manuālo pārmijas pārslēgiekārtu 30m. </w:t>
            </w:r>
          </w:p>
          <w:p w14:paraId="43B482C5"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Tramvaja max. kustības ātrums 50km/h. </w:t>
            </w:r>
          </w:p>
        </w:tc>
      </w:tr>
    </w:tbl>
    <w:p w14:paraId="301B9FB6" w14:textId="77777777" w:rsidR="005F5D76" w:rsidRPr="005F5D76" w:rsidRDefault="005F5D76" w:rsidP="005F5D76">
      <w:pPr>
        <w:spacing w:after="0" w:line="240" w:lineRule="auto"/>
        <w:textAlignment w:val="baseline"/>
        <w:rPr>
          <w:rFonts w:ascii="Segoe UI" w:eastAsia="Times New Roman" w:hAnsi="Segoe UI" w:cs="Segoe UI"/>
          <w:sz w:val="18"/>
          <w:szCs w:val="18"/>
          <w:lang w:eastAsia="lv-LV"/>
        </w:rPr>
      </w:pPr>
      <w:r w:rsidRPr="005F5D76">
        <w:rPr>
          <w:rFonts w:ascii="Times New Roman" w:eastAsia="Times New Roman" w:hAnsi="Times New Roman" w:cs="Times New Roman"/>
          <w:sz w:val="24"/>
          <w:szCs w:val="24"/>
          <w:lang w:eastAsia="lv-LV"/>
        </w:rPr>
        <w:t> </w:t>
      </w:r>
    </w:p>
    <w:p w14:paraId="01E8B51D" w14:textId="77777777" w:rsidR="005A016C" w:rsidRDefault="005A016C"/>
    <w:sectPr w:rsidR="005A016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7C94" w14:textId="77777777" w:rsidR="00CA37CB" w:rsidRDefault="00CA37CB" w:rsidP="00CA37CB">
      <w:pPr>
        <w:spacing w:after="0" w:line="240" w:lineRule="auto"/>
      </w:pPr>
      <w:r>
        <w:separator/>
      </w:r>
    </w:p>
  </w:endnote>
  <w:endnote w:type="continuationSeparator" w:id="0">
    <w:p w14:paraId="6F33255E" w14:textId="77777777" w:rsidR="00CA37CB" w:rsidRDefault="00CA37CB" w:rsidP="00CA3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DEE0" w14:textId="77777777" w:rsidR="00CA37CB" w:rsidRDefault="00CA37CB">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16617" w14:textId="77777777" w:rsidR="00CA37CB" w:rsidRDefault="00CA37CB">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4BC0" w14:textId="77777777" w:rsidR="00CA37CB" w:rsidRDefault="00CA37CB">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A5A92" w14:textId="77777777" w:rsidR="00CA37CB" w:rsidRDefault="00CA37CB" w:rsidP="00CA37CB">
      <w:pPr>
        <w:spacing w:after="0" w:line="240" w:lineRule="auto"/>
      </w:pPr>
      <w:r>
        <w:separator/>
      </w:r>
    </w:p>
  </w:footnote>
  <w:footnote w:type="continuationSeparator" w:id="0">
    <w:p w14:paraId="2E5E8797" w14:textId="77777777" w:rsidR="00CA37CB" w:rsidRDefault="00CA37CB" w:rsidP="00CA3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8F60" w14:textId="77777777" w:rsidR="00CA37CB" w:rsidRDefault="00CA37C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11DF" w14:textId="2C1EE01E" w:rsidR="00CA37CB" w:rsidRDefault="00CA37CB" w:rsidP="00CA37CB">
    <w:pPr>
      <w:pStyle w:val="Galvene"/>
      <w:tabs>
        <w:tab w:val="clear" w:pos="4153"/>
        <w:tab w:val="clear" w:pos="8306"/>
        <w:tab w:val="left" w:pos="7080"/>
      </w:tabs>
    </w:pPr>
    <w:r>
      <w:tab/>
      <w:t>3.pielikums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4AADF" w14:textId="77777777" w:rsidR="00CA37CB" w:rsidRDefault="00CA37C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1A1B"/>
    <w:multiLevelType w:val="multilevel"/>
    <w:tmpl w:val="637A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D76"/>
    <w:rsid w:val="005A016C"/>
    <w:rsid w:val="005F5D76"/>
    <w:rsid w:val="00CA37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7671"/>
  <w15:chartTrackingRefBased/>
  <w15:docId w15:val="{D0024EA1-7C5D-4512-9B92-EAA44C97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A37C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A37CB"/>
  </w:style>
  <w:style w:type="paragraph" w:styleId="Kjene">
    <w:name w:val="footer"/>
    <w:basedOn w:val="Parasts"/>
    <w:link w:val="KjeneRakstz"/>
    <w:uiPriority w:val="99"/>
    <w:unhideWhenUsed/>
    <w:rsid w:val="00CA37C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A3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368024">
      <w:bodyDiv w:val="1"/>
      <w:marLeft w:val="0"/>
      <w:marRight w:val="0"/>
      <w:marTop w:val="0"/>
      <w:marBottom w:val="0"/>
      <w:divBdr>
        <w:top w:val="none" w:sz="0" w:space="0" w:color="auto"/>
        <w:left w:val="none" w:sz="0" w:space="0" w:color="auto"/>
        <w:bottom w:val="none" w:sz="0" w:space="0" w:color="auto"/>
        <w:right w:val="none" w:sz="0" w:space="0" w:color="auto"/>
      </w:divBdr>
      <w:divsChild>
        <w:div w:id="646324408">
          <w:marLeft w:val="0"/>
          <w:marRight w:val="0"/>
          <w:marTop w:val="0"/>
          <w:marBottom w:val="0"/>
          <w:divBdr>
            <w:top w:val="none" w:sz="0" w:space="0" w:color="auto"/>
            <w:left w:val="none" w:sz="0" w:space="0" w:color="auto"/>
            <w:bottom w:val="none" w:sz="0" w:space="0" w:color="auto"/>
            <w:right w:val="none" w:sz="0" w:space="0" w:color="auto"/>
          </w:divBdr>
          <w:divsChild>
            <w:div w:id="1356886262">
              <w:marLeft w:val="-75"/>
              <w:marRight w:val="0"/>
              <w:marTop w:val="30"/>
              <w:marBottom w:val="30"/>
              <w:divBdr>
                <w:top w:val="none" w:sz="0" w:space="0" w:color="auto"/>
                <w:left w:val="none" w:sz="0" w:space="0" w:color="auto"/>
                <w:bottom w:val="none" w:sz="0" w:space="0" w:color="auto"/>
                <w:right w:val="none" w:sz="0" w:space="0" w:color="auto"/>
              </w:divBdr>
              <w:divsChild>
                <w:div w:id="341325787">
                  <w:marLeft w:val="0"/>
                  <w:marRight w:val="0"/>
                  <w:marTop w:val="0"/>
                  <w:marBottom w:val="0"/>
                  <w:divBdr>
                    <w:top w:val="none" w:sz="0" w:space="0" w:color="auto"/>
                    <w:left w:val="none" w:sz="0" w:space="0" w:color="auto"/>
                    <w:bottom w:val="none" w:sz="0" w:space="0" w:color="auto"/>
                    <w:right w:val="none" w:sz="0" w:space="0" w:color="auto"/>
                  </w:divBdr>
                  <w:divsChild>
                    <w:div w:id="1888448367">
                      <w:marLeft w:val="0"/>
                      <w:marRight w:val="0"/>
                      <w:marTop w:val="0"/>
                      <w:marBottom w:val="0"/>
                      <w:divBdr>
                        <w:top w:val="none" w:sz="0" w:space="0" w:color="auto"/>
                        <w:left w:val="none" w:sz="0" w:space="0" w:color="auto"/>
                        <w:bottom w:val="none" w:sz="0" w:space="0" w:color="auto"/>
                        <w:right w:val="none" w:sz="0" w:space="0" w:color="auto"/>
                      </w:divBdr>
                    </w:div>
                  </w:divsChild>
                </w:div>
                <w:div w:id="1519006308">
                  <w:marLeft w:val="0"/>
                  <w:marRight w:val="0"/>
                  <w:marTop w:val="0"/>
                  <w:marBottom w:val="0"/>
                  <w:divBdr>
                    <w:top w:val="none" w:sz="0" w:space="0" w:color="auto"/>
                    <w:left w:val="none" w:sz="0" w:space="0" w:color="auto"/>
                    <w:bottom w:val="none" w:sz="0" w:space="0" w:color="auto"/>
                    <w:right w:val="none" w:sz="0" w:space="0" w:color="auto"/>
                  </w:divBdr>
                  <w:divsChild>
                    <w:div w:id="1522402523">
                      <w:marLeft w:val="0"/>
                      <w:marRight w:val="0"/>
                      <w:marTop w:val="0"/>
                      <w:marBottom w:val="0"/>
                      <w:divBdr>
                        <w:top w:val="none" w:sz="0" w:space="0" w:color="auto"/>
                        <w:left w:val="none" w:sz="0" w:space="0" w:color="auto"/>
                        <w:bottom w:val="none" w:sz="0" w:space="0" w:color="auto"/>
                        <w:right w:val="none" w:sz="0" w:space="0" w:color="auto"/>
                      </w:divBdr>
                    </w:div>
                  </w:divsChild>
                </w:div>
                <w:div w:id="1953322220">
                  <w:marLeft w:val="0"/>
                  <w:marRight w:val="0"/>
                  <w:marTop w:val="0"/>
                  <w:marBottom w:val="0"/>
                  <w:divBdr>
                    <w:top w:val="none" w:sz="0" w:space="0" w:color="auto"/>
                    <w:left w:val="none" w:sz="0" w:space="0" w:color="auto"/>
                    <w:bottom w:val="none" w:sz="0" w:space="0" w:color="auto"/>
                    <w:right w:val="none" w:sz="0" w:space="0" w:color="auto"/>
                  </w:divBdr>
                  <w:divsChild>
                    <w:div w:id="904298301">
                      <w:marLeft w:val="0"/>
                      <w:marRight w:val="0"/>
                      <w:marTop w:val="0"/>
                      <w:marBottom w:val="0"/>
                      <w:divBdr>
                        <w:top w:val="none" w:sz="0" w:space="0" w:color="auto"/>
                        <w:left w:val="none" w:sz="0" w:space="0" w:color="auto"/>
                        <w:bottom w:val="none" w:sz="0" w:space="0" w:color="auto"/>
                        <w:right w:val="none" w:sz="0" w:space="0" w:color="auto"/>
                      </w:divBdr>
                    </w:div>
                  </w:divsChild>
                </w:div>
                <w:div w:id="2024745957">
                  <w:marLeft w:val="0"/>
                  <w:marRight w:val="0"/>
                  <w:marTop w:val="0"/>
                  <w:marBottom w:val="0"/>
                  <w:divBdr>
                    <w:top w:val="none" w:sz="0" w:space="0" w:color="auto"/>
                    <w:left w:val="none" w:sz="0" w:space="0" w:color="auto"/>
                    <w:bottom w:val="none" w:sz="0" w:space="0" w:color="auto"/>
                    <w:right w:val="none" w:sz="0" w:space="0" w:color="auto"/>
                  </w:divBdr>
                  <w:divsChild>
                    <w:div w:id="126243293">
                      <w:marLeft w:val="0"/>
                      <w:marRight w:val="0"/>
                      <w:marTop w:val="0"/>
                      <w:marBottom w:val="0"/>
                      <w:divBdr>
                        <w:top w:val="none" w:sz="0" w:space="0" w:color="auto"/>
                        <w:left w:val="none" w:sz="0" w:space="0" w:color="auto"/>
                        <w:bottom w:val="none" w:sz="0" w:space="0" w:color="auto"/>
                        <w:right w:val="none" w:sz="0" w:space="0" w:color="auto"/>
                      </w:divBdr>
                    </w:div>
                    <w:div w:id="843280452">
                      <w:marLeft w:val="0"/>
                      <w:marRight w:val="0"/>
                      <w:marTop w:val="0"/>
                      <w:marBottom w:val="0"/>
                      <w:divBdr>
                        <w:top w:val="none" w:sz="0" w:space="0" w:color="auto"/>
                        <w:left w:val="none" w:sz="0" w:space="0" w:color="auto"/>
                        <w:bottom w:val="none" w:sz="0" w:space="0" w:color="auto"/>
                        <w:right w:val="none" w:sz="0" w:space="0" w:color="auto"/>
                      </w:divBdr>
                    </w:div>
                  </w:divsChild>
                </w:div>
                <w:div w:id="645087600">
                  <w:marLeft w:val="0"/>
                  <w:marRight w:val="0"/>
                  <w:marTop w:val="0"/>
                  <w:marBottom w:val="0"/>
                  <w:divBdr>
                    <w:top w:val="none" w:sz="0" w:space="0" w:color="auto"/>
                    <w:left w:val="none" w:sz="0" w:space="0" w:color="auto"/>
                    <w:bottom w:val="none" w:sz="0" w:space="0" w:color="auto"/>
                    <w:right w:val="none" w:sz="0" w:space="0" w:color="auto"/>
                  </w:divBdr>
                  <w:divsChild>
                    <w:div w:id="1949268051">
                      <w:marLeft w:val="0"/>
                      <w:marRight w:val="0"/>
                      <w:marTop w:val="0"/>
                      <w:marBottom w:val="0"/>
                      <w:divBdr>
                        <w:top w:val="none" w:sz="0" w:space="0" w:color="auto"/>
                        <w:left w:val="none" w:sz="0" w:space="0" w:color="auto"/>
                        <w:bottom w:val="none" w:sz="0" w:space="0" w:color="auto"/>
                        <w:right w:val="none" w:sz="0" w:space="0" w:color="auto"/>
                      </w:divBdr>
                    </w:div>
                  </w:divsChild>
                </w:div>
                <w:div w:id="684552206">
                  <w:marLeft w:val="0"/>
                  <w:marRight w:val="0"/>
                  <w:marTop w:val="0"/>
                  <w:marBottom w:val="0"/>
                  <w:divBdr>
                    <w:top w:val="none" w:sz="0" w:space="0" w:color="auto"/>
                    <w:left w:val="none" w:sz="0" w:space="0" w:color="auto"/>
                    <w:bottom w:val="none" w:sz="0" w:space="0" w:color="auto"/>
                    <w:right w:val="none" w:sz="0" w:space="0" w:color="auto"/>
                  </w:divBdr>
                  <w:divsChild>
                    <w:div w:id="1853448899">
                      <w:marLeft w:val="0"/>
                      <w:marRight w:val="0"/>
                      <w:marTop w:val="0"/>
                      <w:marBottom w:val="0"/>
                      <w:divBdr>
                        <w:top w:val="none" w:sz="0" w:space="0" w:color="auto"/>
                        <w:left w:val="none" w:sz="0" w:space="0" w:color="auto"/>
                        <w:bottom w:val="none" w:sz="0" w:space="0" w:color="auto"/>
                        <w:right w:val="none" w:sz="0" w:space="0" w:color="auto"/>
                      </w:divBdr>
                    </w:div>
                    <w:div w:id="1742870420">
                      <w:marLeft w:val="0"/>
                      <w:marRight w:val="0"/>
                      <w:marTop w:val="0"/>
                      <w:marBottom w:val="0"/>
                      <w:divBdr>
                        <w:top w:val="none" w:sz="0" w:space="0" w:color="auto"/>
                        <w:left w:val="none" w:sz="0" w:space="0" w:color="auto"/>
                        <w:bottom w:val="none" w:sz="0" w:space="0" w:color="auto"/>
                        <w:right w:val="none" w:sz="0" w:space="0" w:color="auto"/>
                      </w:divBdr>
                    </w:div>
                  </w:divsChild>
                </w:div>
                <w:div w:id="1783644349">
                  <w:marLeft w:val="0"/>
                  <w:marRight w:val="0"/>
                  <w:marTop w:val="0"/>
                  <w:marBottom w:val="0"/>
                  <w:divBdr>
                    <w:top w:val="none" w:sz="0" w:space="0" w:color="auto"/>
                    <w:left w:val="none" w:sz="0" w:space="0" w:color="auto"/>
                    <w:bottom w:val="none" w:sz="0" w:space="0" w:color="auto"/>
                    <w:right w:val="none" w:sz="0" w:space="0" w:color="auto"/>
                  </w:divBdr>
                  <w:divsChild>
                    <w:div w:id="1885294273">
                      <w:marLeft w:val="0"/>
                      <w:marRight w:val="0"/>
                      <w:marTop w:val="0"/>
                      <w:marBottom w:val="0"/>
                      <w:divBdr>
                        <w:top w:val="none" w:sz="0" w:space="0" w:color="auto"/>
                        <w:left w:val="none" w:sz="0" w:space="0" w:color="auto"/>
                        <w:bottom w:val="none" w:sz="0" w:space="0" w:color="auto"/>
                        <w:right w:val="none" w:sz="0" w:space="0" w:color="auto"/>
                      </w:divBdr>
                    </w:div>
                  </w:divsChild>
                </w:div>
                <w:div w:id="1864902619">
                  <w:marLeft w:val="0"/>
                  <w:marRight w:val="0"/>
                  <w:marTop w:val="0"/>
                  <w:marBottom w:val="0"/>
                  <w:divBdr>
                    <w:top w:val="none" w:sz="0" w:space="0" w:color="auto"/>
                    <w:left w:val="none" w:sz="0" w:space="0" w:color="auto"/>
                    <w:bottom w:val="none" w:sz="0" w:space="0" w:color="auto"/>
                    <w:right w:val="none" w:sz="0" w:space="0" w:color="auto"/>
                  </w:divBdr>
                  <w:divsChild>
                    <w:div w:id="718550098">
                      <w:marLeft w:val="0"/>
                      <w:marRight w:val="0"/>
                      <w:marTop w:val="0"/>
                      <w:marBottom w:val="0"/>
                      <w:divBdr>
                        <w:top w:val="none" w:sz="0" w:space="0" w:color="auto"/>
                        <w:left w:val="none" w:sz="0" w:space="0" w:color="auto"/>
                        <w:bottom w:val="none" w:sz="0" w:space="0" w:color="auto"/>
                        <w:right w:val="none" w:sz="0" w:space="0" w:color="auto"/>
                      </w:divBdr>
                    </w:div>
                    <w:div w:id="1271010318">
                      <w:marLeft w:val="0"/>
                      <w:marRight w:val="0"/>
                      <w:marTop w:val="0"/>
                      <w:marBottom w:val="0"/>
                      <w:divBdr>
                        <w:top w:val="none" w:sz="0" w:space="0" w:color="auto"/>
                        <w:left w:val="none" w:sz="0" w:space="0" w:color="auto"/>
                        <w:bottom w:val="none" w:sz="0" w:space="0" w:color="auto"/>
                        <w:right w:val="none" w:sz="0" w:space="0" w:color="auto"/>
                      </w:divBdr>
                    </w:div>
                  </w:divsChild>
                </w:div>
                <w:div w:id="964653016">
                  <w:marLeft w:val="0"/>
                  <w:marRight w:val="0"/>
                  <w:marTop w:val="0"/>
                  <w:marBottom w:val="0"/>
                  <w:divBdr>
                    <w:top w:val="none" w:sz="0" w:space="0" w:color="auto"/>
                    <w:left w:val="none" w:sz="0" w:space="0" w:color="auto"/>
                    <w:bottom w:val="none" w:sz="0" w:space="0" w:color="auto"/>
                    <w:right w:val="none" w:sz="0" w:space="0" w:color="auto"/>
                  </w:divBdr>
                  <w:divsChild>
                    <w:div w:id="402071289">
                      <w:marLeft w:val="0"/>
                      <w:marRight w:val="0"/>
                      <w:marTop w:val="0"/>
                      <w:marBottom w:val="0"/>
                      <w:divBdr>
                        <w:top w:val="none" w:sz="0" w:space="0" w:color="auto"/>
                        <w:left w:val="none" w:sz="0" w:space="0" w:color="auto"/>
                        <w:bottom w:val="none" w:sz="0" w:space="0" w:color="auto"/>
                        <w:right w:val="none" w:sz="0" w:space="0" w:color="auto"/>
                      </w:divBdr>
                    </w:div>
                  </w:divsChild>
                </w:div>
                <w:div w:id="1364014860">
                  <w:marLeft w:val="0"/>
                  <w:marRight w:val="0"/>
                  <w:marTop w:val="0"/>
                  <w:marBottom w:val="0"/>
                  <w:divBdr>
                    <w:top w:val="none" w:sz="0" w:space="0" w:color="auto"/>
                    <w:left w:val="none" w:sz="0" w:space="0" w:color="auto"/>
                    <w:bottom w:val="none" w:sz="0" w:space="0" w:color="auto"/>
                    <w:right w:val="none" w:sz="0" w:space="0" w:color="auto"/>
                  </w:divBdr>
                  <w:divsChild>
                    <w:div w:id="1600212505">
                      <w:marLeft w:val="0"/>
                      <w:marRight w:val="0"/>
                      <w:marTop w:val="0"/>
                      <w:marBottom w:val="0"/>
                      <w:divBdr>
                        <w:top w:val="none" w:sz="0" w:space="0" w:color="auto"/>
                        <w:left w:val="none" w:sz="0" w:space="0" w:color="auto"/>
                        <w:bottom w:val="none" w:sz="0" w:space="0" w:color="auto"/>
                        <w:right w:val="none" w:sz="0" w:space="0" w:color="auto"/>
                      </w:divBdr>
                    </w:div>
                    <w:div w:id="654186113">
                      <w:marLeft w:val="0"/>
                      <w:marRight w:val="0"/>
                      <w:marTop w:val="0"/>
                      <w:marBottom w:val="0"/>
                      <w:divBdr>
                        <w:top w:val="none" w:sz="0" w:space="0" w:color="auto"/>
                        <w:left w:val="none" w:sz="0" w:space="0" w:color="auto"/>
                        <w:bottom w:val="none" w:sz="0" w:space="0" w:color="auto"/>
                        <w:right w:val="none" w:sz="0" w:space="0" w:color="auto"/>
                      </w:divBdr>
                    </w:div>
                  </w:divsChild>
                </w:div>
                <w:div w:id="322854304">
                  <w:marLeft w:val="0"/>
                  <w:marRight w:val="0"/>
                  <w:marTop w:val="0"/>
                  <w:marBottom w:val="0"/>
                  <w:divBdr>
                    <w:top w:val="none" w:sz="0" w:space="0" w:color="auto"/>
                    <w:left w:val="none" w:sz="0" w:space="0" w:color="auto"/>
                    <w:bottom w:val="none" w:sz="0" w:space="0" w:color="auto"/>
                    <w:right w:val="none" w:sz="0" w:space="0" w:color="auto"/>
                  </w:divBdr>
                  <w:divsChild>
                    <w:div w:id="1482307902">
                      <w:marLeft w:val="0"/>
                      <w:marRight w:val="0"/>
                      <w:marTop w:val="0"/>
                      <w:marBottom w:val="0"/>
                      <w:divBdr>
                        <w:top w:val="none" w:sz="0" w:space="0" w:color="auto"/>
                        <w:left w:val="none" w:sz="0" w:space="0" w:color="auto"/>
                        <w:bottom w:val="none" w:sz="0" w:space="0" w:color="auto"/>
                        <w:right w:val="none" w:sz="0" w:space="0" w:color="auto"/>
                      </w:divBdr>
                    </w:div>
                  </w:divsChild>
                </w:div>
                <w:div w:id="845562064">
                  <w:marLeft w:val="0"/>
                  <w:marRight w:val="0"/>
                  <w:marTop w:val="0"/>
                  <w:marBottom w:val="0"/>
                  <w:divBdr>
                    <w:top w:val="none" w:sz="0" w:space="0" w:color="auto"/>
                    <w:left w:val="none" w:sz="0" w:space="0" w:color="auto"/>
                    <w:bottom w:val="none" w:sz="0" w:space="0" w:color="auto"/>
                    <w:right w:val="none" w:sz="0" w:space="0" w:color="auto"/>
                  </w:divBdr>
                  <w:divsChild>
                    <w:div w:id="1524591006">
                      <w:marLeft w:val="0"/>
                      <w:marRight w:val="0"/>
                      <w:marTop w:val="0"/>
                      <w:marBottom w:val="0"/>
                      <w:divBdr>
                        <w:top w:val="none" w:sz="0" w:space="0" w:color="auto"/>
                        <w:left w:val="none" w:sz="0" w:space="0" w:color="auto"/>
                        <w:bottom w:val="none" w:sz="0" w:space="0" w:color="auto"/>
                        <w:right w:val="none" w:sz="0" w:space="0" w:color="auto"/>
                      </w:divBdr>
                    </w:div>
                    <w:div w:id="18357022">
                      <w:marLeft w:val="0"/>
                      <w:marRight w:val="0"/>
                      <w:marTop w:val="0"/>
                      <w:marBottom w:val="0"/>
                      <w:divBdr>
                        <w:top w:val="none" w:sz="0" w:space="0" w:color="auto"/>
                        <w:left w:val="none" w:sz="0" w:space="0" w:color="auto"/>
                        <w:bottom w:val="none" w:sz="0" w:space="0" w:color="auto"/>
                        <w:right w:val="none" w:sz="0" w:space="0" w:color="auto"/>
                      </w:divBdr>
                    </w:div>
                    <w:div w:id="185869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4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4861</Words>
  <Characters>2772</Characters>
  <Application>Microsoft Office Word</Application>
  <DocSecurity>0</DocSecurity>
  <Lines>23</Lines>
  <Paragraphs>15</Paragraphs>
  <ScaleCrop>false</ScaleCrop>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Cerbulis</dc:creator>
  <cp:keywords/>
  <dc:description/>
  <cp:lastModifiedBy>Jānis Cerbulis</cp:lastModifiedBy>
  <cp:revision>2</cp:revision>
  <dcterms:created xsi:type="dcterms:W3CDTF">2022-01-20T06:47:00Z</dcterms:created>
  <dcterms:modified xsi:type="dcterms:W3CDTF">2022-01-20T08:39:00Z</dcterms:modified>
</cp:coreProperties>
</file>