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CFB65" w14:textId="77777777" w:rsidR="00E37775" w:rsidRDefault="0002261F" w:rsidP="00182002">
      <w:pPr>
        <w:spacing w:line="276" w:lineRule="auto"/>
        <w:jc w:val="center"/>
        <w:rPr>
          <w:rFonts w:ascii="Times New Roman" w:hAnsi="Times New Roman"/>
          <w:b/>
          <w:bCs/>
          <w:szCs w:val="24"/>
        </w:rPr>
      </w:pPr>
      <w:bookmarkStart w:id="0" w:name="_Hlk8374517"/>
      <w:r w:rsidRPr="0002261F">
        <w:rPr>
          <w:rFonts w:ascii="Times New Roman" w:hAnsi="Times New Roman"/>
          <w:b/>
          <w:bCs/>
          <w:szCs w:val="24"/>
        </w:rPr>
        <w:t>APDROŠINĀŠANAS SPECIFIKĀCIJA</w:t>
      </w:r>
    </w:p>
    <w:p w14:paraId="01150A7E" w14:textId="33EB1399" w:rsidR="0002261F" w:rsidRPr="00182002" w:rsidRDefault="00FE2321" w:rsidP="00182002">
      <w:pPr>
        <w:spacing w:line="276" w:lineRule="auto"/>
        <w:jc w:val="center"/>
        <w:rPr>
          <w:rFonts w:ascii="Times New Roman" w:hAnsi="Times New Roman"/>
          <w:i/>
          <w:iCs/>
          <w:szCs w:val="24"/>
        </w:rPr>
      </w:pPr>
      <w:bookmarkStart w:id="1" w:name="_Hlk57203555"/>
      <w:r w:rsidRPr="00FE2321">
        <w:rPr>
          <w:rFonts w:ascii="Times New Roman" w:hAnsi="Times New Roman"/>
          <w:i/>
          <w:iCs/>
          <w:szCs w:val="24"/>
        </w:rPr>
        <w:t>RP SIA „Rīgas satiksme” īpašuma apdrošināšana</w:t>
      </w:r>
    </w:p>
    <w:tbl>
      <w:tblPr>
        <w:tblW w:w="4957" w:type="pct"/>
        <w:tblLook w:val="00A0" w:firstRow="1" w:lastRow="0" w:firstColumn="1" w:lastColumn="0" w:noHBand="0" w:noVBand="0"/>
      </w:tblPr>
      <w:tblGrid>
        <w:gridCol w:w="877"/>
        <w:gridCol w:w="8174"/>
        <w:gridCol w:w="223"/>
      </w:tblGrid>
      <w:tr w:rsidR="00E37775" w:rsidRPr="0002261F" w14:paraId="12C6CB44" w14:textId="77777777" w:rsidTr="00182002">
        <w:tc>
          <w:tcPr>
            <w:tcW w:w="473" w:type="pct"/>
          </w:tcPr>
          <w:bookmarkEnd w:id="1"/>
          <w:p w14:paraId="1F402B1D" w14:textId="77777777" w:rsidR="00E37775" w:rsidRPr="0002261F" w:rsidRDefault="00E37775" w:rsidP="00182002">
            <w:pPr>
              <w:spacing w:line="276" w:lineRule="auto"/>
              <w:jc w:val="center"/>
              <w:rPr>
                <w:rFonts w:ascii="Times New Roman" w:hAnsi="Times New Roman"/>
                <w:b/>
                <w:szCs w:val="24"/>
              </w:rPr>
            </w:pPr>
            <w:r w:rsidRPr="0002261F">
              <w:rPr>
                <w:rFonts w:ascii="Times New Roman" w:hAnsi="Times New Roman"/>
                <w:b/>
                <w:szCs w:val="24"/>
              </w:rPr>
              <w:t>Nr.</w:t>
            </w:r>
          </w:p>
        </w:tc>
        <w:tc>
          <w:tcPr>
            <w:tcW w:w="4407" w:type="pct"/>
          </w:tcPr>
          <w:p w14:paraId="7BC2B8DF" w14:textId="77777777" w:rsidR="00E37775" w:rsidRPr="0002261F" w:rsidRDefault="00E37775" w:rsidP="00182002">
            <w:pPr>
              <w:spacing w:line="276" w:lineRule="auto"/>
              <w:rPr>
                <w:rFonts w:ascii="Times New Roman" w:hAnsi="Times New Roman"/>
                <w:b/>
                <w:szCs w:val="24"/>
              </w:rPr>
            </w:pPr>
            <w:r w:rsidRPr="0002261F">
              <w:rPr>
                <w:rFonts w:ascii="Times New Roman" w:hAnsi="Times New Roman"/>
                <w:b/>
                <w:szCs w:val="24"/>
              </w:rPr>
              <w:t>Obligātās minimālās prasības</w:t>
            </w:r>
            <w:r w:rsidR="00182002">
              <w:rPr>
                <w:rFonts w:ascii="Times New Roman" w:hAnsi="Times New Roman"/>
                <w:b/>
                <w:szCs w:val="24"/>
              </w:rPr>
              <w:t>.</w:t>
            </w:r>
          </w:p>
        </w:tc>
        <w:tc>
          <w:tcPr>
            <w:tcW w:w="120" w:type="pct"/>
          </w:tcPr>
          <w:p w14:paraId="783B3756" w14:textId="77777777" w:rsidR="00E37775" w:rsidRPr="0002261F" w:rsidRDefault="00E37775" w:rsidP="00182002">
            <w:pPr>
              <w:spacing w:line="276" w:lineRule="auto"/>
              <w:jc w:val="center"/>
              <w:rPr>
                <w:rFonts w:ascii="Times New Roman" w:hAnsi="Times New Roman"/>
                <w:szCs w:val="24"/>
              </w:rPr>
            </w:pPr>
          </w:p>
        </w:tc>
      </w:tr>
      <w:tr w:rsidR="00E37775" w:rsidRPr="0002261F" w14:paraId="11EA7941" w14:textId="77777777" w:rsidTr="00182002">
        <w:tc>
          <w:tcPr>
            <w:tcW w:w="473" w:type="pct"/>
          </w:tcPr>
          <w:p w14:paraId="6F70AE44" w14:textId="77777777" w:rsidR="00E37775" w:rsidRPr="0002261F" w:rsidRDefault="00E37775" w:rsidP="00182002">
            <w:pPr>
              <w:spacing w:line="276" w:lineRule="auto"/>
              <w:jc w:val="center"/>
              <w:rPr>
                <w:rFonts w:ascii="Times New Roman" w:hAnsi="Times New Roman"/>
                <w:b/>
                <w:szCs w:val="24"/>
              </w:rPr>
            </w:pPr>
            <w:r w:rsidRPr="0002261F">
              <w:rPr>
                <w:rFonts w:ascii="Times New Roman" w:hAnsi="Times New Roman"/>
                <w:b/>
                <w:szCs w:val="24"/>
              </w:rPr>
              <w:t>I</w:t>
            </w:r>
          </w:p>
        </w:tc>
        <w:tc>
          <w:tcPr>
            <w:tcW w:w="4407" w:type="pct"/>
          </w:tcPr>
          <w:p w14:paraId="50DA5A3E" w14:textId="23E6ED4A" w:rsidR="00E37775" w:rsidRPr="0002261F" w:rsidRDefault="00E37775" w:rsidP="00182002">
            <w:pPr>
              <w:suppressAutoHyphens/>
              <w:autoSpaceDE w:val="0"/>
              <w:spacing w:line="276" w:lineRule="auto"/>
              <w:jc w:val="both"/>
              <w:rPr>
                <w:rFonts w:ascii="Times New Roman" w:hAnsi="Times New Roman"/>
                <w:b/>
                <w:szCs w:val="24"/>
                <w:lang w:eastAsia="zh-CN"/>
              </w:rPr>
            </w:pPr>
            <w:r w:rsidRPr="0002261F">
              <w:rPr>
                <w:rFonts w:ascii="Times New Roman" w:hAnsi="Times New Roman"/>
                <w:b/>
                <w:szCs w:val="24"/>
                <w:lang w:eastAsia="zh-CN"/>
              </w:rPr>
              <w:t>ĪPAŠUMA APDROŠINĀŠANA (ēkas, būves, kustamā manta, izņemot transportlīdzekļus)</w:t>
            </w:r>
          </w:p>
        </w:tc>
        <w:tc>
          <w:tcPr>
            <w:tcW w:w="120" w:type="pct"/>
          </w:tcPr>
          <w:p w14:paraId="63C4D9F5" w14:textId="77777777" w:rsidR="00E37775" w:rsidRPr="0002261F" w:rsidRDefault="00E37775" w:rsidP="00182002">
            <w:pPr>
              <w:spacing w:line="276" w:lineRule="auto"/>
              <w:rPr>
                <w:rFonts w:ascii="Times New Roman" w:hAnsi="Times New Roman"/>
                <w:b/>
                <w:i/>
                <w:szCs w:val="24"/>
              </w:rPr>
            </w:pPr>
          </w:p>
        </w:tc>
      </w:tr>
      <w:tr w:rsidR="00E37775" w:rsidRPr="0002261F" w14:paraId="2B65409D" w14:textId="77777777" w:rsidTr="00182002">
        <w:tc>
          <w:tcPr>
            <w:tcW w:w="473" w:type="pct"/>
          </w:tcPr>
          <w:p w14:paraId="6B3A5FA5" w14:textId="77777777" w:rsidR="00E37775" w:rsidRPr="00A63FFA" w:rsidRDefault="00E37775" w:rsidP="00182002">
            <w:pPr>
              <w:spacing w:line="276" w:lineRule="auto"/>
              <w:jc w:val="center"/>
              <w:rPr>
                <w:rFonts w:ascii="Times New Roman" w:hAnsi="Times New Roman"/>
                <w:b/>
                <w:szCs w:val="24"/>
              </w:rPr>
            </w:pPr>
            <w:r w:rsidRPr="00A63FFA">
              <w:rPr>
                <w:rFonts w:ascii="Times New Roman" w:hAnsi="Times New Roman"/>
                <w:b/>
                <w:szCs w:val="24"/>
              </w:rPr>
              <w:t>1.</w:t>
            </w:r>
          </w:p>
        </w:tc>
        <w:tc>
          <w:tcPr>
            <w:tcW w:w="4407" w:type="pct"/>
          </w:tcPr>
          <w:p w14:paraId="39741D26" w14:textId="77777777" w:rsidR="00E37775" w:rsidRPr="00A63FFA" w:rsidRDefault="00E37775" w:rsidP="00182002">
            <w:pPr>
              <w:spacing w:line="276" w:lineRule="auto"/>
              <w:rPr>
                <w:rFonts w:ascii="Times New Roman" w:hAnsi="Times New Roman"/>
                <w:b/>
                <w:szCs w:val="24"/>
              </w:rPr>
            </w:pPr>
            <w:r w:rsidRPr="00A63FFA">
              <w:rPr>
                <w:rFonts w:ascii="Times New Roman" w:hAnsi="Times New Roman"/>
                <w:b/>
                <w:szCs w:val="24"/>
              </w:rPr>
              <w:t>Apdrošināšanas objekts:</w:t>
            </w:r>
          </w:p>
        </w:tc>
        <w:tc>
          <w:tcPr>
            <w:tcW w:w="120" w:type="pct"/>
          </w:tcPr>
          <w:p w14:paraId="368F1D56" w14:textId="77777777" w:rsidR="00E37775" w:rsidRPr="0002261F" w:rsidRDefault="00E37775" w:rsidP="00182002">
            <w:pPr>
              <w:spacing w:line="276" w:lineRule="auto"/>
              <w:rPr>
                <w:rFonts w:ascii="Times New Roman" w:hAnsi="Times New Roman"/>
                <w:b/>
                <w:i/>
                <w:szCs w:val="24"/>
              </w:rPr>
            </w:pPr>
          </w:p>
        </w:tc>
      </w:tr>
      <w:tr w:rsidR="00E37775" w:rsidRPr="0002261F" w14:paraId="2E778EFB" w14:textId="77777777" w:rsidTr="00182002">
        <w:tc>
          <w:tcPr>
            <w:tcW w:w="473" w:type="pct"/>
          </w:tcPr>
          <w:p w14:paraId="666C8EBD" w14:textId="77777777" w:rsidR="00E37775" w:rsidRPr="00A63FFA" w:rsidRDefault="00E37775" w:rsidP="00182002">
            <w:pPr>
              <w:spacing w:line="276" w:lineRule="auto"/>
              <w:jc w:val="center"/>
              <w:rPr>
                <w:rFonts w:ascii="Times New Roman" w:hAnsi="Times New Roman"/>
                <w:szCs w:val="24"/>
              </w:rPr>
            </w:pPr>
            <w:r w:rsidRPr="00A63FFA">
              <w:rPr>
                <w:rFonts w:ascii="Times New Roman" w:hAnsi="Times New Roman"/>
                <w:szCs w:val="24"/>
              </w:rPr>
              <w:t>1.1.</w:t>
            </w:r>
          </w:p>
        </w:tc>
        <w:tc>
          <w:tcPr>
            <w:tcW w:w="4407" w:type="pct"/>
          </w:tcPr>
          <w:p w14:paraId="6DACE257" w14:textId="114A1FE9" w:rsidR="00E37775" w:rsidRPr="00A63FFA" w:rsidRDefault="00E37775" w:rsidP="00182002">
            <w:pPr>
              <w:suppressAutoHyphens/>
              <w:autoSpaceDE w:val="0"/>
              <w:spacing w:line="276" w:lineRule="auto"/>
              <w:jc w:val="both"/>
              <w:rPr>
                <w:rFonts w:ascii="Times New Roman" w:hAnsi="Times New Roman"/>
                <w:b/>
                <w:szCs w:val="24"/>
                <w:lang w:eastAsia="zh-CN"/>
              </w:rPr>
            </w:pPr>
            <w:r w:rsidRPr="00A63FFA">
              <w:rPr>
                <w:rFonts w:ascii="Times New Roman" w:hAnsi="Times New Roman"/>
                <w:b/>
                <w:szCs w:val="24"/>
                <w:lang w:eastAsia="zh-CN"/>
              </w:rPr>
              <w:t>Pasūtītāja pamatlīdzekļi</w:t>
            </w:r>
            <w:r w:rsidR="00A63FFA" w:rsidRPr="00A63FFA">
              <w:rPr>
                <w:rFonts w:ascii="Times New Roman" w:hAnsi="Times New Roman"/>
                <w:b/>
                <w:szCs w:val="24"/>
                <w:lang w:eastAsia="zh-CN"/>
              </w:rPr>
              <w:t xml:space="preserve"> atbilstoši 1. sarakstam:</w:t>
            </w:r>
          </w:p>
        </w:tc>
        <w:tc>
          <w:tcPr>
            <w:tcW w:w="120" w:type="pct"/>
          </w:tcPr>
          <w:p w14:paraId="1C742336" w14:textId="77777777" w:rsidR="00E37775" w:rsidRPr="0002261F" w:rsidRDefault="00E37775" w:rsidP="00182002">
            <w:pPr>
              <w:spacing w:line="276" w:lineRule="auto"/>
              <w:rPr>
                <w:rFonts w:ascii="Times New Roman" w:hAnsi="Times New Roman"/>
                <w:i/>
                <w:szCs w:val="24"/>
              </w:rPr>
            </w:pPr>
          </w:p>
        </w:tc>
      </w:tr>
      <w:tr w:rsidR="00E37775" w:rsidRPr="0002261F" w14:paraId="284DDFC3" w14:textId="77777777" w:rsidTr="00182002">
        <w:tc>
          <w:tcPr>
            <w:tcW w:w="473" w:type="pct"/>
          </w:tcPr>
          <w:p w14:paraId="3BB50E26" w14:textId="77777777" w:rsidR="00E37775" w:rsidRPr="00A63FFA" w:rsidRDefault="00E37775" w:rsidP="00182002">
            <w:pPr>
              <w:spacing w:line="276" w:lineRule="auto"/>
              <w:jc w:val="center"/>
              <w:rPr>
                <w:rFonts w:ascii="Times New Roman" w:hAnsi="Times New Roman"/>
                <w:szCs w:val="24"/>
              </w:rPr>
            </w:pPr>
            <w:r w:rsidRPr="00A63FFA">
              <w:rPr>
                <w:rFonts w:ascii="Times New Roman" w:hAnsi="Times New Roman"/>
                <w:szCs w:val="24"/>
              </w:rPr>
              <w:t>1.1.1.</w:t>
            </w:r>
          </w:p>
        </w:tc>
        <w:tc>
          <w:tcPr>
            <w:tcW w:w="4407" w:type="pct"/>
          </w:tcPr>
          <w:p w14:paraId="2BEC8EEA" w14:textId="77777777" w:rsidR="00E37775" w:rsidRPr="00A63FFA" w:rsidRDefault="00E37775" w:rsidP="00182002">
            <w:pPr>
              <w:suppressAutoHyphens/>
              <w:autoSpaceDE w:val="0"/>
              <w:spacing w:line="276" w:lineRule="auto"/>
              <w:jc w:val="both"/>
              <w:rPr>
                <w:rFonts w:ascii="Times New Roman" w:hAnsi="Times New Roman"/>
                <w:szCs w:val="24"/>
                <w:lang w:eastAsia="zh-CN"/>
              </w:rPr>
            </w:pPr>
            <w:r w:rsidRPr="00A63FFA">
              <w:rPr>
                <w:rFonts w:ascii="Times New Roman" w:hAnsi="Times New Roman"/>
                <w:b/>
                <w:i/>
                <w:szCs w:val="24"/>
                <w:lang w:eastAsia="zh-CN"/>
              </w:rPr>
              <w:t>ēkas</w:t>
            </w:r>
            <w:r w:rsidRPr="00A63FFA">
              <w:rPr>
                <w:rFonts w:ascii="Times New Roman" w:hAnsi="Times New Roman"/>
                <w:szCs w:val="24"/>
                <w:lang w:eastAsia="zh-CN"/>
              </w:rPr>
              <w:t xml:space="preserve"> ar visām to būvniecības laikā un papildus uzstādītajām inženiertehniskajām komunikācijām, aprīkojumu, apdari (t.sk., lifti, sakaru tīkli, signalizācija, ventilācija, gaisa kondicionēšanas un elektrosadales tīkli, karstā un aukstā ūdens apgāde, kanalizācija un apkures sistēmas ar siltummezgliem);</w:t>
            </w:r>
          </w:p>
        </w:tc>
        <w:tc>
          <w:tcPr>
            <w:tcW w:w="120" w:type="pct"/>
          </w:tcPr>
          <w:p w14:paraId="2D3368F2" w14:textId="77777777" w:rsidR="00E37775" w:rsidRPr="0002261F" w:rsidRDefault="00E37775" w:rsidP="00182002">
            <w:pPr>
              <w:spacing w:line="276" w:lineRule="auto"/>
              <w:rPr>
                <w:rFonts w:ascii="Times New Roman" w:hAnsi="Times New Roman"/>
                <w:i/>
                <w:szCs w:val="24"/>
              </w:rPr>
            </w:pPr>
          </w:p>
        </w:tc>
      </w:tr>
      <w:tr w:rsidR="00E37775" w:rsidRPr="0002261F" w14:paraId="7DBA3ABE" w14:textId="77777777" w:rsidTr="00182002">
        <w:tc>
          <w:tcPr>
            <w:tcW w:w="473" w:type="pct"/>
          </w:tcPr>
          <w:p w14:paraId="4E8DF921" w14:textId="77777777" w:rsidR="00E37775" w:rsidRPr="00A63FFA" w:rsidRDefault="00E37775" w:rsidP="00182002">
            <w:pPr>
              <w:spacing w:line="276" w:lineRule="auto"/>
              <w:jc w:val="center"/>
              <w:rPr>
                <w:rFonts w:ascii="Times New Roman" w:hAnsi="Times New Roman"/>
                <w:szCs w:val="24"/>
              </w:rPr>
            </w:pPr>
            <w:r w:rsidRPr="00A63FFA">
              <w:rPr>
                <w:rFonts w:ascii="Times New Roman" w:hAnsi="Times New Roman"/>
                <w:szCs w:val="24"/>
              </w:rPr>
              <w:t>1.1.2.</w:t>
            </w:r>
          </w:p>
        </w:tc>
        <w:tc>
          <w:tcPr>
            <w:tcW w:w="4407" w:type="pct"/>
          </w:tcPr>
          <w:p w14:paraId="379B5728" w14:textId="77777777" w:rsidR="00E37775" w:rsidRPr="00A63FFA" w:rsidRDefault="00E37775" w:rsidP="00182002">
            <w:pPr>
              <w:suppressAutoHyphens/>
              <w:autoSpaceDE w:val="0"/>
              <w:spacing w:line="276" w:lineRule="auto"/>
              <w:jc w:val="both"/>
              <w:rPr>
                <w:rFonts w:ascii="Times New Roman" w:hAnsi="Times New Roman"/>
                <w:szCs w:val="24"/>
                <w:lang w:eastAsia="zh-CN"/>
              </w:rPr>
            </w:pPr>
            <w:r w:rsidRPr="00A63FFA">
              <w:rPr>
                <w:rFonts w:ascii="Times New Roman" w:hAnsi="Times New Roman"/>
                <w:b/>
                <w:i/>
                <w:szCs w:val="24"/>
                <w:lang w:eastAsia="zh-CN"/>
              </w:rPr>
              <w:t>būves</w:t>
            </w:r>
            <w:r w:rsidRPr="00A63FFA">
              <w:rPr>
                <w:rFonts w:ascii="Times New Roman" w:hAnsi="Times New Roman"/>
                <w:szCs w:val="24"/>
                <w:lang w:eastAsia="zh-CN"/>
              </w:rPr>
              <w:t>, tai skaitā: inženierbūves, žogi, sētas, ceļi, estakādes, pārvietojamie vagoniņi, stāvvietas, cauruļvadi u.c. objekti ar visām to būvniecības laikā un papildus uzstādītajām inženiertehniskajām komunikācijām, aprīkojumu, apdari;</w:t>
            </w:r>
          </w:p>
        </w:tc>
        <w:tc>
          <w:tcPr>
            <w:tcW w:w="120" w:type="pct"/>
          </w:tcPr>
          <w:p w14:paraId="5D6B7026" w14:textId="77777777" w:rsidR="00E37775" w:rsidRPr="0002261F" w:rsidRDefault="00E37775" w:rsidP="00182002">
            <w:pPr>
              <w:spacing w:line="276" w:lineRule="auto"/>
              <w:rPr>
                <w:rFonts w:ascii="Times New Roman" w:hAnsi="Times New Roman"/>
                <w:i/>
                <w:szCs w:val="24"/>
              </w:rPr>
            </w:pPr>
          </w:p>
        </w:tc>
      </w:tr>
      <w:tr w:rsidR="00E37775" w:rsidRPr="0002261F" w14:paraId="7F83FEA0" w14:textId="77777777" w:rsidTr="00182002">
        <w:tc>
          <w:tcPr>
            <w:tcW w:w="473" w:type="pct"/>
          </w:tcPr>
          <w:p w14:paraId="6C6C7C2A" w14:textId="77777777" w:rsidR="00E37775" w:rsidRPr="00A63FFA" w:rsidRDefault="00E37775" w:rsidP="00182002">
            <w:pPr>
              <w:spacing w:line="276" w:lineRule="auto"/>
              <w:jc w:val="center"/>
              <w:rPr>
                <w:rFonts w:ascii="Times New Roman" w:hAnsi="Times New Roman"/>
                <w:szCs w:val="24"/>
              </w:rPr>
            </w:pPr>
            <w:r w:rsidRPr="00A63FFA">
              <w:rPr>
                <w:rFonts w:ascii="Times New Roman" w:hAnsi="Times New Roman"/>
                <w:szCs w:val="24"/>
              </w:rPr>
              <w:t>1.1.3.</w:t>
            </w:r>
          </w:p>
        </w:tc>
        <w:tc>
          <w:tcPr>
            <w:tcW w:w="4407" w:type="pct"/>
          </w:tcPr>
          <w:p w14:paraId="18E43BE4" w14:textId="675FC6B9" w:rsidR="00E37775" w:rsidRPr="00A63FFA" w:rsidRDefault="00E37775" w:rsidP="00182002">
            <w:pPr>
              <w:suppressAutoHyphens/>
              <w:autoSpaceDE w:val="0"/>
              <w:spacing w:line="276" w:lineRule="auto"/>
              <w:jc w:val="both"/>
              <w:rPr>
                <w:rFonts w:ascii="Times New Roman" w:hAnsi="Times New Roman"/>
                <w:szCs w:val="24"/>
                <w:lang w:eastAsia="zh-CN"/>
              </w:rPr>
            </w:pPr>
            <w:r w:rsidRPr="00A63FFA">
              <w:rPr>
                <w:rFonts w:ascii="Times New Roman" w:hAnsi="Times New Roman"/>
                <w:b/>
                <w:i/>
                <w:szCs w:val="24"/>
                <w:lang w:eastAsia="zh-CN"/>
              </w:rPr>
              <w:t>kustamā manta, aprīkojums un krājumi</w:t>
            </w:r>
            <w:r w:rsidRPr="00A63FFA">
              <w:rPr>
                <w:rFonts w:ascii="Times New Roman" w:hAnsi="Times New Roman"/>
                <w:szCs w:val="24"/>
                <w:lang w:eastAsia="zh-CN"/>
              </w:rPr>
              <w:t xml:space="preserve">, tai skaitā: degviela </w:t>
            </w:r>
            <w:r w:rsidR="007134C8" w:rsidRPr="00A63FFA">
              <w:rPr>
                <w:rFonts w:ascii="Times New Roman" w:hAnsi="Times New Roman"/>
                <w:szCs w:val="24"/>
                <w:lang w:eastAsia="zh-CN"/>
              </w:rPr>
              <w:t>un</w:t>
            </w:r>
            <w:r w:rsidRPr="00A63FFA">
              <w:rPr>
                <w:rFonts w:ascii="Times New Roman" w:hAnsi="Times New Roman"/>
                <w:szCs w:val="24"/>
                <w:lang w:eastAsia="zh-CN"/>
              </w:rPr>
              <w:t xml:space="preserve"> citi pamatlīdzekļi un inventārs, kas netiks apdrošināti atbilstoši 1.</w:t>
            </w:r>
            <w:r w:rsidR="00A63FFA" w:rsidRPr="00A63FFA">
              <w:rPr>
                <w:rFonts w:ascii="Times New Roman" w:hAnsi="Times New Roman"/>
                <w:szCs w:val="24"/>
                <w:lang w:eastAsia="zh-CN"/>
              </w:rPr>
              <w:t>2</w:t>
            </w:r>
            <w:r w:rsidRPr="00A63FFA">
              <w:rPr>
                <w:rFonts w:ascii="Times New Roman" w:hAnsi="Times New Roman"/>
                <w:szCs w:val="24"/>
                <w:lang w:eastAsia="zh-CN"/>
              </w:rPr>
              <w:t>.1. un 1.</w:t>
            </w:r>
            <w:r w:rsidR="00A63FFA" w:rsidRPr="00A63FFA">
              <w:rPr>
                <w:rFonts w:ascii="Times New Roman" w:hAnsi="Times New Roman"/>
                <w:szCs w:val="24"/>
                <w:lang w:eastAsia="zh-CN"/>
              </w:rPr>
              <w:t>2</w:t>
            </w:r>
            <w:r w:rsidRPr="00A63FFA">
              <w:rPr>
                <w:rFonts w:ascii="Times New Roman" w:hAnsi="Times New Roman"/>
                <w:szCs w:val="24"/>
                <w:lang w:eastAsia="zh-CN"/>
              </w:rPr>
              <w:t>.2. punktiem.</w:t>
            </w:r>
          </w:p>
        </w:tc>
        <w:tc>
          <w:tcPr>
            <w:tcW w:w="120" w:type="pct"/>
          </w:tcPr>
          <w:p w14:paraId="06DA4B36" w14:textId="77777777" w:rsidR="00E37775" w:rsidRPr="0002261F" w:rsidRDefault="00E37775" w:rsidP="00182002">
            <w:pPr>
              <w:spacing w:line="276" w:lineRule="auto"/>
              <w:rPr>
                <w:rFonts w:ascii="Times New Roman" w:hAnsi="Times New Roman"/>
                <w:i/>
                <w:szCs w:val="24"/>
              </w:rPr>
            </w:pPr>
          </w:p>
        </w:tc>
      </w:tr>
      <w:tr w:rsidR="00E37775" w:rsidRPr="0002261F" w14:paraId="6255E6B9" w14:textId="77777777" w:rsidTr="00182002">
        <w:tc>
          <w:tcPr>
            <w:tcW w:w="473" w:type="pct"/>
          </w:tcPr>
          <w:p w14:paraId="05CC402E"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1.2.</w:t>
            </w:r>
          </w:p>
        </w:tc>
        <w:tc>
          <w:tcPr>
            <w:tcW w:w="4407" w:type="pct"/>
          </w:tcPr>
          <w:p w14:paraId="07C6E886" w14:textId="02BD5E81" w:rsidR="00E37775" w:rsidRPr="0002261F" w:rsidRDefault="00E37775" w:rsidP="00182002">
            <w:pPr>
              <w:suppressAutoHyphens/>
              <w:autoSpaceDE w:val="0"/>
              <w:spacing w:line="276" w:lineRule="auto"/>
              <w:jc w:val="both"/>
              <w:rPr>
                <w:rFonts w:ascii="Times New Roman" w:hAnsi="Times New Roman"/>
                <w:szCs w:val="24"/>
                <w:lang w:eastAsia="zh-CN"/>
              </w:rPr>
            </w:pPr>
            <w:bookmarkStart w:id="2" w:name="_Hlk8374814"/>
            <w:r w:rsidRPr="0002261F">
              <w:rPr>
                <w:rFonts w:ascii="Times New Roman" w:hAnsi="Times New Roman"/>
                <w:szCs w:val="24"/>
                <w:lang w:eastAsia="zh-CN"/>
              </w:rPr>
              <w:t>Apdrošināšanas objektā nav iekļauta zeme, normatīvajos aktos noteiktā kārtībā reģistrācijai pakļautie transportlīdzekļi, sabiedriskā transportlīdzekļi (tramvaji, trolejbusi, autobusi), jaunie celtniecības objekti, kuru apdrošināšanu pilnībā līdz to nodošanai ekspluatācijā veic būvdarbu veicējs, ģenerāluzņēmējs vai cita trešā persona.</w:t>
            </w:r>
            <w:bookmarkEnd w:id="2"/>
          </w:p>
        </w:tc>
        <w:tc>
          <w:tcPr>
            <w:tcW w:w="120" w:type="pct"/>
          </w:tcPr>
          <w:p w14:paraId="74D31EEA" w14:textId="77777777" w:rsidR="00E37775" w:rsidRPr="0002261F" w:rsidRDefault="00E37775" w:rsidP="00182002">
            <w:pPr>
              <w:suppressAutoHyphens/>
              <w:autoSpaceDE w:val="0"/>
              <w:spacing w:line="276" w:lineRule="auto"/>
              <w:jc w:val="both"/>
              <w:rPr>
                <w:rFonts w:ascii="Times New Roman" w:hAnsi="Times New Roman"/>
                <w:i/>
                <w:szCs w:val="24"/>
                <w:lang w:eastAsia="zh-CN"/>
              </w:rPr>
            </w:pPr>
            <w:r w:rsidRPr="0002261F">
              <w:rPr>
                <w:rFonts w:ascii="Times New Roman" w:hAnsi="Times New Roman"/>
                <w:i/>
                <w:szCs w:val="24"/>
                <w:lang w:eastAsia="zh-CN"/>
              </w:rPr>
              <w:t xml:space="preserve"> </w:t>
            </w:r>
          </w:p>
        </w:tc>
      </w:tr>
      <w:tr w:rsidR="00E37775" w:rsidRPr="0002261F" w14:paraId="61CD16CE" w14:textId="77777777" w:rsidTr="00182002">
        <w:tc>
          <w:tcPr>
            <w:tcW w:w="473" w:type="pct"/>
          </w:tcPr>
          <w:p w14:paraId="148140D2"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1.3.</w:t>
            </w:r>
          </w:p>
        </w:tc>
        <w:tc>
          <w:tcPr>
            <w:tcW w:w="4407" w:type="pct"/>
          </w:tcPr>
          <w:p w14:paraId="3DA06433"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Ēkas, būves, kustamā manta, aprīkojums un krājumi tiks apdrošināti saskaņā ar apdrošināšanas objektu uzskaitījuma sarakstu.</w:t>
            </w:r>
          </w:p>
        </w:tc>
        <w:tc>
          <w:tcPr>
            <w:tcW w:w="120" w:type="pct"/>
          </w:tcPr>
          <w:p w14:paraId="4D30BCF0" w14:textId="77777777" w:rsidR="00E37775" w:rsidRPr="0002261F" w:rsidRDefault="00E37775" w:rsidP="00182002">
            <w:pPr>
              <w:spacing w:line="276" w:lineRule="auto"/>
              <w:rPr>
                <w:rFonts w:ascii="Times New Roman" w:hAnsi="Times New Roman"/>
                <w:i/>
                <w:szCs w:val="24"/>
              </w:rPr>
            </w:pPr>
          </w:p>
        </w:tc>
      </w:tr>
      <w:tr w:rsidR="00E37775" w:rsidRPr="0002261F" w14:paraId="25B0FECA" w14:textId="77777777" w:rsidTr="00182002">
        <w:tc>
          <w:tcPr>
            <w:tcW w:w="473" w:type="pct"/>
          </w:tcPr>
          <w:p w14:paraId="13F0D1F4"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1.4.</w:t>
            </w:r>
          </w:p>
        </w:tc>
        <w:tc>
          <w:tcPr>
            <w:tcW w:w="4407" w:type="pct"/>
          </w:tcPr>
          <w:p w14:paraId="18B32D73"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 xml:space="preserve">Attiecībā uz </w:t>
            </w:r>
            <w:r w:rsidRPr="0002261F">
              <w:rPr>
                <w:rFonts w:ascii="Times New Roman" w:hAnsi="Times New Roman"/>
                <w:b/>
                <w:i/>
                <w:szCs w:val="24"/>
                <w:lang w:eastAsia="zh-CN"/>
              </w:rPr>
              <w:t>ēkām un būvēm</w:t>
            </w:r>
            <w:r w:rsidRPr="0002261F">
              <w:rPr>
                <w:rFonts w:ascii="Times New Roman" w:hAnsi="Times New Roman"/>
                <w:szCs w:val="24"/>
                <w:lang w:eastAsia="zh-CN"/>
              </w:rPr>
              <w:t xml:space="preserve"> apdrošināšanas segums bez </w:t>
            </w:r>
            <w:proofErr w:type="spellStart"/>
            <w:r w:rsidRPr="0002261F">
              <w:rPr>
                <w:rFonts w:ascii="Times New Roman" w:hAnsi="Times New Roman"/>
                <w:szCs w:val="24"/>
                <w:lang w:eastAsia="zh-CN"/>
              </w:rPr>
              <w:t>apakšlimitu</w:t>
            </w:r>
            <w:proofErr w:type="spellEnd"/>
            <w:r w:rsidRPr="0002261F">
              <w:rPr>
                <w:rFonts w:ascii="Times New Roman" w:hAnsi="Times New Roman"/>
                <w:szCs w:val="24"/>
                <w:lang w:eastAsia="zh-CN"/>
              </w:rPr>
              <w:t xml:space="preserve"> piemērošanas tiks nodrošināts:</w:t>
            </w:r>
          </w:p>
        </w:tc>
        <w:tc>
          <w:tcPr>
            <w:tcW w:w="120" w:type="pct"/>
          </w:tcPr>
          <w:p w14:paraId="2CE343E9" w14:textId="77777777" w:rsidR="00E37775" w:rsidRPr="0002261F" w:rsidRDefault="00E37775" w:rsidP="00182002">
            <w:pPr>
              <w:spacing w:line="276" w:lineRule="auto"/>
              <w:rPr>
                <w:rFonts w:ascii="Times New Roman" w:hAnsi="Times New Roman"/>
                <w:i/>
                <w:szCs w:val="24"/>
              </w:rPr>
            </w:pPr>
          </w:p>
        </w:tc>
      </w:tr>
      <w:tr w:rsidR="00E37775" w:rsidRPr="0002261F" w14:paraId="0AD86C9C" w14:textId="77777777" w:rsidTr="00182002">
        <w:tc>
          <w:tcPr>
            <w:tcW w:w="473" w:type="pct"/>
          </w:tcPr>
          <w:p w14:paraId="122B4741" w14:textId="77777777" w:rsidR="00E37775" w:rsidRPr="0002261F" w:rsidRDefault="00E37775" w:rsidP="00182002">
            <w:pPr>
              <w:spacing w:line="276" w:lineRule="auto"/>
              <w:jc w:val="center"/>
              <w:rPr>
                <w:rFonts w:ascii="Times New Roman" w:hAnsi="Times New Roman"/>
                <w:b/>
                <w:szCs w:val="24"/>
              </w:rPr>
            </w:pPr>
            <w:r w:rsidRPr="0002261F">
              <w:rPr>
                <w:rFonts w:ascii="Times New Roman" w:hAnsi="Times New Roman"/>
                <w:szCs w:val="24"/>
              </w:rPr>
              <w:t>1.4.1.</w:t>
            </w:r>
          </w:p>
        </w:tc>
        <w:tc>
          <w:tcPr>
            <w:tcW w:w="4407" w:type="pct"/>
          </w:tcPr>
          <w:p w14:paraId="2159411D"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b/>
                <w:i/>
                <w:szCs w:val="24"/>
                <w:lang w:eastAsia="zh-CN"/>
              </w:rPr>
              <w:t>labiekārtojuma konstrukcijām</w:t>
            </w:r>
            <w:r w:rsidRPr="0002261F">
              <w:rPr>
                <w:rFonts w:ascii="Times New Roman" w:hAnsi="Times New Roman"/>
                <w:szCs w:val="24"/>
                <w:lang w:eastAsia="zh-CN"/>
              </w:rPr>
              <w:t xml:space="preserve"> - būvēm, kas ir pastāvīgi saistītas ar zemes gabalu, uz kura atrodas apdrošinātais nekustamais īpašums, kas ietverts apdrošināto objektu sarakstā (piemēram, barjeras, sienas, žogi, nojumes, estakādes, pievedceli un gājēju ceļi, stacionārās laistīšanas sistēmas, ārējais apgaismojums, karoga masti, reklāmas stendi u.c.);</w:t>
            </w:r>
          </w:p>
        </w:tc>
        <w:tc>
          <w:tcPr>
            <w:tcW w:w="120" w:type="pct"/>
          </w:tcPr>
          <w:p w14:paraId="7823A75C" w14:textId="77777777" w:rsidR="00E37775" w:rsidRPr="0002261F" w:rsidRDefault="00E37775" w:rsidP="00182002">
            <w:pPr>
              <w:spacing w:line="276" w:lineRule="auto"/>
              <w:rPr>
                <w:rFonts w:ascii="Times New Roman" w:hAnsi="Times New Roman"/>
                <w:b/>
                <w:i/>
                <w:szCs w:val="24"/>
              </w:rPr>
            </w:pPr>
          </w:p>
        </w:tc>
      </w:tr>
      <w:tr w:rsidR="00E37775" w:rsidRPr="0002261F" w14:paraId="30BDE0D7" w14:textId="77777777" w:rsidTr="00182002">
        <w:tc>
          <w:tcPr>
            <w:tcW w:w="473" w:type="pct"/>
          </w:tcPr>
          <w:p w14:paraId="2BCB5DA3"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1.4.2.</w:t>
            </w:r>
          </w:p>
        </w:tc>
        <w:tc>
          <w:tcPr>
            <w:tcW w:w="4407" w:type="pct"/>
          </w:tcPr>
          <w:p w14:paraId="33D3FC33"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 xml:space="preserve">apdrošināšanas objekta </w:t>
            </w:r>
            <w:r w:rsidRPr="0002261F">
              <w:rPr>
                <w:rFonts w:ascii="Times New Roman" w:hAnsi="Times New Roman"/>
                <w:b/>
                <w:i/>
                <w:szCs w:val="24"/>
                <w:lang w:eastAsia="zh-CN"/>
              </w:rPr>
              <w:t>ārējām sienām piestiprinātajiem priekšmetiem</w:t>
            </w:r>
            <w:r w:rsidRPr="0002261F">
              <w:rPr>
                <w:rFonts w:ascii="Times New Roman" w:hAnsi="Times New Roman"/>
                <w:szCs w:val="24"/>
                <w:lang w:eastAsia="zh-CN"/>
              </w:rPr>
              <w:t>, kur nav obligāti nepieciešami apdrošināšanas objekta lietošanai, vai kuru uzstādīšana nebija paredzēta apdrošināšanas objekta būvprojektā, tas ir, tādiem priekšmetiem, kuri ir uzstādīti apdrošināšanas objekta lietošanas laikā (piemēram, logu pārsegi, satelīta antenas, tehniskās apsardzes un video novērošanas sistēmas u.c.);</w:t>
            </w:r>
          </w:p>
        </w:tc>
        <w:tc>
          <w:tcPr>
            <w:tcW w:w="120" w:type="pct"/>
          </w:tcPr>
          <w:p w14:paraId="667EFD07" w14:textId="77777777" w:rsidR="00E37775" w:rsidRPr="0002261F" w:rsidRDefault="00E37775" w:rsidP="00182002">
            <w:pPr>
              <w:spacing w:line="276" w:lineRule="auto"/>
              <w:rPr>
                <w:rFonts w:ascii="Times New Roman" w:hAnsi="Times New Roman"/>
                <w:i/>
                <w:szCs w:val="24"/>
              </w:rPr>
            </w:pPr>
          </w:p>
        </w:tc>
      </w:tr>
      <w:tr w:rsidR="00E37775" w:rsidRPr="0002261F" w14:paraId="1F64D06D" w14:textId="77777777" w:rsidTr="00182002">
        <w:tc>
          <w:tcPr>
            <w:tcW w:w="473" w:type="pct"/>
          </w:tcPr>
          <w:p w14:paraId="7F677623"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1.4.3.</w:t>
            </w:r>
          </w:p>
        </w:tc>
        <w:tc>
          <w:tcPr>
            <w:tcW w:w="4407" w:type="pct"/>
          </w:tcPr>
          <w:p w14:paraId="3F2C1B58"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b/>
                <w:i/>
                <w:szCs w:val="24"/>
                <w:lang w:eastAsia="zh-CN"/>
              </w:rPr>
              <w:t xml:space="preserve">inženiertīklu </w:t>
            </w:r>
            <w:proofErr w:type="spellStart"/>
            <w:r w:rsidRPr="0002261F">
              <w:rPr>
                <w:rFonts w:ascii="Times New Roman" w:hAnsi="Times New Roman"/>
                <w:b/>
                <w:i/>
                <w:szCs w:val="24"/>
                <w:lang w:eastAsia="zh-CN"/>
              </w:rPr>
              <w:t>pievadiem</w:t>
            </w:r>
            <w:proofErr w:type="spellEnd"/>
            <w:r w:rsidRPr="0002261F">
              <w:rPr>
                <w:rFonts w:ascii="Times New Roman" w:hAnsi="Times New Roman"/>
                <w:szCs w:val="24"/>
                <w:lang w:eastAsia="zh-CN"/>
              </w:rPr>
              <w:t xml:space="preserve">, kas atzarojas no apdrošinātā nekustamā īpašuma līdz komunikāciju turētāju </w:t>
            </w:r>
            <w:proofErr w:type="spellStart"/>
            <w:r w:rsidRPr="0002261F">
              <w:rPr>
                <w:rFonts w:ascii="Times New Roman" w:hAnsi="Times New Roman"/>
                <w:szCs w:val="24"/>
                <w:lang w:eastAsia="zh-CN"/>
              </w:rPr>
              <w:t>pieslēgumam</w:t>
            </w:r>
            <w:proofErr w:type="spellEnd"/>
            <w:r w:rsidRPr="0002261F">
              <w:rPr>
                <w:rFonts w:ascii="Times New Roman" w:hAnsi="Times New Roman"/>
                <w:szCs w:val="24"/>
                <w:lang w:eastAsia="zh-CN"/>
              </w:rPr>
              <w:t xml:space="preserve"> (piemēram, cauruļvadiem, kabeļiem u.c.).</w:t>
            </w:r>
          </w:p>
        </w:tc>
        <w:tc>
          <w:tcPr>
            <w:tcW w:w="120" w:type="pct"/>
          </w:tcPr>
          <w:p w14:paraId="1A21D7E9" w14:textId="77777777" w:rsidR="00E37775" w:rsidRPr="0002261F" w:rsidRDefault="00E37775" w:rsidP="00182002">
            <w:pPr>
              <w:spacing w:line="276" w:lineRule="auto"/>
              <w:rPr>
                <w:rFonts w:ascii="Times New Roman" w:hAnsi="Times New Roman"/>
                <w:i/>
                <w:szCs w:val="24"/>
              </w:rPr>
            </w:pPr>
          </w:p>
        </w:tc>
      </w:tr>
      <w:tr w:rsidR="00E37775" w:rsidRPr="0002261F" w14:paraId="70D08DC3" w14:textId="77777777" w:rsidTr="00182002">
        <w:trPr>
          <w:trHeight w:val="342"/>
        </w:trPr>
        <w:tc>
          <w:tcPr>
            <w:tcW w:w="473" w:type="pct"/>
          </w:tcPr>
          <w:p w14:paraId="799CA3B6" w14:textId="77777777" w:rsidR="00E37775" w:rsidRPr="0002261F" w:rsidRDefault="00E37775" w:rsidP="00182002">
            <w:pPr>
              <w:spacing w:line="276" w:lineRule="auto"/>
              <w:jc w:val="center"/>
              <w:rPr>
                <w:rFonts w:ascii="Times New Roman" w:hAnsi="Times New Roman"/>
                <w:b/>
                <w:szCs w:val="24"/>
              </w:rPr>
            </w:pPr>
            <w:r w:rsidRPr="0002261F">
              <w:rPr>
                <w:rFonts w:ascii="Times New Roman" w:hAnsi="Times New Roman"/>
                <w:b/>
                <w:szCs w:val="24"/>
              </w:rPr>
              <w:t>2.</w:t>
            </w:r>
          </w:p>
        </w:tc>
        <w:tc>
          <w:tcPr>
            <w:tcW w:w="4407" w:type="pct"/>
          </w:tcPr>
          <w:p w14:paraId="09416D37" w14:textId="77777777" w:rsidR="00E37775" w:rsidRPr="0002261F" w:rsidRDefault="00E37775" w:rsidP="00182002">
            <w:pPr>
              <w:spacing w:line="276" w:lineRule="auto"/>
              <w:rPr>
                <w:rFonts w:ascii="Times New Roman" w:hAnsi="Times New Roman"/>
                <w:b/>
                <w:szCs w:val="24"/>
              </w:rPr>
            </w:pPr>
            <w:r w:rsidRPr="0002261F">
              <w:rPr>
                <w:rFonts w:ascii="Times New Roman" w:hAnsi="Times New Roman"/>
                <w:b/>
                <w:szCs w:val="24"/>
              </w:rPr>
              <w:t xml:space="preserve">Apdrošinājuma summa: </w:t>
            </w:r>
          </w:p>
        </w:tc>
        <w:tc>
          <w:tcPr>
            <w:tcW w:w="120" w:type="pct"/>
          </w:tcPr>
          <w:p w14:paraId="2E078044" w14:textId="77777777" w:rsidR="00E37775" w:rsidRPr="0002261F" w:rsidRDefault="00E37775" w:rsidP="00182002">
            <w:pPr>
              <w:spacing w:line="276" w:lineRule="auto"/>
              <w:rPr>
                <w:rFonts w:ascii="Times New Roman" w:hAnsi="Times New Roman"/>
                <w:i/>
                <w:szCs w:val="24"/>
              </w:rPr>
            </w:pPr>
          </w:p>
        </w:tc>
      </w:tr>
      <w:tr w:rsidR="00E37775" w:rsidRPr="0002261F" w14:paraId="4C7DEDEF" w14:textId="77777777" w:rsidTr="00182002">
        <w:tc>
          <w:tcPr>
            <w:tcW w:w="473" w:type="pct"/>
          </w:tcPr>
          <w:p w14:paraId="0BDB629C"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2.1.</w:t>
            </w:r>
          </w:p>
        </w:tc>
        <w:tc>
          <w:tcPr>
            <w:tcW w:w="4407" w:type="pct"/>
          </w:tcPr>
          <w:p w14:paraId="7A62BC61"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 xml:space="preserve">apdrošinājuma summa katram objektam </w:t>
            </w:r>
            <w:bookmarkStart w:id="3" w:name="_GoBack"/>
            <w:bookmarkEnd w:id="3"/>
            <w:r w:rsidRPr="0002261F">
              <w:rPr>
                <w:rFonts w:ascii="Times New Roman" w:hAnsi="Times New Roman"/>
                <w:szCs w:val="24"/>
                <w:lang w:eastAsia="zh-CN"/>
              </w:rPr>
              <w:t xml:space="preserve">atsevišķi tiks nodrošināta atjaunošanas/aizvietošanas vērtības apmērā, t.i., nodrošinot, lai </w:t>
            </w:r>
            <w:proofErr w:type="spellStart"/>
            <w:r w:rsidRPr="0002261F">
              <w:rPr>
                <w:rFonts w:ascii="Times New Roman" w:hAnsi="Times New Roman"/>
                <w:szCs w:val="24"/>
                <w:lang w:eastAsia="zh-CN"/>
              </w:rPr>
              <w:t>zemapdrošināšanas</w:t>
            </w:r>
            <w:proofErr w:type="spellEnd"/>
            <w:r w:rsidRPr="0002261F">
              <w:rPr>
                <w:rFonts w:ascii="Times New Roman" w:hAnsi="Times New Roman"/>
                <w:szCs w:val="24"/>
                <w:lang w:eastAsia="zh-CN"/>
              </w:rPr>
              <w:t xml:space="preserve"> princips nav spēkā. </w:t>
            </w:r>
          </w:p>
        </w:tc>
        <w:tc>
          <w:tcPr>
            <w:tcW w:w="120" w:type="pct"/>
          </w:tcPr>
          <w:p w14:paraId="38E1E0E8" w14:textId="77777777" w:rsidR="00E37775" w:rsidRPr="0002261F" w:rsidRDefault="00E37775" w:rsidP="00182002">
            <w:pPr>
              <w:spacing w:line="276" w:lineRule="auto"/>
              <w:rPr>
                <w:rFonts w:ascii="Times New Roman" w:hAnsi="Times New Roman"/>
                <w:i/>
                <w:szCs w:val="24"/>
              </w:rPr>
            </w:pPr>
          </w:p>
        </w:tc>
      </w:tr>
      <w:tr w:rsidR="00E37775" w:rsidRPr="0002261F" w14:paraId="6819874D" w14:textId="77777777" w:rsidTr="00182002">
        <w:tc>
          <w:tcPr>
            <w:tcW w:w="473" w:type="pct"/>
          </w:tcPr>
          <w:p w14:paraId="161DD8DF"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2.2.</w:t>
            </w:r>
          </w:p>
        </w:tc>
        <w:tc>
          <w:tcPr>
            <w:tcW w:w="4407" w:type="pct"/>
          </w:tcPr>
          <w:p w14:paraId="12159DD5" w14:textId="77E1C821"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 xml:space="preserve">apdrošinājuma summa katram objektam atsevišķi un visiem objektiem kopā tiek ierobežota ar </w:t>
            </w:r>
            <w:r w:rsidRPr="0002261F">
              <w:rPr>
                <w:rFonts w:ascii="Times New Roman" w:hAnsi="Times New Roman"/>
                <w:b/>
                <w:i/>
                <w:szCs w:val="24"/>
                <w:lang w:eastAsia="zh-CN"/>
              </w:rPr>
              <w:t xml:space="preserve">„pirmā zaudējuma limitu” </w:t>
            </w:r>
            <w:r w:rsidR="009F4CA7" w:rsidRPr="009F4CA7">
              <w:rPr>
                <w:rFonts w:ascii="Times New Roman" w:hAnsi="Times New Roman"/>
                <w:b/>
                <w:i/>
                <w:szCs w:val="24"/>
                <w:lang w:eastAsia="zh-CN"/>
              </w:rPr>
              <w:t>14 500</w:t>
            </w:r>
            <w:r w:rsidR="009F4CA7">
              <w:rPr>
                <w:rFonts w:ascii="Times New Roman" w:hAnsi="Times New Roman"/>
                <w:b/>
                <w:i/>
                <w:szCs w:val="24"/>
                <w:lang w:eastAsia="zh-CN"/>
              </w:rPr>
              <w:t> </w:t>
            </w:r>
            <w:r w:rsidR="009F4CA7" w:rsidRPr="009F4CA7">
              <w:rPr>
                <w:rFonts w:ascii="Times New Roman" w:hAnsi="Times New Roman"/>
                <w:b/>
                <w:i/>
                <w:szCs w:val="24"/>
                <w:lang w:eastAsia="zh-CN"/>
              </w:rPr>
              <w:t>000</w:t>
            </w:r>
            <w:r w:rsidR="009F4CA7">
              <w:rPr>
                <w:rFonts w:ascii="Times New Roman" w:hAnsi="Times New Roman"/>
                <w:b/>
                <w:i/>
                <w:szCs w:val="24"/>
                <w:lang w:eastAsia="zh-CN"/>
              </w:rPr>
              <w:t xml:space="preserve"> </w:t>
            </w:r>
            <w:r w:rsidRPr="0002261F">
              <w:rPr>
                <w:rFonts w:ascii="Times New Roman" w:hAnsi="Times New Roman"/>
                <w:b/>
                <w:i/>
                <w:szCs w:val="24"/>
                <w:lang w:eastAsia="zh-CN"/>
              </w:rPr>
              <w:t>eiro apmērā</w:t>
            </w:r>
            <w:r w:rsidRPr="0002261F">
              <w:rPr>
                <w:rFonts w:ascii="Times New Roman" w:hAnsi="Times New Roman"/>
                <w:szCs w:val="24"/>
                <w:lang w:eastAsia="zh-CN"/>
              </w:rPr>
              <w:t>.</w:t>
            </w:r>
          </w:p>
        </w:tc>
        <w:tc>
          <w:tcPr>
            <w:tcW w:w="120" w:type="pct"/>
          </w:tcPr>
          <w:p w14:paraId="6254BE68" w14:textId="77777777" w:rsidR="00E37775" w:rsidRPr="0002261F" w:rsidRDefault="00E37775" w:rsidP="00182002">
            <w:pPr>
              <w:spacing w:line="276" w:lineRule="auto"/>
              <w:rPr>
                <w:rFonts w:ascii="Times New Roman" w:hAnsi="Times New Roman"/>
                <w:i/>
                <w:szCs w:val="24"/>
              </w:rPr>
            </w:pPr>
          </w:p>
        </w:tc>
      </w:tr>
      <w:tr w:rsidR="00E37775" w:rsidRPr="0002261F" w14:paraId="6316D996" w14:textId="77777777" w:rsidTr="00182002">
        <w:tc>
          <w:tcPr>
            <w:tcW w:w="473" w:type="pct"/>
          </w:tcPr>
          <w:p w14:paraId="366887EA"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lastRenderedPageBreak/>
              <w:t>2.3.</w:t>
            </w:r>
          </w:p>
        </w:tc>
        <w:tc>
          <w:tcPr>
            <w:tcW w:w="4407" w:type="pct"/>
          </w:tcPr>
          <w:p w14:paraId="6332E7E9"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apdrošinājuma summa katram objektam atsevišķi pēc apdrošināšanas atlīdzības izmaksas tiek atjaunota pilnā apmērā bez papildu apdrošināšanas prēmijas samaksas, izņemot gadījumus, kad īpašums ir gājis bojā un netiek atjaunots.</w:t>
            </w:r>
          </w:p>
        </w:tc>
        <w:tc>
          <w:tcPr>
            <w:tcW w:w="120" w:type="pct"/>
          </w:tcPr>
          <w:p w14:paraId="32F7AF8F" w14:textId="77777777" w:rsidR="00E37775" w:rsidRPr="0002261F" w:rsidRDefault="00E37775" w:rsidP="00182002">
            <w:pPr>
              <w:spacing w:line="276" w:lineRule="auto"/>
              <w:rPr>
                <w:rFonts w:ascii="Times New Roman" w:hAnsi="Times New Roman"/>
                <w:i/>
                <w:szCs w:val="24"/>
              </w:rPr>
            </w:pPr>
          </w:p>
        </w:tc>
      </w:tr>
      <w:tr w:rsidR="00E37775" w:rsidRPr="0002261F" w14:paraId="7C399D93" w14:textId="77777777" w:rsidTr="00182002">
        <w:tc>
          <w:tcPr>
            <w:tcW w:w="473" w:type="pct"/>
          </w:tcPr>
          <w:p w14:paraId="7EA64B1F" w14:textId="77777777" w:rsidR="00E37775" w:rsidRPr="0002261F" w:rsidRDefault="00E37775" w:rsidP="00182002">
            <w:pPr>
              <w:spacing w:line="276" w:lineRule="auto"/>
              <w:jc w:val="center"/>
              <w:rPr>
                <w:rFonts w:ascii="Times New Roman" w:hAnsi="Times New Roman"/>
                <w:b/>
                <w:szCs w:val="24"/>
              </w:rPr>
            </w:pPr>
            <w:r w:rsidRPr="0002261F">
              <w:rPr>
                <w:rFonts w:ascii="Times New Roman" w:hAnsi="Times New Roman"/>
                <w:b/>
                <w:szCs w:val="24"/>
              </w:rPr>
              <w:t>3.</w:t>
            </w:r>
          </w:p>
        </w:tc>
        <w:tc>
          <w:tcPr>
            <w:tcW w:w="4407" w:type="pct"/>
          </w:tcPr>
          <w:p w14:paraId="4C9CD939"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b/>
                <w:szCs w:val="24"/>
                <w:lang w:eastAsia="zh-CN"/>
              </w:rPr>
              <w:t>Apdrošināšanas teritorija</w:t>
            </w:r>
            <w:r w:rsidRPr="0002261F">
              <w:rPr>
                <w:rFonts w:ascii="Times New Roman" w:hAnsi="Times New Roman"/>
                <w:szCs w:val="24"/>
                <w:lang w:eastAsia="zh-CN"/>
              </w:rPr>
              <w:t xml:space="preserve"> – visi objekti, kuros Pasūtītājs veic un apdrošināšanas perioda laikā uzsāk veikt saimniecisko darbību, vai kas nodrošina Pasūtītāja saimniecisko darbību (t.sk. neiežogotās teritorijas).</w:t>
            </w:r>
          </w:p>
        </w:tc>
        <w:tc>
          <w:tcPr>
            <w:tcW w:w="120" w:type="pct"/>
          </w:tcPr>
          <w:p w14:paraId="38464E60" w14:textId="77777777" w:rsidR="00E37775" w:rsidRPr="0002261F" w:rsidRDefault="00E37775" w:rsidP="00182002">
            <w:pPr>
              <w:spacing w:line="276" w:lineRule="auto"/>
              <w:rPr>
                <w:rFonts w:ascii="Times New Roman" w:hAnsi="Times New Roman"/>
                <w:i/>
                <w:szCs w:val="24"/>
              </w:rPr>
            </w:pPr>
          </w:p>
        </w:tc>
      </w:tr>
      <w:tr w:rsidR="00E37775" w:rsidRPr="0002261F" w14:paraId="3F1D1D7F" w14:textId="77777777" w:rsidTr="00182002">
        <w:tc>
          <w:tcPr>
            <w:tcW w:w="473" w:type="pct"/>
          </w:tcPr>
          <w:p w14:paraId="495F1566"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3.1.</w:t>
            </w:r>
          </w:p>
        </w:tc>
        <w:tc>
          <w:tcPr>
            <w:tcW w:w="4407" w:type="pct"/>
          </w:tcPr>
          <w:p w14:paraId="5FC4D3C7"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 xml:space="preserve">Tiks nodrošināts Tehniskās specifikācijas 4.punktam atbilstošs apdrošināšanas segums 50 000 eiro </w:t>
            </w:r>
            <w:proofErr w:type="spellStart"/>
            <w:r w:rsidRPr="0002261F">
              <w:rPr>
                <w:rFonts w:ascii="Times New Roman" w:hAnsi="Times New Roman"/>
                <w:szCs w:val="24"/>
                <w:lang w:eastAsia="zh-CN"/>
              </w:rPr>
              <w:t>apakšlimita</w:t>
            </w:r>
            <w:proofErr w:type="spellEnd"/>
            <w:r w:rsidRPr="0002261F">
              <w:rPr>
                <w:rFonts w:ascii="Times New Roman" w:hAnsi="Times New Roman"/>
                <w:szCs w:val="24"/>
                <w:lang w:eastAsia="zh-CN"/>
              </w:rPr>
              <w:t xml:space="preserve"> ietvaros (par jebkuru vienu gadījumu un periodā kopā) kustamajam īpašumam ārpus apdrošinātā nekustamā īpašuma vai nožogotas un apsargātas teritorijas, kurā Pasūtītājs veic saimniecisko darbību, piemēram, atrodoties ceļā. Portatīvajai tehnikai (datori, mobilie telefoni u.tml.) teritorija Eiropa, pārējam īpašumam - Latvija.</w:t>
            </w:r>
          </w:p>
        </w:tc>
        <w:tc>
          <w:tcPr>
            <w:tcW w:w="120" w:type="pct"/>
          </w:tcPr>
          <w:p w14:paraId="1CFD5E73" w14:textId="77777777" w:rsidR="00E37775" w:rsidRPr="0002261F" w:rsidRDefault="00E37775" w:rsidP="00182002">
            <w:pPr>
              <w:spacing w:line="276" w:lineRule="auto"/>
              <w:rPr>
                <w:rFonts w:ascii="Times New Roman" w:hAnsi="Times New Roman"/>
                <w:i/>
                <w:szCs w:val="24"/>
              </w:rPr>
            </w:pPr>
          </w:p>
        </w:tc>
      </w:tr>
      <w:tr w:rsidR="00E37775" w:rsidRPr="0002261F" w14:paraId="145C5A5B" w14:textId="77777777" w:rsidTr="00182002">
        <w:tc>
          <w:tcPr>
            <w:tcW w:w="473" w:type="pct"/>
          </w:tcPr>
          <w:p w14:paraId="5B01620F"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4.</w:t>
            </w:r>
          </w:p>
        </w:tc>
        <w:tc>
          <w:tcPr>
            <w:tcW w:w="4407" w:type="pct"/>
          </w:tcPr>
          <w:p w14:paraId="5F1BB9E1"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b/>
                <w:szCs w:val="24"/>
                <w:lang w:eastAsia="zh-CN"/>
              </w:rPr>
              <w:t>Apdrošinātie riski - visu risku segums</w:t>
            </w:r>
            <w:r w:rsidRPr="0002261F">
              <w:rPr>
                <w:rFonts w:ascii="Times New Roman" w:hAnsi="Times New Roman"/>
                <w:szCs w:val="24"/>
                <w:lang w:eastAsia="zh-CN"/>
              </w:rPr>
              <w:t>. Visi riski šīs sadaļas izpratnē ir jebkāds apdrošinātā īpašuma pēkšņs un neparedzēts fiziska bojājuma vai zuduma gadījums jebkādu cēloņu rezultātā, tai skaitā, bet neierobežojot ar zemāk nosauktajiem riskiem:</w:t>
            </w:r>
          </w:p>
        </w:tc>
        <w:tc>
          <w:tcPr>
            <w:tcW w:w="120" w:type="pct"/>
          </w:tcPr>
          <w:p w14:paraId="45B6E42D" w14:textId="77777777" w:rsidR="00E37775" w:rsidRPr="0002261F" w:rsidRDefault="00E37775" w:rsidP="00182002">
            <w:pPr>
              <w:spacing w:line="276" w:lineRule="auto"/>
              <w:rPr>
                <w:rFonts w:ascii="Times New Roman" w:hAnsi="Times New Roman"/>
                <w:i/>
                <w:szCs w:val="24"/>
              </w:rPr>
            </w:pPr>
            <w:r w:rsidRPr="0002261F">
              <w:rPr>
                <w:rFonts w:ascii="Times New Roman" w:hAnsi="Times New Roman"/>
                <w:i/>
                <w:szCs w:val="24"/>
              </w:rPr>
              <w:t xml:space="preserve"> </w:t>
            </w:r>
          </w:p>
        </w:tc>
      </w:tr>
      <w:tr w:rsidR="00E37775" w:rsidRPr="0002261F" w14:paraId="63C7B810" w14:textId="77777777" w:rsidTr="00182002">
        <w:tc>
          <w:tcPr>
            <w:tcW w:w="473" w:type="pct"/>
          </w:tcPr>
          <w:p w14:paraId="36031DE4"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4.1.</w:t>
            </w:r>
          </w:p>
        </w:tc>
        <w:tc>
          <w:tcPr>
            <w:tcW w:w="4407" w:type="pct"/>
          </w:tcPr>
          <w:p w14:paraId="309E7C96"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Ugunsgrēks – neparedzēta, nekontrolējama degšana, kas rada vai var radīt zaudējumus, neatkarīgi no iemesla. Ar uguns risku apdrošināti tiek arī zaudējumi, kas rodas degšanas procesā no dūmiem, kvēpiem, karstuma, gruzdēšanas, kā arī zaudējumi vai bojājumi, kas rodas uguns dzēšanas procesā.</w:t>
            </w:r>
          </w:p>
        </w:tc>
        <w:tc>
          <w:tcPr>
            <w:tcW w:w="120" w:type="pct"/>
          </w:tcPr>
          <w:p w14:paraId="4B1E4847" w14:textId="77777777" w:rsidR="00E37775" w:rsidRPr="0002261F" w:rsidRDefault="00E37775" w:rsidP="00182002">
            <w:pPr>
              <w:spacing w:line="276" w:lineRule="auto"/>
              <w:rPr>
                <w:rFonts w:ascii="Times New Roman" w:hAnsi="Times New Roman"/>
                <w:i/>
                <w:szCs w:val="24"/>
              </w:rPr>
            </w:pPr>
          </w:p>
        </w:tc>
      </w:tr>
      <w:tr w:rsidR="00E37775" w:rsidRPr="0002261F" w14:paraId="7DC88A99" w14:textId="77777777" w:rsidTr="00182002">
        <w:tc>
          <w:tcPr>
            <w:tcW w:w="473" w:type="pct"/>
          </w:tcPr>
          <w:p w14:paraId="7FED29B5"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4.2.</w:t>
            </w:r>
          </w:p>
        </w:tc>
        <w:tc>
          <w:tcPr>
            <w:tcW w:w="4407" w:type="pct"/>
          </w:tcPr>
          <w:p w14:paraId="4865F42C"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Eksplozija – momentāna (eksplozīva) vielas vai maisījuma ķīmiska pārvērtība, kas rada paaugstinātu spiedienu (triecienviļņi) vai pēkšņa ārdoša spiediena spēka izpausme, kad tvertnes (katla, cauruļvada utt.) sienas tiek sagrautas un spiediens izlīdzinās tvertnes iekšpusē un ārpusē.</w:t>
            </w:r>
          </w:p>
        </w:tc>
        <w:tc>
          <w:tcPr>
            <w:tcW w:w="120" w:type="pct"/>
          </w:tcPr>
          <w:p w14:paraId="0A5519B9" w14:textId="77777777" w:rsidR="00E37775" w:rsidRPr="0002261F" w:rsidRDefault="00E37775" w:rsidP="00182002">
            <w:pPr>
              <w:spacing w:line="276" w:lineRule="auto"/>
              <w:rPr>
                <w:rFonts w:ascii="Times New Roman" w:hAnsi="Times New Roman"/>
                <w:i/>
                <w:szCs w:val="24"/>
              </w:rPr>
            </w:pPr>
          </w:p>
        </w:tc>
      </w:tr>
      <w:tr w:rsidR="00E37775" w:rsidRPr="0002261F" w14:paraId="759E1E5E" w14:textId="77777777" w:rsidTr="00182002">
        <w:tc>
          <w:tcPr>
            <w:tcW w:w="473" w:type="pct"/>
          </w:tcPr>
          <w:p w14:paraId="1179F8DC"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4.3.</w:t>
            </w:r>
          </w:p>
        </w:tc>
        <w:tc>
          <w:tcPr>
            <w:tcW w:w="4407" w:type="pct"/>
          </w:tcPr>
          <w:p w14:paraId="0F4CCB58"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 xml:space="preserve">Zibens spēriens (t.sk., lodveida zibens) – tieša atmosfēras </w:t>
            </w:r>
            <w:proofErr w:type="spellStart"/>
            <w:r w:rsidRPr="0002261F">
              <w:rPr>
                <w:rFonts w:ascii="Times New Roman" w:hAnsi="Times New Roman"/>
                <w:szCs w:val="24"/>
                <w:lang w:eastAsia="zh-CN"/>
              </w:rPr>
              <w:t>pārsprieguma</w:t>
            </w:r>
            <w:proofErr w:type="spellEnd"/>
            <w:r w:rsidRPr="0002261F">
              <w:rPr>
                <w:rFonts w:ascii="Times New Roman" w:hAnsi="Times New Roman"/>
                <w:szCs w:val="24"/>
                <w:lang w:eastAsia="zh-CN"/>
              </w:rPr>
              <w:t xml:space="preserve"> iedarbība uz apdrošinātajiem priekšmetiem un elektroietaisēm.</w:t>
            </w:r>
          </w:p>
        </w:tc>
        <w:tc>
          <w:tcPr>
            <w:tcW w:w="120" w:type="pct"/>
          </w:tcPr>
          <w:p w14:paraId="1021A405" w14:textId="77777777" w:rsidR="00E37775" w:rsidRPr="0002261F" w:rsidRDefault="00E37775" w:rsidP="00182002">
            <w:pPr>
              <w:spacing w:line="276" w:lineRule="auto"/>
              <w:rPr>
                <w:rFonts w:ascii="Times New Roman" w:hAnsi="Times New Roman"/>
                <w:i/>
                <w:szCs w:val="24"/>
              </w:rPr>
            </w:pPr>
          </w:p>
        </w:tc>
      </w:tr>
      <w:tr w:rsidR="00E37775" w:rsidRPr="0002261F" w14:paraId="28376183" w14:textId="77777777" w:rsidTr="00182002">
        <w:tc>
          <w:tcPr>
            <w:tcW w:w="473" w:type="pct"/>
          </w:tcPr>
          <w:p w14:paraId="4DFFF216"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4.4.</w:t>
            </w:r>
          </w:p>
        </w:tc>
        <w:tc>
          <w:tcPr>
            <w:tcW w:w="4407" w:type="pct"/>
          </w:tcPr>
          <w:p w14:paraId="6EF70C3B"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Plūdi – lielākas vai mazākas teritorijas applūšana ar ūdeni, kas pārgājis pāri ūdenstilpņu vai baseinu robežām.</w:t>
            </w:r>
          </w:p>
        </w:tc>
        <w:tc>
          <w:tcPr>
            <w:tcW w:w="120" w:type="pct"/>
          </w:tcPr>
          <w:p w14:paraId="169D3643" w14:textId="77777777" w:rsidR="00E37775" w:rsidRPr="0002261F" w:rsidRDefault="00E37775" w:rsidP="00182002">
            <w:pPr>
              <w:spacing w:line="276" w:lineRule="auto"/>
              <w:rPr>
                <w:rFonts w:ascii="Times New Roman" w:hAnsi="Times New Roman"/>
                <w:i/>
                <w:szCs w:val="24"/>
              </w:rPr>
            </w:pPr>
          </w:p>
        </w:tc>
      </w:tr>
      <w:tr w:rsidR="00E37775" w:rsidRPr="0002261F" w14:paraId="2DDA2B3E" w14:textId="77777777" w:rsidTr="00182002">
        <w:tc>
          <w:tcPr>
            <w:tcW w:w="473" w:type="pct"/>
          </w:tcPr>
          <w:p w14:paraId="6FA4A8C4"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4.5.</w:t>
            </w:r>
          </w:p>
        </w:tc>
        <w:tc>
          <w:tcPr>
            <w:tcW w:w="4407" w:type="pct"/>
          </w:tcPr>
          <w:p w14:paraId="1AEB60AA"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Vēja nodarīti bojājumi.</w:t>
            </w:r>
          </w:p>
        </w:tc>
        <w:tc>
          <w:tcPr>
            <w:tcW w:w="120" w:type="pct"/>
          </w:tcPr>
          <w:p w14:paraId="52E81E2B" w14:textId="77777777" w:rsidR="00E37775" w:rsidRPr="0002261F" w:rsidRDefault="00E37775" w:rsidP="00182002">
            <w:pPr>
              <w:spacing w:line="276" w:lineRule="auto"/>
              <w:rPr>
                <w:rFonts w:ascii="Times New Roman" w:hAnsi="Times New Roman"/>
                <w:i/>
                <w:szCs w:val="24"/>
              </w:rPr>
            </w:pPr>
          </w:p>
        </w:tc>
      </w:tr>
      <w:tr w:rsidR="00E37775" w:rsidRPr="0002261F" w14:paraId="2CF75669" w14:textId="77777777" w:rsidTr="00182002">
        <w:tc>
          <w:tcPr>
            <w:tcW w:w="473" w:type="pct"/>
          </w:tcPr>
          <w:p w14:paraId="25B9B846"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4.6</w:t>
            </w:r>
          </w:p>
        </w:tc>
        <w:tc>
          <w:tcPr>
            <w:tcW w:w="4407" w:type="pct"/>
          </w:tcPr>
          <w:p w14:paraId="60DF2B98"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Zemestrīce – zemes garozas svārstības Latvijas teritorijā.</w:t>
            </w:r>
          </w:p>
        </w:tc>
        <w:tc>
          <w:tcPr>
            <w:tcW w:w="120" w:type="pct"/>
          </w:tcPr>
          <w:p w14:paraId="6C986213" w14:textId="77777777" w:rsidR="00E37775" w:rsidRPr="0002261F" w:rsidRDefault="00E37775" w:rsidP="00182002">
            <w:pPr>
              <w:spacing w:line="276" w:lineRule="auto"/>
              <w:rPr>
                <w:rFonts w:ascii="Times New Roman" w:hAnsi="Times New Roman"/>
                <w:i/>
                <w:szCs w:val="24"/>
              </w:rPr>
            </w:pPr>
          </w:p>
        </w:tc>
      </w:tr>
      <w:tr w:rsidR="00E37775" w:rsidRPr="0002261F" w14:paraId="73E6EE6A" w14:textId="77777777" w:rsidTr="00182002">
        <w:tc>
          <w:tcPr>
            <w:tcW w:w="473" w:type="pct"/>
          </w:tcPr>
          <w:p w14:paraId="27BAB604"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4.7.</w:t>
            </w:r>
          </w:p>
        </w:tc>
        <w:tc>
          <w:tcPr>
            <w:tcW w:w="4407" w:type="pct"/>
          </w:tcPr>
          <w:p w14:paraId="40E56FF3"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Krusa – dažādas formas, lieluma vai svara ledus gabaliņi, kas nokrīt uz apdrošināto objektu un tādējādi izraisa tā bojāeju vai bojājumu.</w:t>
            </w:r>
          </w:p>
        </w:tc>
        <w:tc>
          <w:tcPr>
            <w:tcW w:w="120" w:type="pct"/>
          </w:tcPr>
          <w:p w14:paraId="3D049578" w14:textId="77777777" w:rsidR="00E37775" w:rsidRPr="0002261F" w:rsidRDefault="00E37775" w:rsidP="00182002">
            <w:pPr>
              <w:spacing w:line="276" w:lineRule="auto"/>
              <w:rPr>
                <w:rFonts w:ascii="Times New Roman" w:hAnsi="Times New Roman"/>
                <w:i/>
                <w:szCs w:val="24"/>
              </w:rPr>
            </w:pPr>
          </w:p>
        </w:tc>
      </w:tr>
      <w:tr w:rsidR="00E37775" w:rsidRPr="0002261F" w14:paraId="43796D99" w14:textId="77777777" w:rsidTr="00182002">
        <w:tc>
          <w:tcPr>
            <w:tcW w:w="473" w:type="pct"/>
          </w:tcPr>
          <w:p w14:paraId="7D553FD5"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4.8.</w:t>
            </w:r>
          </w:p>
        </w:tc>
        <w:tc>
          <w:tcPr>
            <w:tcW w:w="4407" w:type="pct"/>
          </w:tcPr>
          <w:p w14:paraId="4A7EBACD"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 xml:space="preserve">Nepārtraukta snigšanas rezultātā radušies sniega vai ledus svara, kā arī krītoša sniega vai ledus nodarīti bojājumi apdrošinātajam objektam (tai skaitā pie ēkām piestiprinātiem gaismas ķermeņiem, videonovērošanas kamerām, kondicionēšanas un ventilācijas iekārtām, reklāmas </w:t>
            </w:r>
            <w:proofErr w:type="spellStart"/>
            <w:r w:rsidRPr="0002261F">
              <w:rPr>
                <w:rFonts w:ascii="Times New Roman" w:hAnsi="Times New Roman"/>
                <w:szCs w:val="24"/>
                <w:lang w:eastAsia="zh-CN"/>
              </w:rPr>
              <w:t>izkārtnēm</w:t>
            </w:r>
            <w:proofErr w:type="spellEnd"/>
            <w:r w:rsidRPr="0002261F">
              <w:rPr>
                <w:rFonts w:ascii="Times New Roman" w:hAnsi="Times New Roman"/>
                <w:szCs w:val="24"/>
                <w:lang w:eastAsia="zh-CN"/>
              </w:rPr>
              <w:t>, nojumēm), ja sniegu vai ledu savlaicīgi nav bijis iespējams notīrīt objektīvu iemeslu dēļ.</w:t>
            </w:r>
          </w:p>
        </w:tc>
        <w:tc>
          <w:tcPr>
            <w:tcW w:w="120" w:type="pct"/>
          </w:tcPr>
          <w:p w14:paraId="7AD11E04" w14:textId="77777777" w:rsidR="00E37775" w:rsidRPr="0002261F" w:rsidRDefault="00E37775" w:rsidP="00182002">
            <w:pPr>
              <w:spacing w:line="276" w:lineRule="auto"/>
              <w:rPr>
                <w:rFonts w:ascii="Times New Roman" w:hAnsi="Times New Roman"/>
                <w:i/>
                <w:szCs w:val="24"/>
              </w:rPr>
            </w:pPr>
          </w:p>
        </w:tc>
      </w:tr>
      <w:tr w:rsidR="00E37775" w:rsidRPr="0002261F" w14:paraId="6B0FFF54" w14:textId="77777777" w:rsidTr="00182002">
        <w:tc>
          <w:tcPr>
            <w:tcW w:w="473" w:type="pct"/>
          </w:tcPr>
          <w:p w14:paraId="246E6106"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4.9.</w:t>
            </w:r>
          </w:p>
        </w:tc>
        <w:tc>
          <w:tcPr>
            <w:tcW w:w="4407" w:type="pct"/>
          </w:tcPr>
          <w:p w14:paraId="398CDFDF"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Koku, mastu vai citu priekšmetu un vielu uzkrišana apdrošinātajiem objektiem, neatkarīgi no iemesla.</w:t>
            </w:r>
          </w:p>
        </w:tc>
        <w:tc>
          <w:tcPr>
            <w:tcW w:w="120" w:type="pct"/>
          </w:tcPr>
          <w:p w14:paraId="6C754CCB" w14:textId="77777777" w:rsidR="00E37775" w:rsidRPr="0002261F" w:rsidRDefault="00E37775" w:rsidP="00182002">
            <w:pPr>
              <w:spacing w:line="276" w:lineRule="auto"/>
              <w:rPr>
                <w:rFonts w:ascii="Times New Roman" w:hAnsi="Times New Roman"/>
                <w:i/>
                <w:szCs w:val="24"/>
              </w:rPr>
            </w:pPr>
          </w:p>
        </w:tc>
      </w:tr>
      <w:tr w:rsidR="00E37775" w:rsidRPr="0002261F" w14:paraId="2F833B8B" w14:textId="77777777" w:rsidTr="00182002">
        <w:tc>
          <w:tcPr>
            <w:tcW w:w="473" w:type="pct"/>
          </w:tcPr>
          <w:p w14:paraId="5FC335D2"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4.10.</w:t>
            </w:r>
          </w:p>
        </w:tc>
        <w:tc>
          <w:tcPr>
            <w:tcW w:w="4407" w:type="pct"/>
          </w:tcPr>
          <w:p w14:paraId="5EF4A050"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Gaisa kuģu, to daļu vai to pārvadājamās kravas uzkrišana apdrošinātajam objektam.</w:t>
            </w:r>
          </w:p>
        </w:tc>
        <w:tc>
          <w:tcPr>
            <w:tcW w:w="120" w:type="pct"/>
          </w:tcPr>
          <w:p w14:paraId="69B713E6" w14:textId="77777777" w:rsidR="00E37775" w:rsidRPr="0002261F" w:rsidRDefault="00E37775" w:rsidP="00182002">
            <w:pPr>
              <w:spacing w:line="276" w:lineRule="auto"/>
              <w:rPr>
                <w:rFonts w:ascii="Times New Roman" w:hAnsi="Times New Roman"/>
                <w:i/>
                <w:szCs w:val="24"/>
              </w:rPr>
            </w:pPr>
          </w:p>
        </w:tc>
      </w:tr>
      <w:tr w:rsidR="00E37775" w:rsidRPr="0002261F" w14:paraId="03A951A8" w14:textId="77777777" w:rsidTr="00182002">
        <w:tc>
          <w:tcPr>
            <w:tcW w:w="473" w:type="pct"/>
          </w:tcPr>
          <w:p w14:paraId="589006EE"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4.11.</w:t>
            </w:r>
          </w:p>
        </w:tc>
        <w:tc>
          <w:tcPr>
            <w:tcW w:w="4407" w:type="pct"/>
          </w:tcPr>
          <w:p w14:paraId="2866C496"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 xml:space="preserve">Ūdens, šķidruma noplūde – jebkuras cisternas, rezervuāra, caurules ūdens vai kanalizācijas sistēmas avārija. Zaudējumi, kas radušies, noplūstot šķidrumam vai tvaikam no ūdens apgādes, kanalizācijas, apkures, ugunsdzēšanas sistēmu cauruļvadiem vai ierīcēm, kā arī no citām ēkā vai būvē izvietotām ierīcēm un </w:t>
            </w:r>
            <w:r w:rsidRPr="0002261F">
              <w:rPr>
                <w:rFonts w:ascii="Times New Roman" w:hAnsi="Times New Roman"/>
                <w:szCs w:val="24"/>
                <w:lang w:eastAsia="zh-CN"/>
              </w:rPr>
              <w:lastRenderedPageBreak/>
              <w:t>cauruļvadiem, tai skaitā trešo personu darbības vai bezdarbības rezultātā notikusi šķidruma vai tvaika noplūde.</w:t>
            </w:r>
          </w:p>
        </w:tc>
        <w:tc>
          <w:tcPr>
            <w:tcW w:w="120" w:type="pct"/>
          </w:tcPr>
          <w:p w14:paraId="09906618" w14:textId="77777777" w:rsidR="00E37775" w:rsidRPr="0002261F" w:rsidRDefault="00E37775" w:rsidP="00182002">
            <w:pPr>
              <w:spacing w:line="276" w:lineRule="auto"/>
              <w:rPr>
                <w:rFonts w:ascii="Times New Roman" w:hAnsi="Times New Roman"/>
                <w:i/>
                <w:szCs w:val="24"/>
              </w:rPr>
            </w:pPr>
          </w:p>
        </w:tc>
      </w:tr>
      <w:tr w:rsidR="00E37775" w:rsidRPr="0002261F" w14:paraId="5C812774" w14:textId="77777777" w:rsidTr="00182002">
        <w:tc>
          <w:tcPr>
            <w:tcW w:w="473" w:type="pct"/>
          </w:tcPr>
          <w:p w14:paraId="11AE5095"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4.12.</w:t>
            </w:r>
          </w:p>
        </w:tc>
        <w:tc>
          <w:tcPr>
            <w:tcW w:w="4407" w:type="pct"/>
          </w:tcPr>
          <w:p w14:paraId="67562098"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 xml:space="preserve">Trešo personu prettiesiska rīcība – zādzība, zādzības mēģinājums, laupīšana, laupīšanas mēģinājums, vandālisms, ļaunprātīga dedzināšana, sprādziena izraisīšana, terorisms un citas trešo personu prettiesiskas rīcības, tai skaitā, grafiti ar </w:t>
            </w:r>
            <w:proofErr w:type="spellStart"/>
            <w:r w:rsidRPr="0002261F">
              <w:rPr>
                <w:rFonts w:ascii="Times New Roman" w:hAnsi="Times New Roman"/>
                <w:szCs w:val="24"/>
                <w:lang w:eastAsia="zh-CN"/>
              </w:rPr>
              <w:t>apakšlimitu</w:t>
            </w:r>
            <w:proofErr w:type="spellEnd"/>
            <w:r w:rsidRPr="0002261F">
              <w:rPr>
                <w:rFonts w:ascii="Times New Roman" w:hAnsi="Times New Roman"/>
                <w:szCs w:val="24"/>
                <w:lang w:eastAsia="zh-CN"/>
              </w:rPr>
              <w:t xml:space="preserve"> 15 000 eiro,</w:t>
            </w:r>
            <w:r w:rsidR="00182002">
              <w:rPr>
                <w:rFonts w:ascii="Times New Roman" w:hAnsi="Times New Roman"/>
                <w:szCs w:val="24"/>
                <w:lang w:eastAsia="zh-CN"/>
              </w:rPr>
              <w:t xml:space="preserve"> </w:t>
            </w:r>
            <w:r w:rsidRPr="0002261F">
              <w:rPr>
                <w:rFonts w:ascii="Times New Roman" w:hAnsi="Times New Roman"/>
                <w:szCs w:val="24"/>
                <w:lang w:eastAsia="zh-CN"/>
              </w:rPr>
              <w:t>tīša/netīša īpašuma bojāšana vai iznīcināšana (saskaņā ar Latvijas Republikas krimināltiesību normām). Apdrošināšanas riska “Terorisms” apdrošināšanas atlīdzībai tiek noteikts limits 12 000 000 eiro.</w:t>
            </w:r>
          </w:p>
        </w:tc>
        <w:tc>
          <w:tcPr>
            <w:tcW w:w="120" w:type="pct"/>
          </w:tcPr>
          <w:p w14:paraId="6E2D5775" w14:textId="77777777" w:rsidR="00E37775" w:rsidRPr="0002261F" w:rsidRDefault="00E37775" w:rsidP="00182002">
            <w:pPr>
              <w:spacing w:line="276" w:lineRule="auto"/>
              <w:rPr>
                <w:rFonts w:ascii="Times New Roman" w:hAnsi="Times New Roman"/>
                <w:i/>
                <w:szCs w:val="24"/>
              </w:rPr>
            </w:pPr>
          </w:p>
        </w:tc>
      </w:tr>
      <w:tr w:rsidR="00E37775" w:rsidRPr="0002261F" w14:paraId="32F6A91F" w14:textId="77777777" w:rsidTr="00182002">
        <w:tc>
          <w:tcPr>
            <w:tcW w:w="473" w:type="pct"/>
          </w:tcPr>
          <w:p w14:paraId="61D36208"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4.13.</w:t>
            </w:r>
          </w:p>
        </w:tc>
        <w:tc>
          <w:tcPr>
            <w:tcW w:w="4407" w:type="pct"/>
          </w:tcPr>
          <w:p w14:paraId="0564C565"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Sadursme – jebkura veida sauszemes transporta līdzekļa, iekraušanas vai izkraušanas mehānisma tiešs trieciens (objekta iekraušanas vai izkraušanas laikā), uzbraukšana apdrošināšanas objektam.</w:t>
            </w:r>
          </w:p>
        </w:tc>
        <w:tc>
          <w:tcPr>
            <w:tcW w:w="120" w:type="pct"/>
          </w:tcPr>
          <w:p w14:paraId="05F56A2B" w14:textId="77777777" w:rsidR="00E37775" w:rsidRPr="0002261F" w:rsidRDefault="00E37775" w:rsidP="00182002">
            <w:pPr>
              <w:spacing w:line="276" w:lineRule="auto"/>
              <w:rPr>
                <w:rFonts w:ascii="Times New Roman" w:hAnsi="Times New Roman"/>
                <w:i/>
                <w:szCs w:val="24"/>
              </w:rPr>
            </w:pPr>
          </w:p>
        </w:tc>
      </w:tr>
      <w:tr w:rsidR="00E37775" w:rsidRPr="0002261F" w14:paraId="73848011" w14:textId="77777777" w:rsidTr="00182002">
        <w:tc>
          <w:tcPr>
            <w:tcW w:w="473" w:type="pct"/>
          </w:tcPr>
          <w:p w14:paraId="3BC2D843"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4.14.</w:t>
            </w:r>
          </w:p>
        </w:tc>
        <w:tc>
          <w:tcPr>
            <w:tcW w:w="4407" w:type="pct"/>
          </w:tcPr>
          <w:p w14:paraId="3CEF5F8D"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Jebkāds apdrošināto objektu stiklojums un/vai stikla konstrukcijas tiek apdrošinātas pret saplīšanu jebkādas mehāniskas vai termiskas iedarbības dēļ.</w:t>
            </w:r>
          </w:p>
        </w:tc>
        <w:tc>
          <w:tcPr>
            <w:tcW w:w="120" w:type="pct"/>
          </w:tcPr>
          <w:p w14:paraId="46317C90" w14:textId="77777777" w:rsidR="00E37775" w:rsidRPr="0002261F" w:rsidRDefault="00E37775" w:rsidP="00182002">
            <w:pPr>
              <w:spacing w:line="276" w:lineRule="auto"/>
              <w:rPr>
                <w:rFonts w:ascii="Times New Roman" w:hAnsi="Times New Roman"/>
                <w:i/>
                <w:szCs w:val="24"/>
              </w:rPr>
            </w:pPr>
          </w:p>
        </w:tc>
      </w:tr>
      <w:tr w:rsidR="00E37775" w:rsidRPr="0002261F" w14:paraId="36EA9994" w14:textId="77777777" w:rsidTr="00182002">
        <w:tc>
          <w:tcPr>
            <w:tcW w:w="473" w:type="pct"/>
          </w:tcPr>
          <w:p w14:paraId="3D3211A0"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4.15.</w:t>
            </w:r>
          </w:p>
        </w:tc>
        <w:tc>
          <w:tcPr>
            <w:tcW w:w="4407" w:type="pct"/>
          </w:tcPr>
          <w:p w14:paraId="44DAEDEF"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 xml:space="preserve">Elektriskās parādības – zaudējumi, kas var rasties elektrības kvalitātes izmaiņu rezultātā publiskajā tīklā (tai skaitā īssavienojuma, sprieguma pārslodzes, sprieguma nepietiekamības, </w:t>
            </w:r>
            <w:proofErr w:type="spellStart"/>
            <w:r w:rsidRPr="0002261F">
              <w:rPr>
                <w:rFonts w:ascii="Times New Roman" w:hAnsi="Times New Roman"/>
                <w:szCs w:val="24"/>
                <w:lang w:eastAsia="zh-CN"/>
              </w:rPr>
              <w:t>pārsprieguma</w:t>
            </w:r>
            <w:proofErr w:type="spellEnd"/>
            <w:r w:rsidRPr="0002261F">
              <w:rPr>
                <w:rFonts w:ascii="Times New Roman" w:hAnsi="Times New Roman"/>
                <w:szCs w:val="24"/>
                <w:lang w:eastAsia="zh-CN"/>
              </w:rPr>
              <w:t xml:space="preserve">, netieša zibens spēriena radīta </w:t>
            </w:r>
            <w:proofErr w:type="spellStart"/>
            <w:r w:rsidRPr="0002261F">
              <w:rPr>
                <w:rFonts w:ascii="Times New Roman" w:hAnsi="Times New Roman"/>
                <w:szCs w:val="24"/>
                <w:lang w:eastAsia="zh-CN"/>
              </w:rPr>
              <w:t>pārsprieguma</w:t>
            </w:r>
            <w:proofErr w:type="spellEnd"/>
            <w:r w:rsidRPr="0002261F">
              <w:rPr>
                <w:rFonts w:ascii="Times New Roman" w:hAnsi="Times New Roman"/>
                <w:szCs w:val="24"/>
                <w:lang w:eastAsia="zh-CN"/>
              </w:rPr>
              <w:t xml:space="preserve"> vai zemējuma defekta izraisīti) ar atlīdzības limitu EUR 250 000 par gadījumu un apdrošināšanas līguma laikā.</w:t>
            </w:r>
          </w:p>
        </w:tc>
        <w:tc>
          <w:tcPr>
            <w:tcW w:w="120" w:type="pct"/>
          </w:tcPr>
          <w:p w14:paraId="1DE6B641" w14:textId="77777777" w:rsidR="00E37775" w:rsidRPr="0002261F" w:rsidRDefault="00E37775" w:rsidP="00182002">
            <w:pPr>
              <w:spacing w:line="276" w:lineRule="auto"/>
              <w:rPr>
                <w:rFonts w:ascii="Times New Roman" w:hAnsi="Times New Roman"/>
                <w:i/>
                <w:szCs w:val="24"/>
              </w:rPr>
            </w:pPr>
          </w:p>
        </w:tc>
      </w:tr>
      <w:tr w:rsidR="00E37775" w:rsidRPr="0002261F" w14:paraId="0BBB2923" w14:textId="77777777" w:rsidTr="00182002">
        <w:tc>
          <w:tcPr>
            <w:tcW w:w="473" w:type="pct"/>
          </w:tcPr>
          <w:p w14:paraId="6112A4EC"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4.16.</w:t>
            </w:r>
          </w:p>
        </w:tc>
        <w:tc>
          <w:tcPr>
            <w:tcW w:w="4407" w:type="pct"/>
          </w:tcPr>
          <w:p w14:paraId="234DC9A1"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Tiek segti arī zaudējumi, kuri radušies saistībā ar:</w:t>
            </w:r>
          </w:p>
        </w:tc>
        <w:tc>
          <w:tcPr>
            <w:tcW w:w="120" w:type="pct"/>
          </w:tcPr>
          <w:p w14:paraId="7A3CDB6F" w14:textId="77777777" w:rsidR="00E37775" w:rsidRPr="0002261F" w:rsidRDefault="00E37775" w:rsidP="00182002">
            <w:pPr>
              <w:spacing w:line="276" w:lineRule="auto"/>
              <w:jc w:val="both"/>
              <w:rPr>
                <w:rFonts w:ascii="Times New Roman" w:hAnsi="Times New Roman"/>
                <w:i/>
                <w:szCs w:val="24"/>
              </w:rPr>
            </w:pPr>
          </w:p>
        </w:tc>
      </w:tr>
      <w:tr w:rsidR="00E37775" w:rsidRPr="0002261F" w14:paraId="3E6325CA" w14:textId="77777777" w:rsidTr="00182002">
        <w:tc>
          <w:tcPr>
            <w:tcW w:w="473" w:type="pct"/>
          </w:tcPr>
          <w:p w14:paraId="2625E847"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4.16.1.</w:t>
            </w:r>
          </w:p>
        </w:tc>
        <w:tc>
          <w:tcPr>
            <w:tcW w:w="4407" w:type="pct"/>
          </w:tcPr>
          <w:p w14:paraId="174CA6FD"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ilgstošu, pakāpeniski notiekošu procesu, piemēram, nolietošanās, nosēšanās, korozijas, vibrācijas, pelējuma, sēnīšu vai baktēriju iedarbības rezultātā bojātu objektu (objektu daļu), vai</w:t>
            </w:r>
          </w:p>
        </w:tc>
        <w:tc>
          <w:tcPr>
            <w:tcW w:w="120" w:type="pct"/>
          </w:tcPr>
          <w:p w14:paraId="72AEFE6A" w14:textId="77777777" w:rsidR="00E37775" w:rsidRPr="0002261F" w:rsidRDefault="00E37775" w:rsidP="00182002">
            <w:pPr>
              <w:spacing w:line="276" w:lineRule="auto"/>
              <w:jc w:val="both"/>
              <w:rPr>
                <w:rFonts w:ascii="Times New Roman" w:hAnsi="Times New Roman"/>
                <w:i/>
                <w:szCs w:val="24"/>
              </w:rPr>
            </w:pPr>
          </w:p>
        </w:tc>
      </w:tr>
      <w:tr w:rsidR="00E37775" w:rsidRPr="0002261F" w14:paraId="73EEB5A2" w14:textId="77777777" w:rsidTr="00182002">
        <w:tc>
          <w:tcPr>
            <w:tcW w:w="473" w:type="pct"/>
          </w:tcPr>
          <w:p w14:paraId="7CAD84D4"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4.16.2.</w:t>
            </w:r>
          </w:p>
        </w:tc>
        <w:tc>
          <w:tcPr>
            <w:tcW w:w="4407" w:type="pct"/>
          </w:tcPr>
          <w:p w14:paraId="27CDC00A"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rPr>
              <w:t xml:space="preserve">nekvalitatīvi projektētu, uzbūvētu, rekonstruētu, remontētu objektu </w:t>
            </w:r>
            <w:r w:rsidRPr="0002261F">
              <w:rPr>
                <w:rFonts w:ascii="Times New Roman" w:hAnsi="Times New Roman"/>
                <w:szCs w:val="24"/>
                <w:lang w:eastAsia="zh-CN"/>
              </w:rPr>
              <w:t xml:space="preserve">(objektu daļu) </w:t>
            </w:r>
            <w:r w:rsidRPr="0002261F">
              <w:rPr>
                <w:rFonts w:ascii="Times New Roman" w:hAnsi="Times New Roman"/>
                <w:szCs w:val="24"/>
              </w:rPr>
              <w:t xml:space="preserve">vai objektu </w:t>
            </w:r>
            <w:r w:rsidRPr="0002261F">
              <w:rPr>
                <w:rFonts w:ascii="Times New Roman" w:hAnsi="Times New Roman"/>
                <w:szCs w:val="24"/>
                <w:lang w:eastAsia="zh-CN"/>
              </w:rPr>
              <w:t>(objektu daļu)</w:t>
            </w:r>
            <w:r w:rsidRPr="0002261F">
              <w:rPr>
                <w:rFonts w:ascii="Times New Roman" w:hAnsi="Times New Roman"/>
                <w:szCs w:val="24"/>
              </w:rPr>
              <w:t>, kuru būvniecībā ir izmatoti nekvalitatīvi vai neatbilstoši materiāli,</w:t>
            </w:r>
          </w:p>
        </w:tc>
        <w:tc>
          <w:tcPr>
            <w:tcW w:w="120" w:type="pct"/>
          </w:tcPr>
          <w:p w14:paraId="1B4CFF66" w14:textId="77777777" w:rsidR="00E37775" w:rsidRPr="0002261F" w:rsidRDefault="00E37775" w:rsidP="00182002">
            <w:pPr>
              <w:spacing w:line="276" w:lineRule="auto"/>
              <w:jc w:val="both"/>
              <w:rPr>
                <w:rFonts w:ascii="Times New Roman" w:hAnsi="Times New Roman"/>
                <w:i/>
                <w:szCs w:val="24"/>
              </w:rPr>
            </w:pPr>
          </w:p>
        </w:tc>
      </w:tr>
      <w:tr w:rsidR="00E37775" w:rsidRPr="0002261F" w14:paraId="4EF2DC79" w14:textId="77777777" w:rsidTr="00182002">
        <w:tc>
          <w:tcPr>
            <w:tcW w:w="473" w:type="pct"/>
          </w:tcPr>
          <w:p w14:paraId="27BAEFEE" w14:textId="77777777" w:rsidR="00E37775" w:rsidRPr="0002261F" w:rsidRDefault="00E37775" w:rsidP="00182002">
            <w:pPr>
              <w:spacing w:line="276" w:lineRule="auto"/>
              <w:jc w:val="center"/>
              <w:rPr>
                <w:rFonts w:ascii="Times New Roman" w:hAnsi="Times New Roman"/>
                <w:szCs w:val="24"/>
              </w:rPr>
            </w:pPr>
          </w:p>
        </w:tc>
        <w:tc>
          <w:tcPr>
            <w:tcW w:w="4407" w:type="pct"/>
          </w:tcPr>
          <w:p w14:paraId="49933C7A"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ekspluatācijas cēloniski izraisītu 4. punktā norādīto risku iedarbību uz apdrošināšanas objektiem.</w:t>
            </w:r>
          </w:p>
        </w:tc>
        <w:tc>
          <w:tcPr>
            <w:tcW w:w="120" w:type="pct"/>
          </w:tcPr>
          <w:p w14:paraId="3083E4F2" w14:textId="77777777" w:rsidR="00E37775" w:rsidRPr="0002261F" w:rsidRDefault="00E37775" w:rsidP="00182002">
            <w:pPr>
              <w:spacing w:line="276" w:lineRule="auto"/>
              <w:jc w:val="both"/>
              <w:rPr>
                <w:rFonts w:ascii="Times New Roman" w:hAnsi="Times New Roman"/>
                <w:i/>
                <w:szCs w:val="24"/>
              </w:rPr>
            </w:pPr>
          </w:p>
        </w:tc>
      </w:tr>
      <w:tr w:rsidR="00E37775" w:rsidRPr="0002261F" w14:paraId="2A216779" w14:textId="77777777" w:rsidTr="00182002">
        <w:tc>
          <w:tcPr>
            <w:tcW w:w="473" w:type="pct"/>
          </w:tcPr>
          <w:p w14:paraId="5600EF83" w14:textId="77777777" w:rsidR="00E37775" w:rsidRPr="0002261F" w:rsidRDefault="00E37775" w:rsidP="00182002">
            <w:pPr>
              <w:spacing w:line="276" w:lineRule="auto"/>
              <w:jc w:val="center"/>
              <w:rPr>
                <w:rFonts w:ascii="Times New Roman" w:hAnsi="Times New Roman"/>
                <w:b/>
                <w:szCs w:val="24"/>
              </w:rPr>
            </w:pPr>
            <w:r w:rsidRPr="0002261F">
              <w:rPr>
                <w:rFonts w:ascii="Times New Roman" w:hAnsi="Times New Roman"/>
                <w:b/>
                <w:szCs w:val="24"/>
              </w:rPr>
              <w:t>5.</w:t>
            </w:r>
          </w:p>
        </w:tc>
        <w:tc>
          <w:tcPr>
            <w:tcW w:w="4407" w:type="pct"/>
          </w:tcPr>
          <w:p w14:paraId="7CF16175" w14:textId="77777777" w:rsidR="00E37775" w:rsidRPr="0002261F" w:rsidRDefault="00E37775" w:rsidP="00182002">
            <w:pPr>
              <w:widowControl w:val="0"/>
              <w:tabs>
                <w:tab w:val="num" w:pos="993"/>
              </w:tabs>
              <w:adjustRightInd w:val="0"/>
              <w:spacing w:line="276" w:lineRule="auto"/>
              <w:jc w:val="both"/>
              <w:textAlignment w:val="baseline"/>
              <w:rPr>
                <w:rFonts w:ascii="Times New Roman" w:hAnsi="Times New Roman"/>
                <w:b/>
                <w:szCs w:val="24"/>
              </w:rPr>
            </w:pPr>
            <w:r w:rsidRPr="0002261F">
              <w:rPr>
                <w:rFonts w:ascii="Times New Roman" w:hAnsi="Times New Roman"/>
                <w:b/>
                <w:szCs w:val="24"/>
              </w:rPr>
              <w:t>Pašrisks katram apdrošināšanas gadījumam:</w:t>
            </w:r>
          </w:p>
        </w:tc>
        <w:tc>
          <w:tcPr>
            <w:tcW w:w="120" w:type="pct"/>
          </w:tcPr>
          <w:p w14:paraId="5334C2C8" w14:textId="77777777" w:rsidR="00E37775" w:rsidRPr="0002261F" w:rsidRDefault="00E37775" w:rsidP="00182002">
            <w:pPr>
              <w:spacing w:line="276" w:lineRule="auto"/>
              <w:jc w:val="both"/>
              <w:rPr>
                <w:rFonts w:ascii="Times New Roman" w:hAnsi="Times New Roman"/>
                <w:b/>
                <w:i/>
                <w:szCs w:val="24"/>
              </w:rPr>
            </w:pPr>
          </w:p>
        </w:tc>
      </w:tr>
      <w:tr w:rsidR="00E37775" w:rsidRPr="0002261F" w14:paraId="74D9B838" w14:textId="77777777" w:rsidTr="00182002">
        <w:tc>
          <w:tcPr>
            <w:tcW w:w="473" w:type="pct"/>
          </w:tcPr>
          <w:p w14:paraId="5E8B4740"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5.1.</w:t>
            </w:r>
          </w:p>
        </w:tc>
        <w:tc>
          <w:tcPr>
            <w:tcW w:w="4407" w:type="pct"/>
          </w:tcPr>
          <w:p w14:paraId="2039483B"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 xml:space="preserve">350 eiro; </w:t>
            </w:r>
          </w:p>
        </w:tc>
        <w:tc>
          <w:tcPr>
            <w:tcW w:w="120" w:type="pct"/>
          </w:tcPr>
          <w:p w14:paraId="5094BB13" w14:textId="77777777" w:rsidR="00E37775" w:rsidRPr="0002261F" w:rsidRDefault="00E37775" w:rsidP="00182002">
            <w:pPr>
              <w:spacing w:line="276" w:lineRule="auto"/>
              <w:jc w:val="both"/>
              <w:rPr>
                <w:rFonts w:ascii="Times New Roman" w:hAnsi="Times New Roman"/>
                <w:i/>
                <w:szCs w:val="24"/>
              </w:rPr>
            </w:pPr>
          </w:p>
        </w:tc>
      </w:tr>
      <w:tr w:rsidR="00E37775" w:rsidRPr="0002261F" w14:paraId="1DDE034C" w14:textId="77777777" w:rsidTr="00182002">
        <w:tc>
          <w:tcPr>
            <w:tcW w:w="473" w:type="pct"/>
          </w:tcPr>
          <w:p w14:paraId="5F7D20E5"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5.2.</w:t>
            </w:r>
          </w:p>
        </w:tc>
        <w:tc>
          <w:tcPr>
            <w:tcW w:w="4407" w:type="pct"/>
          </w:tcPr>
          <w:p w14:paraId="5E63E867"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50 eiro attiecībā uz apdrošināto objektu stiklojuma un/vai stikla konstrukciju bojājumu;</w:t>
            </w:r>
          </w:p>
        </w:tc>
        <w:tc>
          <w:tcPr>
            <w:tcW w:w="120" w:type="pct"/>
          </w:tcPr>
          <w:p w14:paraId="39D790E2" w14:textId="77777777" w:rsidR="00E37775" w:rsidRPr="0002261F" w:rsidRDefault="00E37775" w:rsidP="00182002">
            <w:pPr>
              <w:spacing w:line="276" w:lineRule="auto"/>
              <w:jc w:val="both"/>
              <w:rPr>
                <w:rFonts w:ascii="Times New Roman" w:hAnsi="Times New Roman"/>
                <w:i/>
                <w:szCs w:val="24"/>
              </w:rPr>
            </w:pPr>
          </w:p>
        </w:tc>
      </w:tr>
      <w:tr w:rsidR="00E37775" w:rsidRPr="0002261F" w14:paraId="4B769893" w14:textId="77777777" w:rsidTr="00182002">
        <w:tc>
          <w:tcPr>
            <w:tcW w:w="473" w:type="pct"/>
          </w:tcPr>
          <w:p w14:paraId="6931423D"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5.3.</w:t>
            </w:r>
          </w:p>
        </w:tc>
        <w:tc>
          <w:tcPr>
            <w:tcW w:w="4407" w:type="pct"/>
          </w:tcPr>
          <w:p w14:paraId="21C710E1"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50 eiro 3.1. punktā paredzētajam segumam ārpus Latvijas Republikas teritorijas;</w:t>
            </w:r>
          </w:p>
        </w:tc>
        <w:tc>
          <w:tcPr>
            <w:tcW w:w="120" w:type="pct"/>
          </w:tcPr>
          <w:p w14:paraId="6CDF3EBC" w14:textId="77777777" w:rsidR="00E37775" w:rsidRPr="0002261F" w:rsidRDefault="00E37775" w:rsidP="00182002">
            <w:pPr>
              <w:spacing w:line="276" w:lineRule="auto"/>
              <w:jc w:val="both"/>
              <w:rPr>
                <w:rFonts w:ascii="Times New Roman" w:hAnsi="Times New Roman"/>
                <w:i/>
                <w:szCs w:val="24"/>
              </w:rPr>
            </w:pPr>
          </w:p>
        </w:tc>
      </w:tr>
      <w:tr w:rsidR="00E37775" w:rsidRPr="0002261F" w14:paraId="1BF6C3BB" w14:textId="77777777" w:rsidTr="00182002">
        <w:tc>
          <w:tcPr>
            <w:tcW w:w="473" w:type="pct"/>
          </w:tcPr>
          <w:p w14:paraId="1FC816FF"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5.4.</w:t>
            </w:r>
          </w:p>
        </w:tc>
        <w:tc>
          <w:tcPr>
            <w:tcW w:w="4407" w:type="pct"/>
          </w:tcPr>
          <w:p w14:paraId="5A26F513"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ja viena apdrošināšanas riska iedarbības rezultātā (piemēram, vētra) tiek bojāti vairāki apdrošinātie objekti, tad tiek piemērots viens polisē norādītais pašrisks.</w:t>
            </w:r>
          </w:p>
        </w:tc>
        <w:tc>
          <w:tcPr>
            <w:tcW w:w="120" w:type="pct"/>
          </w:tcPr>
          <w:p w14:paraId="2394BBD6" w14:textId="77777777" w:rsidR="00E37775" w:rsidRPr="0002261F" w:rsidRDefault="00E37775" w:rsidP="00182002">
            <w:pPr>
              <w:spacing w:line="276" w:lineRule="auto"/>
              <w:jc w:val="both"/>
              <w:rPr>
                <w:rFonts w:ascii="Times New Roman" w:hAnsi="Times New Roman"/>
                <w:i/>
                <w:szCs w:val="24"/>
              </w:rPr>
            </w:pPr>
          </w:p>
        </w:tc>
      </w:tr>
      <w:tr w:rsidR="00E37775" w:rsidRPr="0002261F" w14:paraId="764E1DCC" w14:textId="77777777" w:rsidTr="00182002">
        <w:tc>
          <w:tcPr>
            <w:tcW w:w="473" w:type="pct"/>
          </w:tcPr>
          <w:p w14:paraId="64BF9F3E" w14:textId="77777777" w:rsidR="00E37775" w:rsidRPr="0002261F" w:rsidRDefault="00E37775" w:rsidP="00182002">
            <w:pPr>
              <w:spacing w:line="276" w:lineRule="auto"/>
              <w:jc w:val="center"/>
              <w:rPr>
                <w:rFonts w:ascii="Times New Roman" w:hAnsi="Times New Roman"/>
                <w:b/>
                <w:szCs w:val="24"/>
              </w:rPr>
            </w:pPr>
            <w:r w:rsidRPr="0002261F">
              <w:rPr>
                <w:rFonts w:ascii="Times New Roman" w:hAnsi="Times New Roman"/>
                <w:b/>
                <w:szCs w:val="24"/>
              </w:rPr>
              <w:t>6.</w:t>
            </w:r>
          </w:p>
        </w:tc>
        <w:tc>
          <w:tcPr>
            <w:tcW w:w="4407" w:type="pct"/>
          </w:tcPr>
          <w:p w14:paraId="264D0436" w14:textId="77777777" w:rsidR="00E37775" w:rsidRPr="0002261F" w:rsidRDefault="00E37775" w:rsidP="00182002">
            <w:pPr>
              <w:widowControl w:val="0"/>
              <w:tabs>
                <w:tab w:val="num" w:pos="993"/>
              </w:tabs>
              <w:adjustRightInd w:val="0"/>
              <w:spacing w:line="276" w:lineRule="auto"/>
              <w:textAlignment w:val="baseline"/>
              <w:rPr>
                <w:rFonts w:ascii="Times New Roman" w:hAnsi="Times New Roman"/>
                <w:b/>
                <w:szCs w:val="24"/>
              </w:rPr>
            </w:pPr>
            <w:r w:rsidRPr="0002261F">
              <w:rPr>
                <w:rFonts w:ascii="Times New Roman" w:hAnsi="Times New Roman"/>
                <w:b/>
                <w:szCs w:val="24"/>
              </w:rPr>
              <w:t>Apdrošināšanas atlīdzības aprēķināšanas principi un metodika:</w:t>
            </w:r>
          </w:p>
        </w:tc>
        <w:tc>
          <w:tcPr>
            <w:tcW w:w="120" w:type="pct"/>
          </w:tcPr>
          <w:p w14:paraId="73A75AAA" w14:textId="77777777" w:rsidR="00E37775" w:rsidRPr="0002261F" w:rsidRDefault="00E37775" w:rsidP="00182002">
            <w:pPr>
              <w:spacing w:line="276" w:lineRule="auto"/>
              <w:rPr>
                <w:rFonts w:ascii="Times New Roman" w:hAnsi="Times New Roman"/>
                <w:b/>
                <w:i/>
                <w:szCs w:val="24"/>
              </w:rPr>
            </w:pPr>
          </w:p>
        </w:tc>
      </w:tr>
      <w:tr w:rsidR="00E37775" w:rsidRPr="0002261F" w14:paraId="43B63617" w14:textId="77777777" w:rsidTr="00182002">
        <w:tc>
          <w:tcPr>
            <w:tcW w:w="473" w:type="pct"/>
          </w:tcPr>
          <w:p w14:paraId="2DDA06A2"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6.1.</w:t>
            </w:r>
          </w:p>
        </w:tc>
        <w:tc>
          <w:tcPr>
            <w:tcW w:w="4407" w:type="pct"/>
          </w:tcPr>
          <w:p w14:paraId="203D4181"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 xml:space="preserve">Nekustamajam īpašumam (pamatlīdzekļu veidi - ēkas; būves), apmaksājot atjaunošanas tāmi (ar PVN), kas pilnībā nodrošina analogas funkcionalitātes objekta atjaunošanu vai aizvietošanu, neņemot vērā </w:t>
            </w:r>
            <w:proofErr w:type="spellStart"/>
            <w:r w:rsidRPr="0002261F">
              <w:rPr>
                <w:rFonts w:ascii="Times New Roman" w:hAnsi="Times New Roman"/>
                <w:szCs w:val="24"/>
                <w:lang w:eastAsia="zh-CN"/>
              </w:rPr>
              <w:t>zemapdrošināšanu</w:t>
            </w:r>
            <w:proofErr w:type="spellEnd"/>
            <w:r w:rsidRPr="0002261F">
              <w:rPr>
                <w:rFonts w:ascii="Times New Roman" w:hAnsi="Times New Roman"/>
                <w:szCs w:val="24"/>
                <w:lang w:eastAsia="zh-CN"/>
              </w:rPr>
              <w:t xml:space="preserve"> un tehnisko nolietojumu.</w:t>
            </w:r>
          </w:p>
        </w:tc>
        <w:tc>
          <w:tcPr>
            <w:tcW w:w="120" w:type="pct"/>
          </w:tcPr>
          <w:p w14:paraId="6906C4BB" w14:textId="77777777" w:rsidR="00E37775" w:rsidRPr="0002261F" w:rsidRDefault="00E37775" w:rsidP="00182002">
            <w:pPr>
              <w:spacing w:line="276" w:lineRule="auto"/>
              <w:rPr>
                <w:rFonts w:ascii="Times New Roman" w:hAnsi="Times New Roman"/>
                <w:i/>
                <w:szCs w:val="24"/>
              </w:rPr>
            </w:pPr>
          </w:p>
        </w:tc>
      </w:tr>
      <w:tr w:rsidR="00E37775" w:rsidRPr="0002261F" w14:paraId="71706C58" w14:textId="77777777" w:rsidTr="00182002">
        <w:tc>
          <w:tcPr>
            <w:tcW w:w="473" w:type="pct"/>
          </w:tcPr>
          <w:p w14:paraId="4045E95F"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6.2.</w:t>
            </w:r>
          </w:p>
        </w:tc>
        <w:tc>
          <w:tcPr>
            <w:tcW w:w="4407" w:type="pct"/>
          </w:tcPr>
          <w:p w14:paraId="5516B342"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 xml:space="preserve">Kustamajam īpašumam bojājumu gadījumā atbilstoši remonta izdevumi (ar PVN), kas nepieciešami, lai bojāto mantu atjaunotu tādā stāvoklī, kādā tā bija pirms apdrošināšanas gadījuma, neņemot vērā </w:t>
            </w:r>
            <w:proofErr w:type="spellStart"/>
            <w:r w:rsidRPr="0002261F">
              <w:rPr>
                <w:rFonts w:ascii="Times New Roman" w:hAnsi="Times New Roman"/>
                <w:szCs w:val="24"/>
                <w:lang w:eastAsia="zh-CN"/>
              </w:rPr>
              <w:t>zemapdrošināšanu</w:t>
            </w:r>
            <w:proofErr w:type="spellEnd"/>
            <w:r w:rsidRPr="0002261F">
              <w:rPr>
                <w:rFonts w:ascii="Times New Roman" w:hAnsi="Times New Roman"/>
                <w:szCs w:val="24"/>
                <w:lang w:eastAsia="zh-CN"/>
              </w:rPr>
              <w:t xml:space="preserve"> un tehnisko nolietojumu;</w:t>
            </w:r>
          </w:p>
        </w:tc>
        <w:tc>
          <w:tcPr>
            <w:tcW w:w="120" w:type="pct"/>
          </w:tcPr>
          <w:p w14:paraId="62E7CB55" w14:textId="77777777" w:rsidR="00E37775" w:rsidRPr="0002261F" w:rsidRDefault="00E37775" w:rsidP="00182002">
            <w:pPr>
              <w:spacing w:line="276" w:lineRule="auto"/>
              <w:rPr>
                <w:rFonts w:ascii="Times New Roman" w:hAnsi="Times New Roman"/>
                <w:i/>
                <w:szCs w:val="24"/>
              </w:rPr>
            </w:pPr>
          </w:p>
        </w:tc>
      </w:tr>
      <w:tr w:rsidR="00E37775" w:rsidRPr="0002261F" w14:paraId="14456EE5" w14:textId="77777777" w:rsidTr="00182002">
        <w:tc>
          <w:tcPr>
            <w:tcW w:w="473" w:type="pct"/>
          </w:tcPr>
          <w:p w14:paraId="00F95E77"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lastRenderedPageBreak/>
              <w:t>6.3.</w:t>
            </w:r>
          </w:p>
        </w:tc>
        <w:tc>
          <w:tcPr>
            <w:tcW w:w="4407" w:type="pct"/>
          </w:tcPr>
          <w:p w14:paraId="79A99D52"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 xml:space="preserve">Kustamajam īpašumam bojāejas gadījumā, ja tā tehniskais nolietojums mazāks par 50%, izdevumi (ar PVN), kas nodrošina analoģisku tehnisko parametru un funkcionalitātes objekta aizvietošanu, neņemot vērā </w:t>
            </w:r>
            <w:proofErr w:type="spellStart"/>
            <w:r w:rsidRPr="0002261F">
              <w:rPr>
                <w:rFonts w:ascii="Times New Roman" w:hAnsi="Times New Roman"/>
                <w:szCs w:val="24"/>
                <w:lang w:eastAsia="zh-CN"/>
              </w:rPr>
              <w:t>zemapdrošināšanu</w:t>
            </w:r>
            <w:proofErr w:type="spellEnd"/>
            <w:r w:rsidRPr="0002261F">
              <w:rPr>
                <w:rFonts w:ascii="Times New Roman" w:hAnsi="Times New Roman"/>
                <w:szCs w:val="24"/>
                <w:lang w:eastAsia="zh-CN"/>
              </w:rPr>
              <w:t>.</w:t>
            </w:r>
          </w:p>
        </w:tc>
        <w:tc>
          <w:tcPr>
            <w:tcW w:w="120" w:type="pct"/>
          </w:tcPr>
          <w:p w14:paraId="7B05456D" w14:textId="77777777" w:rsidR="00E37775" w:rsidRPr="0002261F" w:rsidRDefault="00E37775" w:rsidP="00182002">
            <w:pPr>
              <w:spacing w:line="276" w:lineRule="auto"/>
              <w:rPr>
                <w:rFonts w:ascii="Times New Roman" w:hAnsi="Times New Roman"/>
                <w:i/>
                <w:szCs w:val="24"/>
              </w:rPr>
            </w:pPr>
          </w:p>
        </w:tc>
      </w:tr>
      <w:tr w:rsidR="00E37775" w:rsidRPr="0002261F" w14:paraId="60A0E31D" w14:textId="77777777" w:rsidTr="00182002">
        <w:tc>
          <w:tcPr>
            <w:tcW w:w="473" w:type="pct"/>
          </w:tcPr>
          <w:p w14:paraId="46BC0A41"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6.4.</w:t>
            </w:r>
          </w:p>
        </w:tc>
        <w:tc>
          <w:tcPr>
            <w:tcW w:w="4407" w:type="pct"/>
          </w:tcPr>
          <w:p w14:paraId="36E228E5"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Kustamajam īpašumam bojāejas gadījumā, ja tā tehniskais nolietojums pārsniedz 50%, lielākā vērtība no: atlikušās bilances vērtības vai analoģisku tehnisko parametru un funkcionalitātes objekta aizvietošanas izmaksām (ar PVN).</w:t>
            </w:r>
          </w:p>
        </w:tc>
        <w:tc>
          <w:tcPr>
            <w:tcW w:w="120" w:type="pct"/>
          </w:tcPr>
          <w:p w14:paraId="1D47A565" w14:textId="77777777" w:rsidR="00E37775" w:rsidRPr="0002261F" w:rsidRDefault="00E37775" w:rsidP="00182002">
            <w:pPr>
              <w:spacing w:line="276" w:lineRule="auto"/>
              <w:rPr>
                <w:rFonts w:ascii="Times New Roman" w:hAnsi="Times New Roman"/>
                <w:i/>
                <w:szCs w:val="24"/>
              </w:rPr>
            </w:pPr>
          </w:p>
        </w:tc>
      </w:tr>
      <w:tr w:rsidR="00E37775" w:rsidRPr="0002261F" w14:paraId="2BB167EB" w14:textId="77777777" w:rsidTr="00182002">
        <w:tc>
          <w:tcPr>
            <w:tcW w:w="473" w:type="pct"/>
          </w:tcPr>
          <w:p w14:paraId="1735BE0F" w14:textId="77777777" w:rsidR="00E37775" w:rsidRPr="0002261F" w:rsidRDefault="00E37775" w:rsidP="00182002">
            <w:pPr>
              <w:spacing w:line="276" w:lineRule="auto"/>
              <w:jc w:val="center"/>
              <w:rPr>
                <w:rFonts w:ascii="Times New Roman" w:hAnsi="Times New Roman"/>
                <w:b/>
                <w:szCs w:val="24"/>
              </w:rPr>
            </w:pPr>
            <w:r w:rsidRPr="0002261F">
              <w:rPr>
                <w:rFonts w:ascii="Times New Roman" w:hAnsi="Times New Roman"/>
                <w:b/>
                <w:szCs w:val="24"/>
              </w:rPr>
              <w:t>7.</w:t>
            </w:r>
          </w:p>
        </w:tc>
        <w:tc>
          <w:tcPr>
            <w:tcW w:w="4407" w:type="pct"/>
          </w:tcPr>
          <w:p w14:paraId="03C8F5DB"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b/>
                <w:szCs w:val="24"/>
                <w:lang w:eastAsia="zh-CN"/>
              </w:rPr>
              <w:t xml:space="preserve">Apdrošināšanas objektu saraksta papildināšana </w:t>
            </w:r>
            <w:r w:rsidRPr="0002261F">
              <w:rPr>
                <w:rFonts w:ascii="Times New Roman" w:hAnsi="Times New Roman"/>
                <w:szCs w:val="24"/>
                <w:lang w:eastAsia="zh-CN"/>
              </w:rPr>
              <w:t xml:space="preserve">– apdrošināšanas līguma laikā segums automātiski </w:t>
            </w:r>
            <w:bookmarkStart w:id="4" w:name="_Hlk8374639"/>
            <w:r w:rsidRPr="0002261F">
              <w:rPr>
                <w:rFonts w:ascii="Times New Roman" w:hAnsi="Times New Roman"/>
                <w:szCs w:val="24"/>
                <w:lang w:eastAsia="zh-CN"/>
              </w:rPr>
              <w:t>tiks nodrošināts visiem apdrošināšanas ņēmēja pamatlīdzekļiem (izņemot 1.2. punktā nosauktos objektus), kas uzskaitīti Pasūtītāja grāmatvedības dokumentos.</w:t>
            </w:r>
            <w:bookmarkEnd w:id="4"/>
          </w:p>
          <w:p w14:paraId="4F8C9312" w14:textId="77777777" w:rsidR="00E37775" w:rsidRPr="0002261F" w:rsidRDefault="00E37775" w:rsidP="00182002">
            <w:pPr>
              <w:suppressAutoHyphens/>
              <w:autoSpaceDE w:val="0"/>
              <w:spacing w:line="276" w:lineRule="auto"/>
              <w:jc w:val="both"/>
              <w:rPr>
                <w:rFonts w:ascii="Times New Roman" w:hAnsi="Times New Roman"/>
                <w:szCs w:val="24"/>
                <w:lang w:eastAsia="zh-CN"/>
              </w:rPr>
            </w:pPr>
            <w:bookmarkStart w:id="5" w:name="_Hlk8374649"/>
            <w:r w:rsidRPr="0002261F">
              <w:rPr>
                <w:rFonts w:ascii="Times New Roman" w:hAnsi="Times New Roman"/>
                <w:szCs w:val="24"/>
                <w:lang w:eastAsia="zh-CN"/>
              </w:rPr>
              <w:t>Apdrošināšanas segums stāsies spēkā no objekta iegādes vai nodošanas ekspluatācijā brīža.</w:t>
            </w:r>
            <w:bookmarkEnd w:id="5"/>
          </w:p>
        </w:tc>
        <w:tc>
          <w:tcPr>
            <w:tcW w:w="120" w:type="pct"/>
          </w:tcPr>
          <w:p w14:paraId="5EF30270" w14:textId="77777777" w:rsidR="00E37775" w:rsidRPr="0002261F" w:rsidRDefault="00E37775" w:rsidP="00182002">
            <w:pPr>
              <w:spacing w:line="276" w:lineRule="auto"/>
              <w:rPr>
                <w:rFonts w:ascii="Times New Roman" w:hAnsi="Times New Roman"/>
                <w:i/>
                <w:szCs w:val="24"/>
              </w:rPr>
            </w:pPr>
          </w:p>
        </w:tc>
      </w:tr>
      <w:tr w:rsidR="00E37775" w:rsidRPr="0002261F" w14:paraId="143B0A01" w14:textId="77777777" w:rsidTr="00182002">
        <w:tc>
          <w:tcPr>
            <w:tcW w:w="473" w:type="pct"/>
          </w:tcPr>
          <w:p w14:paraId="4FEC650E"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7.1</w:t>
            </w:r>
          </w:p>
        </w:tc>
        <w:tc>
          <w:tcPr>
            <w:tcW w:w="4407" w:type="pct"/>
          </w:tcPr>
          <w:p w14:paraId="3AEDBD40"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Ja apdrošināšanas perioda laikā 1.1.3. punktā nosaukto apdrošināšanas objektu kopējā sākotnējās bilances vērtības palielinājums nepārsniedz 600 000 eiro, par to apdrošināšanas pakalpojumu sniedzējam atsevišķi nav jāziņo un papildus prēmija netiks aprēķināta.</w:t>
            </w:r>
          </w:p>
        </w:tc>
        <w:tc>
          <w:tcPr>
            <w:tcW w:w="120" w:type="pct"/>
          </w:tcPr>
          <w:p w14:paraId="4D82210F" w14:textId="77777777" w:rsidR="00E37775" w:rsidRPr="0002261F" w:rsidRDefault="00E37775" w:rsidP="00182002">
            <w:pPr>
              <w:spacing w:line="276" w:lineRule="auto"/>
              <w:rPr>
                <w:rFonts w:ascii="Times New Roman" w:hAnsi="Times New Roman"/>
                <w:i/>
                <w:szCs w:val="24"/>
              </w:rPr>
            </w:pPr>
          </w:p>
        </w:tc>
      </w:tr>
      <w:tr w:rsidR="00E37775" w:rsidRPr="0002261F" w14:paraId="09BF4E9A" w14:textId="77777777" w:rsidTr="00182002">
        <w:tc>
          <w:tcPr>
            <w:tcW w:w="473" w:type="pct"/>
          </w:tcPr>
          <w:p w14:paraId="37FB7BC4"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7.2</w:t>
            </w:r>
          </w:p>
        </w:tc>
        <w:tc>
          <w:tcPr>
            <w:tcW w:w="4407" w:type="pct"/>
          </w:tcPr>
          <w:p w14:paraId="45C7D8E8"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Ja apdrošināšanas perioda laikā 1.1.3. punktā nosaukto apdrošināšanas objektu kopējā sākotnējās bilances vērtības palielinājums pārsniedz 600 000 eiro, Pasūtītājam reizi ceturksnī par to ir jāpaziņo apdrošināšanas pakalpojumu sniedzējam, kurš ir tiesīgs aprēķināt papildus prēmiju, piemērojot tā finanšu piedāvājumā norādīto apdrošināšanas prēmijas likmi tieši proporcionāli (pēc dienu skaita) periodam, kas atlicis līdz polises apdrošināšanas termiņa beigām.</w:t>
            </w:r>
          </w:p>
        </w:tc>
        <w:tc>
          <w:tcPr>
            <w:tcW w:w="120" w:type="pct"/>
          </w:tcPr>
          <w:p w14:paraId="1ED919CB" w14:textId="77777777" w:rsidR="00E37775" w:rsidRPr="0002261F" w:rsidRDefault="00E37775" w:rsidP="00182002">
            <w:pPr>
              <w:spacing w:line="276" w:lineRule="auto"/>
              <w:rPr>
                <w:rFonts w:ascii="Times New Roman" w:hAnsi="Times New Roman"/>
                <w:i/>
                <w:szCs w:val="24"/>
              </w:rPr>
            </w:pPr>
          </w:p>
        </w:tc>
      </w:tr>
      <w:tr w:rsidR="00E37775" w:rsidRPr="0002261F" w14:paraId="1C39021F" w14:textId="77777777" w:rsidTr="00182002">
        <w:tc>
          <w:tcPr>
            <w:tcW w:w="473" w:type="pct"/>
          </w:tcPr>
          <w:p w14:paraId="0B3712DC"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7.3</w:t>
            </w:r>
          </w:p>
        </w:tc>
        <w:tc>
          <w:tcPr>
            <w:tcW w:w="4407" w:type="pct"/>
          </w:tcPr>
          <w:p w14:paraId="5ADB3C24"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Ja apdrošināšanas perioda laikā 1.1.1.-1.1.2. punktā nosaukto apdrošināšanas objektu kopējās sākotnējās bilances vērtības palielinājums nepārsniedz 600 000 eiro, par to apdrošināšanas pakalpojumu sniedzējam atsevišķi nav jāziņo un papildus prēmija netiks aprēķināta.</w:t>
            </w:r>
          </w:p>
        </w:tc>
        <w:tc>
          <w:tcPr>
            <w:tcW w:w="120" w:type="pct"/>
          </w:tcPr>
          <w:p w14:paraId="279F1017" w14:textId="77777777" w:rsidR="00E37775" w:rsidRPr="0002261F" w:rsidRDefault="00E37775" w:rsidP="00182002">
            <w:pPr>
              <w:spacing w:line="276" w:lineRule="auto"/>
              <w:rPr>
                <w:rFonts w:ascii="Times New Roman" w:hAnsi="Times New Roman"/>
                <w:i/>
                <w:szCs w:val="24"/>
              </w:rPr>
            </w:pPr>
          </w:p>
        </w:tc>
      </w:tr>
      <w:tr w:rsidR="00E37775" w:rsidRPr="0002261F" w14:paraId="71E7AD1B" w14:textId="77777777" w:rsidTr="00182002">
        <w:tc>
          <w:tcPr>
            <w:tcW w:w="473" w:type="pct"/>
          </w:tcPr>
          <w:p w14:paraId="521328D7"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7.4</w:t>
            </w:r>
          </w:p>
        </w:tc>
        <w:tc>
          <w:tcPr>
            <w:tcW w:w="4407" w:type="pct"/>
          </w:tcPr>
          <w:p w14:paraId="4412A82E"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Ja apdrošināšanas perioda laikā 1.1.1.-1.1.2. punktā nosaukto apdrošināšanas objektu kopējās sākotnējās bilances vērtības palielinājums pārsniedz 600 000 eiro, Pasūtītājam reizi ceturksnī par to ir jāpaziņo apdrošināšanas pakalpojumu sniedzējam, kurš ir tiesīgs aprēķināt papildus prēmiju, piemērojot tā finanšu piedāvājumā norādīto apdrošināšanas prēmijas likmi</w:t>
            </w:r>
            <w:r w:rsidRPr="0002261F">
              <w:rPr>
                <w:rFonts w:ascii="Times New Roman" w:hAnsi="Times New Roman"/>
                <w:b/>
                <w:szCs w:val="24"/>
                <w:lang w:eastAsia="zh-CN"/>
              </w:rPr>
              <w:t xml:space="preserve"> </w:t>
            </w:r>
            <w:r w:rsidRPr="0002261F">
              <w:rPr>
                <w:rFonts w:ascii="Times New Roman" w:hAnsi="Times New Roman"/>
                <w:szCs w:val="24"/>
                <w:lang w:eastAsia="zh-CN"/>
              </w:rPr>
              <w:t>tieši proporcionāli (pēc dienu skaita) periodam, kas atlicis līdz polises apdrošināšanas termiņa beigām.</w:t>
            </w:r>
          </w:p>
        </w:tc>
        <w:tc>
          <w:tcPr>
            <w:tcW w:w="120" w:type="pct"/>
          </w:tcPr>
          <w:p w14:paraId="1ACAD204" w14:textId="77777777" w:rsidR="00E37775" w:rsidRPr="0002261F" w:rsidRDefault="00E37775" w:rsidP="00182002">
            <w:pPr>
              <w:spacing w:line="276" w:lineRule="auto"/>
              <w:rPr>
                <w:rFonts w:ascii="Times New Roman" w:hAnsi="Times New Roman"/>
                <w:i/>
                <w:szCs w:val="24"/>
              </w:rPr>
            </w:pPr>
          </w:p>
        </w:tc>
      </w:tr>
      <w:tr w:rsidR="00E37775" w:rsidRPr="0002261F" w14:paraId="77662201" w14:textId="77777777" w:rsidTr="00182002">
        <w:tc>
          <w:tcPr>
            <w:tcW w:w="473" w:type="pct"/>
          </w:tcPr>
          <w:p w14:paraId="5FE8D3DA"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8.</w:t>
            </w:r>
          </w:p>
        </w:tc>
        <w:tc>
          <w:tcPr>
            <w:tcW w:w="4407" w:type="pct"/>
          </w:tcPr>
          <w:p w14:paraId="02143388"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Apdrošināšana attiecībā uz esošo īpašumu ir spēkā bez ierobežojumiem arī, ja kādā no apdrošinātajiem objektiem tiek veikti remontdarbi un būvniecība saskaņā ar attiecīgiem normatīvajiem aktiem, tai skaitā, ja būvdarbu veikšanai noformēta būvatļauja. Ja būvdarbu veicēja noformētajā būvniecības visu risku (CAR) polisē ir paredzēts segums attiecībā uz esošā īpašuma apdrošināšanu, pretendentam ir saistoši tikai zaudējumi, kas netiek kompensēti atbilstoši šādai CAR polisei.</w:t>
            </w:r>
          </w:p>
        </w:tc>
        <w:tc>
          <w:tcPr>
            <w:tcW w:w="120" w:type="pct"/>
          </w:tcPr>
          <w:p w14:paraId="5C099A02" w14:textId="77777777" w:rsidR="00E37775" w:rsidRPr="0002261F" w:rsidRDefault="00E37775" w:rsidP="00182002">
            <w:pPr>
              <w:spacing w:line="276" w:lineRule="auto"/>
              <w:rPr>
                <w:rFonts w:ascii="Times New Roman" w:hAnsi="Times New Roman"/>
                <w:i/>
                <w:szCs w:val="24"/>
              </w:rPr>
            </w:pPr>
          </w:p>
        </w:tc>
      </w:tr>
      <w:tr w:rsidR="00E37775" w:rsidRPr="0002261F" w14:paraId="47254CB6" w14:textId="77777777" w:rsidTr="00182002">
        <w:tc>
          <w:tcPr>
            <w:tcW w:w="473" w:type="pct"/>
          </w:tcPr>
          <w:p w14:paraId="24338B0F"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9.</w:t>
            </w:r>
          </w:p>
        </w:tc>
        <w:tc>
          <w:tcPr>
            <w:tcW w:w="4407" w:type="pct"/>
          </w:tcPr>
          <w:p w14:paraId="686A7A51"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Apdrošināšana attiecībā uz esošo īpašumu ir spēkā arī gadījumos, kad Pasūtītājs vai tā sadarbības partneri veic ārkārtas un uzturēšanas (tekošos, profilakses) remontdarbus.</w:t>
            </w:r>
          </w:p>
        </w:tc>
        <w:tc>
          <w:tcPr>
            <w:tcW w:w="120" w:type="pct"/>
          </w:tcPr>
          <w:p w14:paraId="57E35449" w14:textId="77777777" w:rsidR="00E37775" w:rsidRPr="0002261F" w:rsidRDefault="00E37775" w:rsidP="00182002">
            <w:pPr>
              <w:spacing w:line="276" w:lineRule="auto"/>
              <w:rPr>
                <w:rFonts w:ascii="Times New Roman" w:hAnsi="Times New Roman"/>
                <w:i/>
                <w:szCs w:val="24"/>
              </w:rPr>
            </w:pPr>
          </w:p>
        </w:tc>
      </w:tr>
      <w:tr w:rsidR="00E37775" w:rsidRPr="0002261F" w14:paraId="4000A98F" w14:textId="77777777" w:rsidTr="00182002">
        <w:tc>
          <w:tcPr>
            <w:tcW w:w="473" w:type="pct"/>
          </w:tcPr>
          <w:p w14:paraId="7CFCB3EF"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10.</w:t>
            </w:r>
          </w:p>
        </w:tc>
        <w:tc>
          <w:tcPr>
            <w:tcW w:w="4407" w:type="pct"/>
          </w:tcPr>
          <w:p w14:paraId="058FE584"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Apdrošināšana ir arī spēkā pamatlīdzekļiem, kuri apdrošināšanas līguma darbības laikā tiek nodoti nomā, īrē vai patapinājumā. Apdrošināšanas segums saglabājas apdrošināšanas līgumā paredzētajā līmenī. Šādos gadījumos attiecībā uz nomnieku tiek piemēroti apdrošinājuma ņēmēja pienākumi un tiesības.</w:t>
            </w:r>
          </w:p>
        </w:tc>
        <w:tc>
          <w:tcPr>
            <w:tcW w:w="120" w:type="pct"/>
          </w:tcPr>
          <w:p w14:paraId="7C64BF02" w14:textId="77777777" w:rsidR="00E37775" w:rsidRPr="0002261F" w:rsidRDefault="00E37775" w:rsidP="00182002">
            <w:pPr>
              <w:spacing w:line="276" w:lineRule="auto"/>
              <w:rPr>
                <w:rFonts w:ascii="Times New Roman" w:hAnsi="Times New Roman"/>
                <w:i/>
                <w:szCs w:val="24"/>
              </w:rPr>
            </w:pPr>
            <w:r w:rsidRPr="0002261F">
              <w:rPr>
                <w:rFonts w:ascii="Times New Roman" w:hAnsi="Times New Roman"/>
                <w:i/>
                <w:szCs w:val="24"/>
              </w:rPr>
              <w:t xml:space="preserve"> </w:t>
            </w:r>
          </w:p>
        </w:tc>
      </w:tr>
      <w:tr w:rsidR="00E37775" w:rsidRPr="0002261F" w14:paraId="00CFE7D1" w14:textId="77777777" w:rsidTr="00182002">
        <w:tc>
          <w:tcPr>
            <w:tcW w:w="473" w:type="pct"/>
          </w:tcPr>
          <w:p w14:paraId="7475BA46"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lastRenderedPageBreak/>
              <w:t>11.</w:t>
            </w:r>
          </w:p>
        </w:tc>
        <w:tc>
          <w:tcPr>
            <w:tcW w:w="4407" w:type="pct"/>
          </w:tcPr>
          <w:p w14:paraId="6377FBC6"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Apdrošināšanas segums tiks nodrošināts, neizvirzot papildus prasības attiecībā uz apdrošināšanas objektu ugunsdrošību un apsardzi, pastāvot nosacījumam, ka Pasūtītājs ievēro normatīvajos aktos noteiktās drošības prasības un apdrošināšanas līguma termiņa laikā saglabā apdrošināšanas līguma noslēgšanas brīdī esošo drošības pasākumu līmeni, kā arī ievēro un izpilda VUGD saistošajos dokumentos norādītās prasības.</w:t>
            </w:r>
          </w:p>
          <w:p w14:paraId="0D02CDF3"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Apdrošināšanas segums ir spēkā bez ierobežojumiem arī apstākļos, kad objektīvu iemeslu dēļ apdrošināšanas objektos uz laiku nav iespējams aktivizēt apsardzes un/vai ugunsdrošības signalizāciju, piemēram, telpu remonta gadījumā. Šādās situācijās Pasūtītājs nodrošina nepieciešamos apsardzes pasākumus materiālo vērtību aizsardzībai pret zādzības risku.</w:t>
            </w:r>
          </w:p>
        </w:tc>
        <w:tc>
          <w:tcPr>
            <w:tcW w:w="120" w:type="pct"/>
          </w:tcPr>
          <w:p w14:paraId="3FA38FC9" w14:textId="77777777" w:rsidR="00E37775" w:rsidRPr="0002261F" w:rsidRDefault="00E37775" w:rsidP="00182002">
            <w:pPr>
              <w:spacing w:line="276" w:lineRule="auto"/>
              <w:rPr>
                <w:rFonts w:ascii="Times New Roman" w:hAnsi="Times New Roman"/>
                <w:i/>
                <w:szCs w:val="24"/>
              </w:rPr>
            </w:pPr>
          </w:p>
        </w:tc>
      </w:tr>
      <w:tr w:rsidR="00E37775" w:rsidRPr="0002261F" w14:paraId="1743BFAC" w14:textId="77777777" w:rsidTr="00182002">
        <w:tc>
          <w:tcPr>
            <w:tcW w:w="473" w:type="pct"/>
          </w:tcPr>
          <w:p w14:paraId="42FCEF94"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12.</w:t>
            </w:r>
          </w:p>
        </w:tc>
        <w:tc>
          <w:tcPr>
            <w:tcW w:w="4407" w:type="pct"/>
          </w:tcPr>
          <w:p w14:paraId="7C7FD283"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Glābšanas un sakārtošanas izdevumos, kas veicami pēc apdrošināšanas gadījuma, iekļauti arī teritorijas, t.sk. labiekārtojuma, atjaunošanas, ceļa seguma atjaunošanas, drupu novākšanas un demontāžas u.c. saistītie izdevumi ar atlīdzības limitu 600 000  par gadījumu un apdrošināšanas līguma laikā.</w:t>
            </w:r>
          </w:p>
        </w:tc>
        <w:tc>
          <w:tcPr>
            <w:tcW w:w="120" w:type="pct"/>
          </w:tcPr>
          <w:p w14:paraId="4EBBD769" w14:textId="77777777" w:rsidR="00E37775" w:rsidRPr="0002261F" w:rsidRDefault="00E37775" w:rsidP="00182002">
            <w:pPr>
              <w:spacing w:line="276" w:lineRule="auto"/>
              <w:rPr>
                <w:rFonts w:ascii="Times New Roman" w:hAnsi="Times New Roman"/>
                <w:i/>
                <w:szCs w:val="24"/>
              </w:rPr>
            </w:pPr>
          </w:p>
        </w:tc>
      </w:tr>
      <w:tr w:rsidR="00E37775" w:rsidRPr="0002261F" w14:paraId="2B7214C2" w14:textId="77777777" w:rsidTr="00182002">
        <w:tc>
          <w:tcPr>
            <w:tcW w:w="473" w:type="pct"/>
          </w:tcPr>
          <w:p w14:paraId="1D1CEBE0"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13.</w:t>
            </w:r>
          </w:p>
        </w:tc>
        <w:tc>
          <w:tcPr>
            <w:tcW w:w="4407" w:type="pct"/>
          </w:tcPr>
          <w:p w14:paraId="7991A14D"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Tiek segti arī darbinieku (izņemot Pasūtītāja valdes vai padomes locekļu) nodarīti zaudējumi, tai skaitā, to rupjas neuzmanības un tīšas rīcības rezultātā. Pretendents nav tiesīgs atlikt lēmumu par apdrošināšanas atlīdzības izmaksu līdz tiesvedības pabeigšanai, ja vien nav ierosināta administratīvā vai krimināllieta pret Pasūtītāja valdes vai padomes locekļiem.</w:t>
            </w:r>
          </w:p>
        </w:tc>
        <w:tc>
          <w:tcPr>
            <w:tcW w:w="120" w:type="pct"/>
          </w:tcPr>
          <w:p w14:paraId="62E5F843" w14:textId="77777777" w:rsidR="00E37775" w:rsidRPr="0002261F" w:rsidRDefault="00E37775" w:rsidP="00182002">
            <w:pPr>
              <w:spacing w:line="276" w:lineRule="auto"/>
              <w:rPr>
                <w:rFonts w:ascii="Times New Roman" w:hAnsi="Times New Roman"/>
                <w:i/>
                <w:szCs w:val="24"/>
              </w:rPr>
            </w:pPr>
          </w:p>
        </w:tc>
      </w:tr>
      <w:tr w:rsidR="00E37775" w:rsidRPr="0002261F" w14:paraId="5FADA348" w14:textId="77777777" w:rsidTr="00182002">
        <w:tc>
          <w:tcPr>
            <w:tcW w:w="473" w:type="pct"/>
          </w:tcPr>
          <w:p w14:paraId="529317F7"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14.</w:t>
            </w:r>
          </w:p>
        </w:tc>
        <w:tc>
          <w:tcPr>
            <w:tcW w:w="4407" w:type="pct"/>
          </w:tcPr>
          <w:p w14:paraId="700B2F20"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Tiek segti arī nomnieku, klientu, viesu un jebkuru citu personu, kas nav Pasūtītāja darbinieki un kurām tiek piešķirtas apdrošināto objektu lietošanas tiesības, nodarīti zaudējumi, tai skaitā, to rupjas neuzmanības un tīšas rīcības rezultātā.</w:t>
            </w:r>
          </w:p>
        </w:tc>
        <w:tc>
          <w:tcPr>
            <w:tcW w:w="120" w:type="pct"/>
          </w:tcPr>
          <w:p w14:paraId="781BDB01" w14:textId="77777777" w:rsidR="00E37775" w:rsidRPr="0002261F" w:rsidRDefault="00E37775" w:rsidP="00182002">
            <w:pPr>
              <w:spacing w:line="276" w:lineRule="auto"/>
              <w:rPr>
                <w:rFonts w:ascii="Times New Roman" w:hAnsi="Times New Roman"/>
                <w:i/>
                <w:szCs w:val="24"/>
              </w:rPr>
            </w:pPr>
          </w:p>
        </w:tc>
      </w:tr>
      <w:tr w:rsidR="00E37775" w:rsidRPr="0002261F" w14:paraId="65D1EB3E" w14:textId="77777777" w:rsidTr="00182002">
        <w:tc>
          <w:tcPr>
            <w:tcW w:w="473" w:type="pct"/>
          </w:tcPr>
          <w:p w14:paraId="235DECFB"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15.</w:t>
            </w:r>
          </w:p>
        </w:tc>
        <w:tc>
          <w:tcPr>
            <w:tcW w:w="4407" w:type="pct"/>
          </w:tcPr>
          <w:p w14:paraId="65591B45"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Apdrošināšanas gadījuma pieteikšanas minimālais termiņš – ne mazāk kā 5 (piecas) darba dienas no apdrošināšanas gadījuma konstatēšanas brīža.</w:t>
            </w:r>
          </w:p>
        </w:tc>
        <w:tc>
          <w:tcPr>
            <w:tcW w:w="120" w:type="pct"/>
          </w:tcPr>
          <w:p w14:paraId="267807DA" w14:textId="77777777" w:rsidR="00E37775" w:rsidRPr="0002261F" w:rsidRDefault="00E37775" w:rsidP="00182002">
            <w:pPr>
              <w:spacing w:line="276" w:lineRule="auto"/>
              <w:rPr>
                <w:rFonts w:ascii="Times New Roman" w:hAnsi="Times New Roman"/>
                <w:i/>
                <w:szCs w:val="24"/>
              </w:rPr>
            </w:pPr>
          </w:p>
        </w:tc>
      </w:tr>
      <w:tr w:rsidR="00E37775" w:rsidRPr="0002261F" w14:paraId="6C69F2DE" w14:textId="77777777" w:rsidTr="00182002">
        <w:tc>
          <w:tcPr>
            <w:tcW w:w="473" w:type="pct"/>
          </w:tcPr>
          <w:p w14:paraId="413A9A71"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16.</w:t>
            </w:r>
          </w:p>
        </w:tc>
        <w:tc>
          <w:tcPr>
            <w:tcW w:w="4407" w:type="pct"/>
          </w:tcPr>
          <w:p w14:paraId="0043B0A1" w14:textId="77777777" w:rsidR="00E37775" w:rsidRPr="0002261F" w:rsidRDefault="00E37775" w:rsidP="00182002">
            <w:pPr>
              <w:suppressAutoHyphens/>
              <w:autoSpaceDE w:val="0"/>
              <w:spacing w:line="276" w:lineRule="auto"/>
              <w:jc w:val="both"/>
              <w:rPr>
                <w:rFonts w:ascii="Times New Roman" w:hAnsi="Times New Roman"/>
                <w:szCs w:val="24"/>
                <w:lang w:eastAsia="zh-CN"/>
              </w:rPr>
            </w:pPr>
            <w:proofErr w:type="spellStart"/>
            <w:r w:rsidRPr="0002261F">
              <w:rPr>
                <w:rFonts w:ascii="Times New Roman" w:hAnsi="Times New Roman"/>
                <w:szCs w:val="24"/>
                <w:lang w:eastAsia="zh-CN"/>
              </w:rPr>
              <w:t>Subrogācijas</w:t>
            </w:r>
            <w:proofErr w:type="spellEnd"/>
            <w:r w:rsidRPr="0002261F">
              <w:rPr>
                <w:rFonts w:ascii="Times New Roman" w:hAnsi="Times New Roman"/>
                <w:szCs w:val="24"/>
                <w:lang w:eastAsia="zh-CN"/>
              </w:rPr>
              <w:t xml:space="preserve"> prasība par izmaksāto atlīdzību netiek vērsta pret Pasūtītāja darbiniekiem, izņemot, ja tie ir rīkojušies tīši, ļaunprātīgi vai rupji neuzmanīgi.</w:t>
            </w:r>
          </w:p>
        </w:tc>
        <w:tc>
          <w:tcPr>
            <w:tcW w:w="120" w:type="pct"/>
          </w:tcPr>
          <w:p w14:paraId="3FDBC038" w14:textId="77777777" w:rsidR="00E37775" w:rsidRPr="0002261F" w:rsidRDefault="00E37775" w:rsidP="00182002">
            <w:pPr>
              <w:spacing w:line="276" w:lineRule="auto"/>
              <w:rPr>
                <w:rFonts w:ascii="Times New Roman" w:hAnsi="Times New Roman"/>
                <w:i/>
                <w:szCs w:val="24"/>
              </w:rPr>
            </w:pPr>
          </w:p>
        </w:tc>
      </w:tr>
      <w:tr w:rsidR="00E37775" w:rsidRPr="0002261F" w14:paraId="0C25442D" w14:textId="77777777" w:rsidTr="00182002">
        <w:tc>
          <w:tcPr>
            <w:tcW w:w="473" w:type="pct"/>
          </w:tcPr>
          <w:p w14:paraId="379724A9" w14:textId="77777777" w:rsidR="00E37775" w:rsidRPr="0002261F" w:rsidRDefault="00E37775" w:rsidP="00182002">
            <w:pPr>
              <w:suppressAutoHyphens/>
              <w:autoSpaceDE w:val="0"/>
              <w:spacing w:line="276" w:lineRule="auto"/>
              <w:jc w:val="center"/>
              <w:rPr>
                <w:rFonts w:ascii="Times New Roman" w:hAnsi="Times New Roman"/>
                <w:szCs w:val="24"/>
                <w:lang w:eastAsia="zh-CN"/>
              </w:rPr>
            </w:pPr>
            <w:r w:rsidRPr="0002261F">
              <w:rPr>
                <w:rFonts w:ascii="Times New Roman" w:hAnsi="Times New Roman"/>
                <w:szCs w:val="24"/>
                <w:lang w:eastAsia="zh-CN"/>
              </w:rPr>
              <w:t>17.</w:t>
            </w:r>
          </w:p>
        </w:tc>
        <w:tc>
          <w:tcPr>
            <w:tcW w:w="4407" w:type="pct"/>
          </w:tcPr>
          <w:p w14:paraId="3C664488"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 xml:space="preserve">Jebkādu papildus </w:t>
            </w:r>
            <w:proofErr w:type="spellStart"/>
            <w:r w:rsidRPr="0002261F">
              <w:rPr>
                <w:rFonts w:ascii="Times New Roman" w:hAnsi="Times New Roman"/>
                <w:szCs w:val="24"/>
                <w:lang w:eastAsia="zh-CN"/>
              </w:rPr>
              <w:t>apakšlimitu</w:t>
            </w:r>
            <w:proofErr w:type="spellEnd"/>
            <w:r w:rsidRPr="0002261F">
              <w:rPr>
                <w:rFonts w:ascii="Times New Roman" w:hAnsi="Times New Roman"/>
                <w:szCs w:val="24"/>
                <w:lang w:eastAsia="zh-CN"/>
              </w:rPr>
              <w:t xml:space="preserve"> piemērošana šajās minimālajās prasībās noteiktajiem pretendenta tehniskajā piedāvājumā netiek pieļauta.</w:t>
            </w:r>
          </w:p>
        </w:tc>
        <w:tc>
          <w:tcPr>
            <w:tcW w:w="120" w:type="pct"/>
          </w:tcPr>
          <w:p w14:paraId="3A5FE6C7" w14:textId="77777777" w:rsidR="00E37775" w:rsidRPr="0002261F" w:rsidRDefault="00E37775" w:rsidP="00182002">
            <w:pPr>
              <w:spacing w:line="276" w:lineRule="auto"/>
              <w:rPr>
                <w:rFonts w:ascii="Times New Roman" w:hAnsi="Times New Roman"/>
                <w:i/>
                <w:szCs w:val="24"/>
              </w:rPr>
            </w:pPr>
          </w:p>
        </w:tc>
      </w:tr>
      <w:tr w:rsidR="00E37775" w:rsidRPr="0002261F" w14:paraId="028D2DE8" w14:textId="77777777" w:rsidTr="00182002">
        <w:tc>
          <w:tcPr>
            <w:tcW w:w="473" w:type="pct"/>
          </w:tcPr>
          <w:p w14:paraId="0CB52AB2" w14:textId="77777777" w:rsidR="00E37775" w:rsidRPr="0002261F" w:rsidRDefault="00E37775" w:rsidP="00182002">
            <w:pPr>
              <w:spacing w:line="276" w:lineRule="auto"/>
              <w:jc w:val="center"/>
              <w:rPr>
                <w:rFonts w:ascii="Times New Roman" w:hAnsi="Times New Roman"/>
                <w:b/>
                <w:szCs w:val="24"/>
              </w:rPr>
            </w:pPr>
            <w:r w:rsidRPr="0002261F">
              <w:rPr>
                <w:rFonts w:ascii="Times New Roman" w:hAnsi="Times New Roman"/>
                <w:b/>
                <w:szCs w:val="24"/>
              </w:rPr>
              <w:t>II</w:t>
            </w:r>
          </w:p>
        </w:tc>
        <w:tc>
          <w:tcPr>
            <w:tcW w:w="4407" w:type="pct"/>
          </w:tcPr>
          <w:p w14:paraId="1D33B8EC" w14:textId="77777777" w:rsidR="00E37775" w:rsidRPr="0002261F" w:rsidRDefault="00E37775" w:rsidP="00182002">
            <w:pPr>
              <w:suppressAutoHyphens/>
              <w:autoSpaceDE w:val="0"/>
              <w:spacing w:line="276" w:lineRule="auto"/>
              <w:jc w:val="both"/>
              <w:rPr>
                <w:rFonts w:ascii="Times New Roman" w:hAnsi="Times New Roman"/>
                <w:b/>
                <w:szCs w:val="24"/>
                <w:lang w:eastAsia="zh-CN"/>
              </w:rPr>
            </w:pPr>
            <w:r w:rsidRPr="0002261F">
              <w:rPr>
                <w:rFonts w:ascii="Times New Roman" w:hAnsi="Times New Roman"/>
                <w:b/>
                <w:szCs w:val="24"/>
                <w:lang w:eastAsia="zh-CN"/>
              </w:rPr>
              <w:t>ĪPAŠUMA APDROŠINĀŠANA (sabiedriskā transporta līdzekļi: tramvaji, trolejbusi, autobusi)</w:t>
            </w:r>
          </w:p>
        </w:tc>
        <w:tc>
          <w:tcPr>
            <w:tcW w:w="120" w:type="pct"/>
          </w:tcPr>
          <w:p w14:paraId="6449E96F" w14:textId="77777777" w:rsidR="00E37775" w:rsidRPr="0002261F" w:rsidRDefault="00E37775" w:rsidP="00182002">
            <w:pPr>
              <w:spacing w:line="276" w:lineRule="auto"/>
              <w:rPr>
                <w:rFonts w:ascii="Times New Roman" w:hAnsi="Times New Roman"/>
                <w:i/>
                <w:szCs w:val="24"/>
              </w:rPr>
            </w:pPr>
          </w:p>
        </w:tc>
      </w:tr>
      <w:tr w:rsidR="00E37775" w:rsidRPr="0002261F" w14:paraId="1265C504" w14:textId="77777777" w:rsidTr="00182002">
        <w:tc>
          <w:tcPr>
            <w:tcW w:w="473" w:type="pct"/>
          </w:tcPr>
          <w:p w14:paraId="7D26C3F1" w14:textId="77777777" w:rsidR="00E37775" w:rsidRPr="0002261F" w:rsidRDefault="00E37775" w:rsidP="00182002">
            <w:pPr>
              <w:spacing w:line="276" w:lineRule="auto"/>
              <w:jc w:val="center"/>
              <w:rPr>
                <w:rFonts w:ascii="Times New Roman" w:hAnsi="Times New Roman"/>
                <w:b/>
                <w:szCs w:val="24"/>
              </w:rPr>
            </w:pPr>
            <w:r w:rsidRPr="0002261F">
              <w:rPr>
                <w:rFonts w:ascii="Times New Roman" w:hAnsi="Times New Roman"/>
                <w:b/>
                <w:szCs w:val="24"/>
              </w:rPr>
              <w:t>II.I.</w:t>
            </w:r>
          </w:p>
        </w:tc>
        <w:tc>
          <w:tcPr>
            <w:tcW w:w="4407" w:type="pct"/>
          </w:tcPr>
          <w:p w14:paraId="5337EA44" w14:textId="77777777" w:rsidR="00E37775" w:rsidRPr="0002261F" w:rsidRDefault="00E37775" w:rsidP="00182002">
            <w:pPr>
              <w:suppressAutoHyphens/>
              <w:autoSpaceDE w:val="0"/>
              <w:spacing w:line="276" w:lineRule="auto"/>
              <w:jc w:val="both"/>
              <w:rPr>
                <w:rFonts w:ascii="Times New Roman" w:hAnsi="Times New Roman"/>
                <w:b/>
                <w:szCs w:val="24"/>
                <w:lang w:eastAsia="zh-CN"/>
              </w:rPr>
            </w:pPr>
            <w:r w:rsidRPr="0002261F">
              <w:rPr>
                <w:rFonts w:ascii="Times New Roman" w:hAnsi="Times New Roman"/>
                <w:b/>
                <w:szCs w:val="24"/>
                <w:lang w:eastAsia="zh-CN"/>
              </w:rPr>
              <w:t>Nosaukto risku apdrošināšana.</w:t>
            </w:r>
          </w:p>
        </w:tc>
        <w:tc>
          <w:tcPr>
            <w:tcW w:w="120" w:type="pct"/>
          </w:tcPr>
          <w:p w14:paraId="23230AE5" w14:textId="77777777" w:rsidR="00E37775" w:rsidRPr="0002261F" w:rsidRDefault="00E37775" w:rsidP="00182002">
            <w:pPr>
              <w:spacing w:line="276" w:lineRule="auto"/>
              <w:rPr>
                <w:rFonts w:ascii="Times New Roman" w:hAnsi="Times New Roman"/>
                <w:i/>
                <w:szCs w:val="24"/>
              </w:rPr>
            </w:pPr>
          </w:p>
        </w:tc>
      </w:tr>
      <w:tr w:rsidR="00E37775" w:rsidRPr="0002261F" w14:paraId="3AB4E5D2" w14:textId="77777777" w:rsidTr="00182002">
        <w:tc>
          <w:tcPr>
            <w:tcW w:w="473" w:type="pct"/>
          </w:tcPr>
          <w:p w14:paraId="6543EB6A" w14:textId="77777777" w:rsidR="00E37775" w:rsidRPr="0002261F" w:rsidRDefault="00E37775" w:rsidP="00182002">
            <w:pPr>
              <w:spacing w:line="276" w:lineRule="auto"/>
              <w:jc w:val="center"/>
              <w:rPr>
                <w:rFonts w:ascii="Times New Roman" w:hAnsi="Times New Roman"/>
                <w:b/>
                <w:szCs w:val="24"/>
              </w:rPr>
            </w:pPr>
            <w:r w:rsidRPr="0002261F">
              <w:rPr>
                <w:rFonts w:ascii="Times New Roman" w:hAnsi="Times New Roman"/>
                <w:b/>
                <w:szCs w:val="24"/>
              </w:rPr>
              <w:t>1.</w:t>
            </w:r>
          </w:p>
        </w:tc>
        <w:tc>
          <w:tcPr>
            <w:tcW w:w="4407" w:type="pct"/>
          </w:tcPr>
          <w:p w14:paraId="79AB2DDA" w14:textId="77777777" w:rsidR="00E37775" w:rsidRPr="00A63FFA" w:rsidRDefault="00E37775" w:rsidP="00182002">
            <w:pPr>
              <w:suppressAutoHyphens/>
              <w:autoSpaceDE w:val="0"/>
              <w:spacing w:line="276" w:lineRule="auto"/>
              <w:jc w:val="both"/>
              <w:rPr>
                <w:rFonts w:ascii="Times New Roman" w:hAnsi="Times New Roman"/>
                <w:szCs w:val="24"/>
                <w:lang w:eastAsia="zh-CN"/>
              </w:rPr>
            </w:pPr>
            <w:r w:rsidRPr="00A63FFA">
              <w:rPr>
                <w:rFonts w:ascii="Times New Roman" w:hAnsi="Times New Roman"/>
                <w:b/>
                <w:szCs w:val="24"/>
                <w:lang w:eastAsia="zh-CN"/>
              </w:rPr>
              <w:t>Apdrošināšanas objekts, apdrošināšanas summa</w:t>
            </w:r>
            <w:r w:rsidRPr="00A63FFA">
              <w:rPr>
                <w:rFonts w:ascii="Times New Roman" w:hAnsi="Times New Roman"/>
                <w:szCs w:val="24"/>
                <w:lang w:eastAsia="zh-CN"/>
              </w:rPr>
              <w:t>: sabiedriskā transporta līdzekļi</w:t>
            </w:r>
            <w:r w:rsidRPr="00A63FFA">
              <w:rPr>
                <w:rFonts w:ascii="Times New Roman" w:hAnsi="Times New Roman"/>
                <w:b/>
                <w:szCs w:val="24"/>
                <w:lang w:eastAsia="zh-CN"/>
              </w:rPr>
              <w:t xml:space="preserve"> </w:t>
            </w:r>
            <w:r w:rsidRPr="00A63FFA">
              <w:rPr>
                <w:rFonts w:ascii="Times New Roman" w:hAnsi="Times New Roman"/>
                <w:szCs w:val="24"/>
                <w:lang w:eastAsia="zh-CN"/>
              </w:rPr>
              <w:t xml:space="preserve">(ar ražotāja uzstādīto un iemontēto aprīkojumu, ražotāja un/vai reklāmas krāsojumu, uzlīmēm), </w:t>
            </w:r>
            <w:r w:rsidRPr="00A63FFA">
              <w:rPr>
                <w:rFonts w:ascii="Times New Roman" w:hAnsi="Times New Roman"/>
                <w:b/>
                <w:szCs w:val="24"/>
                <w:lang w:eastAsia="zh-CN"/>
              </w:rPr>
              <w:t>kas uzskaitīti uzņēmuma bilancē</w:t>
            </w:r>
            <w:r w:rsidRPr="00A63FFA">
              <w:rPr>
                <w:rFonts w:ascii="Times New Roman" w:hAnsi="Times New Roman"/>
                <w:szCs w:val="24"/>
                <w:lang w:eastAsia="zh-CN"/>
              </w:rPr>
              <w:t xml:space="preserve"> (t.sk. trešajām personām ieķīlātie) un norādīti apdrošināmo objektu sarakstā, tai skaitā,</w:t>
            </w:r>
          </w:p>
        </w:tc>
        <w:tc>
          <w:tcPr>
            <w:tcW w:w="120" w:type="pct"/>
          </w:tcPr>
          <w:p w14:paraId="370AF710" w14:textId="77777777" w:rsidR="00E37775" w:rsidRPr="0002261F" w:rsidRDefault="00E37775" w:rsidP="00182002">
            <w:pPr>
              <w:spacing w:line="276" w:lineRule="auto"/>
              <w:rPr>
                <w:rFonts w:ascii="Times New Roman" w:hAnsi="Times New Roman"/>
                <w:i/>
                <w:szCs w:val="24"/>
              </w:rPr>
            </w:pPr>
          </w:p>
        </w:tc>
      </w:tr>
      <w:tr w:rsidR="00E37775" w:rsidRPr="0002261F" w14:paraId="7CA44174" w14:textId="77777777" w:rsidTr="00182002">
        <w:tc>
          <w:tcPr>
            <w:tcW w:w="473" w:type="pct"/>
          </w:tcPr>
          <w:p w14:paraId="48E18E4B"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1.1.</w:t>
            </w:r>
          </w:p>
        </w:tc>
        <w:tc>
          <w:tcPr>
            <w:tcW w:w="4407" w:type="pct"/>
          </w:tcPr>
          <w:p w14:paraId="101CA765" w14:textId="0DD37591" w:rsidR="00E37775" w:rsidRPr="00A63FFA" w:rsidRDefault="00E37775" w:rsidP="00182002">
            <w:pPr>
              <w:suppressAutoHyphens/>
              <w:autoSpaceDE w:val="0"/>
              <w:spacing w:line="276" w:lineRule="auto"/>
              <w:jc w:val="both"/>
              <w:rPr>
                <w:rFonts w:ascii="Times New Roman" w:hAnsi="Times New Roman"/>
                <w:szCs w:val="24"/>
                <w:lang w:eastAsia="zh-CN"/>
              </w:rPr>
            </w:pPr>
            <w:r w:rsidRPr="00A63FFA">
              <w:rPr>
                <w:rFonts w:ascii="Times New Roman" w:hAnsi="Times New Roman"/>
                <w:szCs w:val="24"/>
                <w:lang w:eastAsia="zh-CN"/>
              </w:rPr>
              <w:t>sabiedriskā transporta līdzekļi</w:t>
            </w:r>
            <w:r w:rsidRPr="00A63FFA">
              <w:rPr>
                <w:rFonts w:ascii="Times New Roman" w:hAnsi="Times New Roman"/>
                <w:b/>
                <w:szCs w:val="24"/>
                <w:lang w:eastAsia="zh-CN"/>
              </w:rPr>
              <w:t xml:space="preserve"> </w:t>
            </w:r>
            <w:r w:rsidRPr="00A63FFA">
              <w:rPr>
                <w:rFonts w:ascii="Times New Roman" w:hAnsi="Times New Roman"/>
                <w:szCs w:val="24"/>
                <w:lang w:eastAsia="zh-CN"/>
              </w:rPr>
              <w:t xml:space="preserve">(ar ražotāja uzstādīto un iemontēto aprīkojumu, ražotāja un/vai reklāmas krāsojumu, uzlīmēm), </w:t>
            </w:r>
            <w:r w:rsidRPr="00A63FFA">
              <w:rPr>
                <w:rFonts w:ascii="Times New Roman" w:hAnsi="Times New Roman"/>
                <w:b/>
                <w:szCs w:val="24"/>
                <w:lang w:eastAsia="zh-CN"/>
              </w:rPr>
              <w:t>kas uzskaitīti uzņēmuma bilancē</w:t>
            </w:r>
            <w:r w:rsidRPr="00A63FFA">
              <w:rPr>
                <w:rFonts w:ascii="Times New Roman" w:hAnsi="Times New Roman"/>
                <w:szCs w:val="24"/>
                <w:lang w:eastAsia="zh-CN"/>
              </w:rPr>
              <w:t xml:space="preserve"> (t.sk. trešajām personām ieķīlātie) un norādīti apdrošināmo objektu sarakstā.</w:t>
            </w:r>
          </w:p>
        </w:tc>
        <w:tc>
          <w:tcPr>
            <w:tcW w:w="120" w:type="pct"/>
          </w:tcPr>
          <w:p w14:paraId="364E807E" w14:textId="77777777" w:rsidR="00E37775" w:rsidRPr="0002261F" w:rsidRDefault="00E37775" w:rsidP="00182002">
            <w:pPr>
              <w:spacing w:line="276" w:lineRule="auto"/>
              <w:rPr>
                <w:rFonts w:ascii="Times New Roman" w:hAnsi="Times New Roman"/>
                <w:i/>
                <w:szCs w:val="24"/>
              </w:rPr>
            </w:pPr>
          </w:p>
        </w:tc>
      </w:tr>
      <w:tr w:rsidR="00E37775" w:rsidRPr="0002261F" w14:paraId="7586C3A7" w14:textId="77777777" w:rsidTr="00182002">
        <w:tc>
          <w:tcPr>
            <w:tcW w:w="473" w:type="pct"/>
          </w:tcPr>
          <w:p w14:paraId="446FFD9F"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1.2.</w:t>
            </w:r>
          </w:p>
        </w:tc>
        <w:tc>
          <w:tcPr>
            <w:tcW w:w="4407" w:type="pct"/>
          </w:tcPr>
          <w:p w14:paraId="1761879E" w14:textId="40063977" w:rsidR="00E37775" w:rsidRPr="00A63FFA" w:rsidRDefault="00E37775" w:rsidP="00182002">
            <w:pPr>
              <w:suppressAutoHyphens/>
              <w:autoSpaceDE w:val="0"/>
              <w:spacing w:line="276" w:lineRule="auto"/>
              <w:jc w:val="both"/>
              <w:rPr>
                <w:rFonts w:ascii="Times New Roman" w:hAnsi="Times New Roman"/>
                <w:szCs w:val="24"/>
                <w:lang w:eastAsia="zh-CN"/>
              </w:rPr>
            </w:pPr>
            <w:r w:rsidRPr="00A63FFA">
              <w:rPr>
                <w:rFonts w:ascii="Times New Roman" w:hAnsi="Times New Roman"/>
                <w:szCs w:val="24"/>
                <w:lang w:eastAsia="zh-CN"/>
              </w:rPr>
              <w:t>sabiedriskā transporta līdzekļi</w:t>
            </w:r>
            <w:r w:rsidRPr="00A63FFA">
              <w:rPr>
                <w:rFonts w:ascii="Times New Roman" w:hAnsi="Times New Roman"/>
                <w:b/>
                <w:szCs w:val="24"/>
                <w:lang w:eastAsia="zh-CN"/>
              </w:rPr>
              <w:t xml:space="preserve"> </w:t>
            </w:r>
            <w:r w:rsidRPr="00A63FFA">
              <w:rPr>
                <w:rFonts w:ascii="Times New Roman" w:hAnsi="Times New Roman"/>
                <w:szCs w:val="24"/>
                <w:lang w:eastAsia="zh-CN"/>
              </w:rPr>
              <w:t xml:space="preserve">(ar ražotāja uzstādīto un iemontēto aprīkojumu, ražotāja un/vai reklāmas krāsojumu, uzlīmēm), </w:t>
            </w:r>
            <w:r w:rsidRPr="00A63FFA">
              <w:rPr>
                <w:rFonts w:ascii="Times New Roman" w:hAnsi="Times New Roman"/>
                <w:b/>
                <w:szCs w:val="24"/>
                <w:lang w:eastAsia="zh-CN"/>
              </w:rPr>
              <w:t>kas atbilstoši Pasūtītāja un ražotāju noslēgtajiem līgumiem apdrošināšanas perioda laikā ražotājiem ir jāpiegādā saskaņā ar piegāžu grafiku</w:t>
            </w:r>
            <w:r w:rsidR="003B585B">
              <w:rPr>
                <w:rFonts w:ascii="Times New Roman" w:hAnsi="Times New Roman"/>
                <w:b/>
                <w:szCs w:val="24"/>
                <w:lang w:eastAsia="zh-CN"/>
              </w:rPr>
              <w:t xml:space="preserve">, tas ir, 20 </w:t>
            </w:r>
            <w:r w:rsidR="009F4CA7">
              <w:rPr>
                <w:rFonts w:ascii="Times New Roman" w:hAnsi="Times New Roman"/>
                <w:b/>
                <w:szCs w:val="24"/>
                <w:lang w:eastAsia="zh-CN"/>
              </w:rPr>
              <w:t>tramvaji</w:t>
            </w:r>
            <w:r w:rsidRPr="00A63FFA">
              <w:rPr>
                <w:rFonts w:ascii="Times New Roman" w:hAnsi="Times New Roman"/>
                <w:szCs w:val="24"/>
                <w:lang w:eastAsia="zh-CN"/>
              </w:rPr>
              <w:t xml:space="preserve">. Ņemot vērā to, ka iepirkuma izsludināšanas brīdī tiek risinātas juridiska rakstura domstarpības par šo </w:t>
            </w:r>
            <w:r w:rsidRPr="00A63FFA">
              <w:rPr>
                <w:rFonts w:ascii="Times New Roman" w:hAnsi="Times New Roman"/>
                <w:szCs w:val="24"/>
                <w:lang w:eastAsia="zh-CN"/>
              </w:rPr>
              <w:lastRenderedPageBreak/>
              <w:t>transportlīdzekļu piegādes līgumu nosacījumiem, šajā punktā norādīto transportlīdzekļu apdrošināšanas līgumu noslēgšanu Pasūtītājs negarantē.</w:t>
            </w:r>
          </w:p>
        </w:tc>
        <w:tc>
          <w:tcPr>
            <w:tcW w:w="120" w:type="pct"/>
          </w:tcPr>
          <w:p w14:paraId="139C7D7C" w14:textId="77777777" w:rsidR="00E37775" w:rsidRPr="0002261F" w:rsidRDefault="00E37775" w:rsidP="00182002">
            <w:pPr>
              <w:spacing w:line="276" w:lineRule="auto"/>
              <w:rPr>
                <w:rFonts w:ascii="Times New Roman" w:hAnsi="Times New Roman"/>
                <w:i/>
                <w:szCs w:val="24"/>
              </w:rPr>
            </w:pPr>
          </w:p>
        </w:tc>
      </w:tr>
      <w:tr w:rsidR="00E37775" w:rsidRPr="0002261F" w14:paraId="0C83BE66" w14:textId="77777777" w:rsidTr="00182002">
        <w:tc>
          <w:tcPr>
            <w:tcW w:w="473" w:type="pct"/>
          </w:tcPr>
          <w:p w14:paraId="4E0CD40E"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1.4.</w:t>
            </w:r>
          </w:p>
        </w:tc>
        <w:tc>
          <w:tcPr>
            <w:tcW w:w="4407" w:type="pct"/>
          </w:tcPr>
          <w:p w14:paraId="5D2FF6A0"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 xml:space="preserve">Apdrošinājuma summa līdz 5 gadus (ieskaitot) veciem transportlīdzekļiem tiek noteikta </w:t>
            </w:r>
            <w:proofErr w:type="spellStart"/>
            <w:r w:rsidRPr="0002261F">
              <w:rPr>
                <w:rFonts w:ascii="Times New Roman" w:hAnsi="Times New Roman"/>
                <w:szCs w:val="24"/>
                <w:lang w:eastAsia="zh-CN"/>
              </w:rPr>
              <w:t>jauniegādes</w:t>
            </w:r>
            <w:proofErr w:type="spellEnd"/>
            <w:r w:rsidRPr="0002261F">
              <w:rPr>
                <w:rFonts w:ascii="Times New Roman" w:hAnsi="Times New Roman"/>
                <w:szCs w:val="24"/>
                <w:lang w:eastAsia="zh-CN"/>
              </w:rPr>
              <w:t xml:space="preserve"> vērtībā eiro (bez PVN).</w:t>
            </w:r>
          </w:p>
        </w:tc>
        <w:tc>
          <w:tcPr>
            <w:tcW w:w="120" w:type="pct"/>
          </w:tcPr>
          <w:p w14:paraId="1415344A" w14:textId="77777777" w:rsidR="00E37775" w:rsidRPr="0002261F" w:rsidRDefault="00E37775" w:rsidP="00182002">
            <w:pPr>
              <w:spacing w:line="276" w:lineRule="auto"/>
              <w:rPr>
                <w:rFonts w:ascii="Times New Roman" w:hAnsi="Times New Roman"/>
                <w:i/>
                <w:szCs w:val="24"/>
              </w:rPr>
            </w:pPr>
          </w:p>
        </w:tc>
      </w:tr>
      <w:tr w:rsidR="00E37775" w:rsidRPr="0002261F" w14:paraId="76F0B4EB" w14:textId="77777777" w:rsidTr="00182002">
        <w:tc>
          <w:tcPr>
            <w:tcW w:w="473" w:type="pct"/>
          </w:tcPr>
          <w:p w14:paraId="352BF56B"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1.5.</w:t>
            </w:r>
          </w:p>
        </w:tc>
        <w:tc>
          <w:tcPr>
            <w:tcW w:w="4407" w:type="pct"/>
          </w:tcPr>
          <w:p w14:paraId="7272E3B5"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Apdrošinājuma summa 6 gadus veciem un vecākiem transportlīdzekļiem ir faktiskā (tirgus) vērtība eiro (bez PVN).</w:t>
            </w:r>
          </w:p>
        </w:tc>
        <w:tc>
          <w:tcPr>
            <w:tcW w:w="120" w:type="pct"/>
          </w:tcPr>
          <w:p w14:paraId="3C968ECA" w14:textId="77777777" w:rsidR="00E37775" w:rsidRPr="0002261F" w:rsidRDefault="00E37775" w:rsidP="00182002">
            <w:pPr>
              <w:spacing w:line="276" w:lineRule="auto"/>
              <w:rPr>
                <w:rFonts w:ascii="Times New Roman" w:hAnsi="Times New Roman"/>
                <w:i/>
                <w:szCs w:val="24"/>
              </w:rPr>
            </w:pPr>
          </w:p>
        </w:tc>
      </w:tr>
      <w:tr w:rsidR="00E37775" w:rsidRPr="0002261F" w14:paraId="716BA789" w14:textId="77777777" w:rsidTr="00182002">
        <w:tc>
          <w:tcPr>
            <w:tcW w:w="473" w:type="pct"/>
          </w:tcPr>
          <w:p w14:paraId="0B599DE6"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1.6.</w:t>
            </w:r>
          </w:p>
        </w:tc>
        <w:tc>
          <w:tcPr>
            <w:tcW w:w="4407" w:type="pct"/>
          </w:tcPr>
          <w:p w14:paraId="080B4438"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Apdrošinājuma summa katram konkrētam transportlīdzeklim norādīta apdrošināmo objektu sarakstā.</w:t>
            </w:r>
          </w:p>
        </w:tc>
        <w:tc>
          <w:tcPr>
            <w:tcW w:w="120" w:type="pct"/>
          </w:tcPr>
          <w:p w14:paraId="3344CCA5" w14:textId="77777777" w:rsidR="00E37775" w:rsidRPr="0002261F" w:rsidRDefault="00E37775" w:rsidP="00182002">
            <w:pPr>
              <w:spacing w:line="276" w:lineRule="auto"/>
              <w:rPr>
                <w:rFonts w:ascii="Times New Roman" w:hAnsi="Times New Roman"/>
                <w:i/>
                <w:szCs w:val="24"/>
              </w:rPr>
            </w:pPr>
          </w:p>
        </w:tc>
      </w:tr>
      <w:tr w:rsidR="00E37775" w:rsidRPr="0002261F" w14:paraId="50DBBE64" w14:textId="77777777" w:rsidTr="00182002">
        <w:tc>
          <w:tcPr>
            <w:tcW w:w="473" w:type="pct"/>
          </w:tcPr>
          <w:p w14:paraId="4A072B8E"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1.7.</w:t>
            </w:r>
          </w:p>
        </w:tc>
        <w:tc>
          <w:tcPr>
            <w:tcW w:w="4407" w:type="pct"/>
          </w:tcPr>
          <w:p w14:paraId="101EB8EF"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 xml:space="preserve">Apdrošinājuma summai netiek piemēroti </w:t>
            </w:r>
            <w:proofErr w:type="spellStart"/>
            <w:r w:rsidRPr="0002261F">
              <w:rPr>
                <w:rFonts w:ascii="Times New Roman" w:hAnsi="Times New Roman"/>
                <w:szCs w:val="24"/>
                <w:lang w:eastAsia="zh-CN"/>
              </w:rPr>
              <w:t>apakšlimiti</w:t>
            </w:r>
            <w:proofErr w:type="spellEnd"/>
            <w:r w:rsidRPr="0002261F">
              <w:rPr>
                <w:rFonts w:ascii="Times New Roman" w:hAnsi="Times New Roman"/>
                <w:szCs w:val="24"/>
                <w:lang w:eastAsia="zh-CN"/>
              </w:rPr>
              <w:t>, t.sk., attiecībā uz transportlīdzekļu aprīkojumu, krāsojumu.</w:t>
            </w:r>
          </w:p>
        </w:tc>
        <w:tc>
          <w:tcPr>
            <w:tcW w:w="120" w:type="pct"/>
          </w:tcPr>
          <w:p w14:paraId="05A97435" w14:textId="77777777" w:rsidR="00E37775" w:rsidRPr="0002261F" w:rsidRDefault="00E37775" w:rsidP="00182002">
            <w:pPr>
              <w:spacing w:line="276" w:lineRule="auto"/>
              <w:rPr>
                <w:rFonts w:ascii="Times New Roman" w:hAnsi="Times New Roman"/>
                <w:i/>
                <w:szCs w:val="24"/>
              </w:rPr>
            </w:pPr>
          </w:p>
        </w:tc>
      </w:tr>
      <w:tr w:rsidR="00E37775" w:rsidRPr="0002261F" w14:paraId="7BB25371" w14:textId="77777777" w:rsidTr="00182002">
        <w:tc>
          <w:tcPr>
            <w:tcW w:w="473" w:type="pct"/>
          </w:tcPr>
          <w:p w14:paraId="1923D175"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1.8.</w:t>
            </w:r>
          </w:p>
        </w:tc>
        <w:tc>
          <w:tcPr>
            <w:tcW w:w="4407" w:type="pct"/>
          </w:tcPr>
          <w:p w14:paraId="0E2721CA"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Apdrošinājuma summa katram konkrētam objektam pēc apdrošināšanas atlīdzības izmaksas tiek atjaunota pilnā apmērā bez papildu apdrošināšanas prēmijas samaksas, izņemot gadījumus, kad īpašums ir gājis bojā un netiek atjaunots.</w:t>
            </w:r>
          </w:p>
        </w:tc>
        <w:tc>
          <w:tcPr>
            <w:tcW w:w="120" w:type="pct"/>
          </w:tcPr>
          <w:p w14:paraId="0E480346" w14:textId="77777777" w:rsidR="00E37775" w:rsidRPr="0002261F" w:rsidRDefault="00E37775" w:rsidP="00182002">
            <w:pPr>
              <w:spacing w:line="276" w:lineRule="auto"/>
              <w:rPr>
                <w:rFonts w:ascii="Times New Roman" w:hAnsi="Times New Roman"/>
                <w:i/>
                <w:szCs w:val="24"/>
              </w:rPr>
            </w:pPr>
          </w:p>
        </w:tc>
      </w:tr>
      <w:tr w:rsidR="00E37775" w:rsidRPr="0002261F" w14:paraId="059100F0" w14:textId="77777777" w:rsidTr="00182002">
        <w:tc>
          <w:tcPr>
            <w:tcW w:w="473" w:type="pct"/>
          </w:tcPr>
          <w:p w14:paraId="03380D0A" w14:textId="77777777" w:rsidR="00E37775" w:rsidRPr="0002261F" w:rsidRDefault="00E37775" w:rsidP="00182002">
            <w:pPr>
              <w:spacing w:line="276" w:lineRule="auto"/>
              <w:jc w:val="center"/>
              <w:rPr>
                <w:rFonts w:ascii="Times New Roman" w:hAnsi="Times New Roman"/>
                <w:b/>
                <w:szCs w:val="24"/>
              </w:rPr>
            </w:pPr>
            <w:r w:rsidRPr="0002261F">
              <w:rPr>
                <w:rFonts w:ascii="Times New Roman" w:hAnsi="Times New Roman"/>
                <w:b/>
                <w:szCs w:val="24"/>
              </w:rPr>
              <w:t>2.</w:t>
            </w:r>
          </w:p>
        </w:tc>
        <w:tc>
          <w:tcPr>
            <w:tcW w:w="4407" w:type="pct"/>
          </w:tcPr>
          <w:p w14:paraId="1858FD32"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b/>
                <w:szCs w:val="24"/>
                <w:lang w:eastAsia="zh-CN"/>
              </w:rPr>
              <w:t>Apdrošināšanas teritorija</w:t>
            </w:r>
            <w:r w:rsidRPr="0002261F">
              <w:rPr>
                <w:rFonts w:ascii="Times New Roman" w:hAnsi="Times New Roman"/>
                <w:szCs w:val="24"/>
                <w:lang w:eastAsia="zh-CN"/>
              </w:rPr>
              <w:t xml:space="preserve"> – Latvijas Republika, </w:t>
            </w:r>
            <w:r w:rsidRPr="0002261F">
              <w:rPr>
                <w:rFonts w:ascii="Times New Roman" w:hAnsi="Times New Roman"/>
                <w:b/>
                <w:i/>
                <w:szCs w:val="24"/>
                <w:lang w:eastAsia="zh-CN"/>
              </w:rPr>
              <w:t>tai skaitā, piedaloties ceļu satiksmē.</w:t>
            </w:r>
          </w:p>
        </w:tc>
        <w:tc>
          <w:tcPr>
            <w:tcW w:w="120" w:type="pct"/>
          </w:tcPr>
          <w:p w14:paraId="28F6225D" w14:textId="77777777" w:rsidR="00E37775" w:rsidRPr="0002261F" w:rsidRDefault="00E37775" w:rsidP="00182002">
            <w:pPr>
              <w:spacing w:line="276" w:lineRule="auto"/>
              <w:rPr>
                <w:rFonts w:ascii="Times New Roman" w:hAnsi="Times New Roman"/>
                <w:i/>
                <w:szCs w:val="24"/>
              </w:rPr>
            </w:pPr>
          </w:p>
        </w:tc>
      </w:tr>
      <w:tr w:rsidR="00E37775" w:rsidRPr="0002261F" w14:paraId="5842407A" w14:textId="77777777" w:rsidTr="00182002">
        <w:tc>
          <w:tcPr>
            <w:tcW w:w="473" w:type="pct"/>
          </w:tcPr>
          <w:p w14:paraId="26DD9EAD" w14:textId="77777777" w:rsidR="00E37775" w:rsidRPr="0002261F" w:rsidRDefault="00E37775" w:rsidP="00182002">
            <w:pPr>
              <w:spacing w:line="276" w:lineRule="auto"/>
              <w:jc w:val="center"/>
              <w:rPr>
                <w:rFonts w:ascii="Times New Roman" w:hAnsi="Times New Roman"/>
                <w:b/>
                <w:szCs w:val="24"/>
              </w:rPr>
            </w:pPr>
            <w:r w:rsidRPr="0002261F">
              <w:rPr>
                <w:rFonts w:ascii="Times New Roman" w:hAnsi="Times New Roman"/>
                <w:b/>
                <w:szCs w:val="24"/>
              </w:rPr>
              <w:t>3.</w:t>
            </w:r>
          </w:p>
        </w:tc>
        <w:tc>
          <w:tcPr>
            <w:tcW w:w="4407" w:type="pct"/>
          </w:tcPr>
          <w:p w14:paraId="1F1D2220"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b/>
                <w:szCs w:val="24"/>
                <w:lang w:eastAsia="zh-CN"/>
              </w:rPr>
              <w:t>Apdrošinātie riski</w:t>
            </w:r>
            <w:r w:rsidRPr="0002261F">
              <w:rPr>
                <w:rFonts w:ascii="Times New Roman" w:hAnsi="Times New Roman"/>
                <w:szCs w:val="24"/>
                <w:lang w:eastAsia="zh-CN"/>
              </w:rPr>
              <w:t xml:space="preserve"> - apdrošinātā īpašuma tiešs fizisks bojājums vai bojāeja, kuru cēlonis ir:</w:t>
            </w:r>
          </w:p>
        </w:tc>
        <w:tc>
          <w:tcPr>
            <w:tcW w:w="120" w:type="pct"/>
          </w:tcPr>
          <w:p w14:paraId="3BB2DFD8" w14:textId="77777777" w:rsidR="00E37775" w:rsidRPr="0002261F" w:rsidRDefault="00E37775" w:rsidP="00182002">
            <w:pPr>
              <w:spacing w:line="276" w:lineRule="auto"/>
              <w:rPr>
                <w:rFonts w:ascii="Times New Roman" w:hAnsi="Times New Roman"/>
                <w:i/>
                <w:szCs w:val="24"/>
              </w:rPr>
            </w:pPr>
          </w:p>
        </w:tc>
      </w:tr>
      <w:tr w:rsidR="00E37775" w:rsidRPr="0002261F" w14:paraId="16FD9B29" w14:textId="77777777" w:rsidTr="00182002">
        <w:tc>
          <w:tcPr>
            <w:tcW w:w="473" w:type="pct"/>
          </w:tcPr>
          <w:p w14:paraId="00B06E74"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3.1.</w:t>
            </w:r>
          </w:p>
        </w:tc>
        <w:tc>
          <w:tcPr>
            <w:tcW w:w="4407" w:type="pct"/>
          </w:tcPr>
          <w:p w14:paraId="0B89FB5C"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Ugunsgrēks – neparedzēta, nekontrolējama degšana, kas rada vai var radīt zaudējumus, neatkarīgi no iemesla. Ar uguns risku apdrošināti tiek arī zaudējumi, kas rodas degšanas procesā no dūmiem, kvēpiem, karstuma, gruzdēšanas, kā arī zaudējumi vai bojājumi, kas rodas uguns dzēšanas procesā.</w:t>
            </w:r>
          </w:p>
        </w:tc>
        <w:tc>
          <w:tcPr>
            <w:tcW w:w="120" w:type="pct"/>
          </w:tcPr>
          <w:p w14:paraId="477CBA23" w14:textId="77777777" w:rsidR="00E37775" w:rsidRPr="0002261F" w:rsidRDefault="00E37775" w:rsidP="00182002">
            <w:pPr>
              <w:spacing w:line="276" w:lineRule="auto"/>
              <w:rPr>
                <w:rFonts w:ascii="Times New Roman" w:hAnsi="Times New Roman"/>
                <w:i/>
                <w:szCs w:val="24"/>
              </w:rPr>
            </w:pPr>
          </w:p>
        </w:tc>
      </w:tr>
      <w:tr w:rsidR="00E37775" w:rsidRPr="0002261F" w14:paraId="4A08A432" w14:textId="77777777" w:rsidTr="00182002">
        <w:tc>
          <w:tcPr>
            <w:tcW w:w="473" w:type="pct"/>
          </w:tcPr>
          <w:p w14:paraId="1A3625CD"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3.2.</w:t>
            </w:r>
          </w:p>
        </w:tc>
        <w:tc>
          <w:tcPr>
            <w:tcW w:w="4407" w:type="pct"/>
          </w:tcPr>
          <w:p w14:paraId="2A54DBE7"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Eksplozija – momentāna (eksplozīva) vielas vai maisījuma ķīmiska pārvērtība, kas rada paaugstinātu spiedienu (triecienviļņi) vai pēkšņa ārdoša spiediena spēka izpausme, kad tvertnes (katla, cauruļvada utt.) sienas tiek sagrautas un spiediens izlīdzinās tvertnes iekšpusē un ārpusē.</w:t>
            </w:r>
          </w:p>
        </w:tc>
        <w:tc>
          <w:tcPr>
            <w:tcW w:w="120" w:type="pct"/>
          </w:tcPr>
          <w:p w14:paraId="1484E9C3" w14:textId="77777777" w:rsidR="00E37775" w:rsidRPr="0002261F" w:rsidRDefault="00E37775" w:rsidP="00182002">
            <w:pPr>
              <w:spacing w:line="276" w:lineRule="auto"/>
              <w:rPr>
                <w:rFonts w:ascii="Times New Roman" w:hAnsi="Times New Roman"/>
                <w:i/>
                <w:szCs w:val="24"/>
              </w:rPr>
            </w:pPr>
          </w:p>
        </w:tc>
      </w:tr>
      <w:tr w:rsidR="00E37775" w:rsidRPr="0002261F" w14:paraId="74BE89D0" w14:textId="77777777" w:rsidTr="00182002">
        <w:tc>
          <w:tcPr>
            <w:tcW w:w="473" w:type="pct"/>
          </w:tcPr>
          <w:p w14:paraId="48900182"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3.3.</w:t>
            </w:r>
          </w:p>
        </w:tc>
        <w:tc>
          <w:tcPr>
            <w:tcW w:w="4407" w:type="pct"/>
          </w:tcPr>
          <w:p w14:paraId="5796AEEB"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 xml:space="preserve">Zibens spēriens (t.sk., lodveida zibens) – tieša atmosfēras </w:t>
            </w:r>
            <w:proofErr w:type="spellStart"/>
            <w:r w:rsidRPr="0002261F">
              <w:rPr>
                <w:rFonts w:ascii="Times New Roman" w:hAnsi="Times New Roman"/>
                <w:szCs w:val="24"/>
                <w:lang w:eastAsia="zh-CN"/>
              </w:rPr>
              <w:t>pārsprieguma</w:t>
            </w:r>
            <w:proofErr w:type="spellEnd"/>
            <w:r w:rsidRPr="0002261F">
              <w:rPr>
                <w:rFonts w:ascii="Times New Roman" w:hAnsi="Times New Roman"/>
                <w:szCs w:val="24"/>
                <w:lang w:eastAsia="zh-CN"/>
              </w:rPr>
              <w:t xml:space="preserve"> iedarbība uz apdrošinātajiem priekšmetiem un elektroietaisēm.</w:t>
            </w:r>
          </w:p>
        </w:tc>
        <w:tc>
          <w:tcPr>
            <w:tcW w:w="120" w:type="pct"/>
          </w:tcPr>
          <w:p w14:paraId="4AC14D47" w14:textId="77777777" w:rsidR="00E37775" w:rsidRPr="0002261F" w:rsidRDefault="00E37775" w:rsidP="00182002">
            <w:pPr>
              <w:spacing w:line="276" w:lineRule="auto"/>
              <w:rPr>
                <w:rFonts w:ascii="Times New Roman" w:hAnsi="Times New Roman"/>
                <w:i/>
                <w:szCs w:val="24"/>
              </w:rPr>
            </w:pPr>
          </w:p>
        </w:tc>
      </w:tr>
      <w:tr w:rsidR="00E37775" w:rsidRPr="0002261F" w14:paraId="64328933" w14:textId="77777777" w:rsidTr="00182002">
        <w:tc>
          <w:tcPr>
            <w:tcW w:w="473" w:type="pct"/>
          </w:tcPr>
          <w:p w14:paraId="4CB9D56A"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3.4.</w:t>
            </w:r>
          </w:p>
        </w:tc>
        <w:tc>
          <w:tcPr>
            <w:tcW w:w="4407" w:type="pct"/>
          </w:tcPr>
          <w:p w14:paraId="103D303B"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Plūdi – lielākas vai mazākas teritorijas applūšana ar ūdeni, kas pārgājis pāri ūdenstilpņu vai baseinu robežām.</w:t>
            </w:r>
          </w:p>
        </w:tc>
        <w:tc>
          <w:tcPr>
            <w:tcW w:w="120" w:type="pct"/>
          </w:tcPr>
          <w:p w14:paraId="1670106B" w14:textId="77777777" w:rsidR="00E37775" w:rsidRPr="0002261F" w:rsidRDefault="00E37775" w:rsidP="00182002">
            <w:pPr>
              <w:spacing w:line="276" w:lineRule="auto"/>
              <w:rPr>
                <w:rFonts w:ascii="Times New Roman" w:hAnsi="Times New Roman"/>
                <w:i/>
                <w:szCs w:val="24"/>
              </w:rPr>
            </w:pPr>
          </w:p>
        </w:tc>
      </w:tr>
      <w:tr w:rsidR="00E37775" w:rsidRPr="0002261F" w14:paraId="3D4D73DD" w14:textId="77777777" w:rsidTr="00182002">
        <w:tc>
          <w:tcPr>
            <w:tcW w:w="473" w:type="pct"/>
          </w:tcPr>
          <w:p w14:paraId="01C64971"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3.5.</w:t>
            </w:r>
          </w:p>
        </w:tc>
        <w:tc>
          <w:tcPr>
            <w:tcW w:w="4407" w:type="pct"/>
          </w:tcPr>
          <w:p w14:paraId="2EFC1459"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Vēja nodarīti bojājumi.</w:t>
            </w:r>
          </w:p>
        </w:tc>
        <w:tc>
          <w:tcPr>
            <w:tcW w:w="120" w:type="pct"/>
          </w:tcPr>
          <w:p w14:paraId="17A558D4" w14:textId="77777777" w:rsidR="00E37775" w:rsidRPr="0002261F" w:rsidRDefault="00E37775" w:rsidP="00182002">
            <w:pPr>
              <w:spacing w:line="276" w:lineRule="auto"/>
              <w:rPr>
                <w:rFonts w:ascii="Times New Roman" w:hAnsi="Times New Roman"/>
                <w:i/>
                <w:szCs w:val="24"/>
              </w:rPr>
            </w:pPr>
          </w:p>
        </w:tc>
      </w:tr>
      <w:tr w:rsidR="00E37775" w:rsidRPr="0002261F" w14:paraId="1DD5B32C" w14:textId="77777777" w:rsidTr="00182002">
        <w:tc>
          <w:tcPr>
            <w:tcW w:w="473" w:type="pct"/>
          </w:tcPr>
          <w:p w14:paraId="5F62BDA0"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3.6</w:t>
            </w:r>
          </w:p>
        </w:tc>
        <w:tc>
          <w:tcPr>
            <w:tcW w:w="4407" w:type="pct"/>
          </w:tcPr>
          <w:p w14:paraId="6A1182E2"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Zemestrīce – zemes garozas svārstības Latvijas teritorijā.</w:t>
            </w:r>
          </w:p>
        </w:tc>
        <w:tc>
          <w:tcPr>
            <w:tcW w:w="120" w:type="pct"/>
          </w:tcPr>
          <w:p w14:paraId="3CD6F730" w14:textId="77777777" w:rsidR="00E37775" w:rsidRPr="0002261F" w:rsidRDefault="00E37775" w:rsidP="00182002">
            <w:pPr>
              <w:spacing w:line="276" w:lineRule="auto"/>
              <w:rPr>
                <w:rFonts w:ascii="Times New Roman" w:hAnsi="Times New Roman"/>
                <w:i/>
                <w:szCs w:val="24"/>
              </w:rPr>
            </w:pPr>
          </w:p>
        </w:tc>
      </w:tr>
      <w:tr w:rsidR="00E37775" w:rsidRPr="0002261F" w14:paraId="78CB3891" w14:textId="77777777" w:rsidTr="00182002">
        <w:tc>
          <w:tcPr>
            <w:tcW w:w="473" w:type="pct"/>
          </w:tcPr>
          <w:p w14:paraId="2A476472"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3.7.</w:t>
            </w:r>
          </w:p>
        </w:tc>
        <w:tc>
          <w:tcPr>
            <w:tcW w:w="4407" w:type="pct"/>
          </w:tcPr>
          <w:p w14:paraId="0FE52B81"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Krusa – dažādas formas, lieluma vai svara ledus gabaliņi, kas nokrīt uz apdrošināto objektu un tādējādi izraisa tā bojāeju vai bojājumu.</w:t>
            </w:r>
          </w:p>
        </w:tc>
        <w:tc>
          <w:tcPr>
            <w:tcW w:w="120" w:type="pct"/>
          </w:tcPr>
          <w:p w14:paraId="65C2AF48" w14:textId="77777777" w:rsidR="00E37775" w:rsidRPr="0002261F" w:rsidRDefault="00E37775" w:rsidP="00182002">
            <w:pPr>
              <w:spacing w:line="276" w:lineRule="auto"/>
              <w:rPr>
                <w:rFonts w:ascii="Times New Roman" w:hAnsi="Times New Roman"/>
                <w:i/>
                <w:szCs w:val="24"/>
              </w:rPr>
            </w:pPr>
          </w:p>
        </w:tc>
      </w:tr>
      <w:tr w:rsidR="00E37775" w:rsidRPr="0002261F" w14:paraId="4234E285" w14:textId="77777777" w:rsidTr="00182002">
        <w:tc>
          <w:tcPr>
            <w:tcW w:w="473" w:type="pct"/>
          </w:tcPr>
          <w:p w14:paraId="27460398"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3.8.</w:t>
            </w:r>
          </w:p>
        </w:tc>
        <w:tc>
          <w:tcPr>
            <w:tcW w:w="4407" w:type="pct"/>
          </w:tcPr>
          <w:p w14:paraId="4404ADDE"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Koku, mastu vai citu priekšmetu un vielu uzkrišana apdrošinātajiem objektiem, neatkarīgi no iemesla.</w:t>
            </w:r>
          </w:p>
        </w:tc>
        <w:tc>
          <w:tcPr>
            <w:tcW w:w="120" w:type="pct"/>
          </w:tcPr>
          <w:p w14:paraId="028EFAB7" w14:textId="77777777" w:rsidR="00E37775" w:rsidRPr="0002261F" w:rsidRDefault="00E37775" w:rsidP="00182002">
            <w:pPr>
              <w:spacing w:line="276" w:lineRule="auto"/>
              <w:rPr>
                <w:rFonts w:ascii="Times New Roman" w:hAnsi="Times New Roman"/>
                <w:i/>
                <w:szCs w:val="24"/>
              </w:rPr>
            </w:pPr>
          </w:p>
        </w:tc>
      </w:tr>
      <w:tr w:rsidR="00E37775" w:rsidRPr="0002261F" w14:paraId="150B3025" w14:textId="77777777" w:rsidTr="00182002">
        <w:tc>
          <w:tcPr>
            <w:tcW w:w="473" w:type="pct"/>
          </w:tcPr>
          <w:p w14:paraId="01E2F053"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3.9.</w:t>
            </w:r>
          </w:p>
        </w:tc>
        <w:tc>
          <w:tcPr>
            <w:tcW w:w="4407" w:type="pct"/>
          </w:tcPr>
          <w:p w14:paraId="7A2A48C3"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Gaisa kuģu, to daļu vai to pārvadājamās kravas uzkrišana apdrošinātajam objektam.</w:t>
            </w:r>
          </w:p>
        </w:tc>
        <w:tc>
          <w:tcPr>
            <w:tcW w:w="120" w:type="pct"/>
          </w:tcPr>
          <w:p w14:paraId="43364BEA" w14:textId="77777777" w:rsidR="00E37775" w:rsidRPr="0002261F" w:rsidRDefault="00E37775" w:rsidP="00182002">
            <w:pPr>
              <w:spacing w:line="276" w:lineRule="auto"/>
              <w:rPr>
                <w:rFonts w:ascii="Times New Roman" w:hAnsi="Times New Roman"/>
                <w:i/>
                <w:szCs w:val="24"/>
              </w:rPr>
            </w:pPr>
          </w:p>
        </w:tc>
      </w:tr>
      <w:tr w:rsidR="00E37775" w:rsidRPr="0002261F" w14:paraId="78AE72DA" w14:textId="77777777" w:rsidTr="00182002">
        <w:tc>
          <w:tcPr>
            <w:tcW w:w="473" w:type="pct"/>
          </w:tcPr>
          <w:p w14:paraId="6942B0A3"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3.10.</w:t>
            </w:r>
          </w:p>
        </w:tc>
        <w:tc>
          <w:tcPr>
            <w:tcW w:w="4407" w:type="pct"/>
            <w:shd w:val="clear" w:color="auto" w:fill="auto"/>
          </w:tcPr>
          <w:p w14:paraId="3E7F5C12"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Trešo personu prettiesiska rīcība – zādzība, zādzības mēģinājums, laupīšana, laupīšanas mēģinājums, vandālisms, stiklojuma bojāšana, ļaunprātīga dedzināšana, sprādziena izraisīšana, terorisms un citas trešo personu prettiesiskas rīcības, tīša/netīša īpašuma bojāšana vai iznīcināšana (saskaņā ar Latvijas Republikas krimināltiesību normām). Apdrošināšanas riska “Terorisms” apdrošināšanas atlīdzībai tiek noteikts limits 12 000 000 eiro.</w:t>
            </w:r>
          </w:p>
        </w:tc>
        <w:tc>
          <w:tcPr>
            <w:tcW w:w="120" w:type="pct"/>
          </w:tcPr>
          <w:p w14:paraId="36FBE5DF" w14:textId="77777777" w:rsidR="00E37775" w:rsidRPr="0002261F" w:rsidRDefault="00E37775" w:rsidP="00182002">
            <w:pPr>
              <w:spacing w:line="276" w:lineRule="auto"/>
              <w:rPr>
                <w:rFonts w:ascii="Times New Roman" w:hAnsi="Times New Roman"/>
                <w:i/>
                <w:szCs w:val="24"/>
              </w:rPr>
            </w:pPr>
          </w:p>
        </w:tc>
      </w:tr>
      <w:tr w:rsidR="00E37775" w:rsidRPr="0002261F" w14:paraId="603553F9" w14:textId="77777777" w:rsidTr="00182002">
        <w:tc>
          <w:tcPr>
            <w:tcW w:w="473" w:type="pct"/>
          </w:tcPr>
          <w:p w14:paraId="5779030A"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3.11.</w:t>
            </w:r>
          </w:p>
        </w:tc>
        <w:tc>
          <w:tcPr>
            <w:tcW w:w="4407" w:type="pct"/>
            <w:shd w:val="clear" w:color="auto" w:fill="auto"/>
          </w:tcPr>
          <w:p w14:paraId="58767B8F"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 xml:space="preserve">Apdrošināšanas līguma ietvaros netiek atlīdzināti apdrošināto objektu iekšēju elektrisku vai mehānisku bojājumu, kļūmju, atteices vai salūšanas, </w:t>
            </w:r>
            <w:proofErr w:type="spellStart"/>
            <w:r w:rsidRPr="0002261F">
              <w:rPr>
                <w:rFonts w:ascii="Times New Roman" w:hAnsi="Times New Roman"/>
                <w:szCs w:val="24"/>
                <w:lang w:eastAsia="zh-CN"/>
              </w:rPr>
              <w:t>pārsprieguma</w:t>
            </w:r>
            <w:proofErr w:type="spellEnd"/>
            <w:r w:rsidRPr="0002261F">
              <w:rPr>
                <w:rFonts w:ascii="Times New Roman" w:hAnsi="Times New Roman"/>
                <w:szCs w:val="24"/>
                <w:lang w:eastAsia="zh-CN"/>
              </w:rPr>
              <w:t xml:space="preserve">, </w:t>
            </w:r>
            <w:r w:rsidRPr="0002261F">
              <w:rPr>
                <w:rFonts w:ascii="Times New Roman" w:hAnsi="Times New Roman"/>
                <w:szCs w:val="24"/>
                <w:lang w:eastAsia="zh-CN"/>
              </w:rPr>
              <w:lastRenderedPageBreak/>
              <w:t xml:space="preserve">īssavienojuma vai pārkaršanas dēļ apdrošināšanas objekta dzinējā, mehānismos vai elektroietaisēs, novēršanas izdevumi. </w:t>
            </w:r>
          </w:p>
          <w:p w14:paraId="546F107D"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Tomēr, ja augšminēto apstākļu iedarbības rezultātā notiek apdrošināšanas objekta aizdegšanās, kuras rezultātā apdrošinātajam objektiem tiek nodarīti bojājumi, šādu bojājumu novēršanas izdevumi vai zaudējumi saistībā ar apdrošināšanas objekta bojāeju tiek atlīdzināti.</w:t>
            </w:r>
          </w:p>
        </w:tc>
        <w:tc>
          <w:tcPr>
            <w:tcW w:w="120" w:type="pct"/>
          </w:tcPr>
          <w:p w14:paraId="43D868B2" w14:textId="77777777" w:rsidR="00E37775" w:rsidRPr="0002261F" w:rsidRDefault="00E37775" w:rsidP="00182002">
            <w:pPr>
              <w:spacing w:line="276" w:lineRule="auto"/>
              <w:rPr>
                <w:rFonts w:ascii="Times New Roman" w:hAnsi="Times New Roman"/>
                <w:i/>
                <w:szCs w:val="24"/>
              </w:rPr>
            </w:pPr>
          </w:p>
        </w:tc>
      </w:tr>
      <w:tr w:rsidR="00E37775" w:rsidRPr="0002261F" w14:paraId="2AF276B2" w14:textId="77777777" w:rsidTr="00182002">
        <w:tc>
          <w:tcPr>
            <w:tcW w:w="473" w:type="pct"/>
          </w:tcPr>
          <w:p w14:paraId="78E35317" w14:textId="77777777" w:rsidR="00E37775" w:rsidRPr="0002261F" w:rsidRDefault="00E37775" w:rsidP="00182002">
            <w:pPr>
              <w:spacing w:line="276" w:lineRule="auto"/>
              <w:jc w:val="center"/>
              <w:rPr>
                <w:rFonts w:ascii="Times New Roman" w:hAnsi="Times New Roman"/>
                <w:b/>
                <w:szCs w:val="24"/>
              </w:rPr>
            </w:pPr>
            <w:r w:rsidRPr="0002261F">
              <w:rPr>
                <w:rFonts w:ascii="Times New Roman" w:hAnsi="Times New Roman"/>
                <w:b/>
                <w:szCs w:val="24"/>
              </w:rPr>
              <w:t>4.</w:t>
            </w:r>
          </w:p>
        </w:tc>
        <w:tc>
          <w:tcPr>
            <w:tcW w:w="4407" w:type="pct"/>
            <w:shd w:val="clear" w:color="auto" w:fill="auto"/>
          </w:tcPr>
          <w:p w14:paraId="43F79F2D" w14:textId="77777777" w:rsidR="00E37775" w:rsidRPr="0002261F" w:rsidRDefault="00E37775" w:rsidP="00182002">
            <w:pPr>
              <w:widowControl w:val="0"/>
              <w:tabs>
                <w:tab w:val="num" w:pos="993"/>
              </w:tabs>
              <w:adjustRightInd w:val="0"/>
              <w:spacing w:line="276" w:lineRule="auto"/>
              <w:jc w:val="both"/>
              <w:textAlignment w:val="baseline"/>
              <w:rPr>
                <w:rFonts w:ascii="Times New Roman" w:hAnsi="Times New Roman"/>
                <w:b/>
                <w:szCs w:val="24"/>
              </w:rPr>
            </w:pPr>
            <w:r w:rsidRPr="0002261F">
              <w:rPr>
                <w:rFonts w:ascii="Times New Roman" w:hAnsi="Times New Roman"/>
                <w:b/>
                <w:szCs w:val="24"/>
              </w:rPr>
              <w:t>Pašrisks katram apdrošināšanas gadījumam:</w:t>
            </w:r>
          </w:p>
        </w:tc>
        <w:tc>
          <w:tcPr>
            <w:tcW w:w="120" w:type="pct"/>
          </w:tcPr>
          <w:p w14:paraId="0DA26B13" w14:textId="77777777" w:rsidR="00E37775" w:rsidRPr="0002261F" w:rsidRDefault="00E37775" w:rsidP="00182002">
            <w:pPr>
              <w:spacing w:line="276" w:lineRule="auto"/>
              <w:rPr>
                <w:rFonts w:ascii="Times New Roman" w:hAnsi="Times New Roman"/>
                <w:i/>
                <w:szCs w:val="24"/>
              </w:rPr>
            </w:pPr>
          </w:p>
        </w:tc>
      </w:tr>
      <w:tr w:rsidR="00E37775" w:rsidRPr="0002261F" w14:paraId="56F1089B" w14:textId="77777777" w:rsidTr="00182002">
        <w:tc>
          <w:tcPr>
            <w:tcW w:w="473" w:type="pct"/>
          </w:tcPr>
          <w:p w14:paraId="32C04662"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4.1.</w:t>
            </w:r>
          </w:p>
        </w:tc>
        <w:tc>
          <w:tcPr>
            <w:tcW w:w="4407" w:type="pct"/>
            <w:shd w:val="clear" w:color="auto" w:fill="auto"/>
          </w:tcPr>
          <w:p w14:paraId="1558EE87"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500 eiro;</w:t>
            </w:r>
          </w:p>
        </w:tc>
        <w:tc>
          <w:tcPr>
            <w:tcW w:w="120" w:type="pct"/>
          </w:tcPr>
          <w:p w14:paraId="0FC36B1E" w14:textId="77777777" w:rsidR="00E37775" w:rsidRPr="0002261F" w:rsidRDefault="00E37775" w:rsidP="00182002">
            <w:pPr>
              <w:spacing w:line="276" w:lineRule="auto"/>
              <w:rPr>
                <w:rFonts w:ascii="Times New Roman" w:hAnsi="Times New Roman"/>
                <w:i/>
                <w:szCs w:val="24"/>
              </w:rPr>
            </w:pPr>
          </w:p>
        </w:tc>
      </w:tr>
      <w:tr w:rsidR="00E37775" w:rsidRPr="0002261F" w14:paraId="6D9EAFE6" w14:textId="77777777" w:rsidTr="00182002">
        <w:tc>
          <w:tcPr>
            <w:tcW w:w="473" w:type="pct"/>
          </w:tcPr>
          <w:p w14:paraId="77E410AD"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4.2.</w:t>
            </w:r>
          </w:p>
        </w:tc>
        <w:tc>
          <w:tcPr>
            <w:tcW w:w="4407" w:type="pct"/>
            <w:shd w:val="clear" w:color="auto" w:fill="auto"/>
          </w:tcPr>
          <w:p w14:paraId="0360AC0C"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ja viena apdrošināšanas riska iedarbības rezultātā (piemēram, vētra) tiek bojāti vairāki apdrošinātie objekti, tad tiek piemērots viens polisē norādītais pašrisks.</w:t>
            </w:r>
          </w:p>
        </w:tc>
        <w:tc>
          <w:tcPr>
            <w:tcW w:w="120" w:type="pct"/>
          </w:tcPr>
          <w:p w14:paraId="2EB4EAC1" w14:textId="77777777" w:rsidR="00E37775" w:rsidRPr="0002261F" w:rsidRDefault="00E37775" w:rsidP="00182002">
            <w:pPr>
              <w:spacing w:line="276" w:lineRule="auto"/>
              <w:rPr>
                <w:rFonts w:ascii="Times New Roman" w:hAnsi="Times New Roman"/>
                <w:i/>
                <w:szCs w:val="24"/>
              </w:rPr>
            </w:pPr>
          </w:p>
        </w:tc>
      </w:tr>
      <w:tr w:rsidR="00E37775" w:rsidRPr="0002261F" w14:paraId="7883F536" w14:textId="77777777" w:rsidTr="00182002">
        <w:tc>
          <w:tcPr>
            <w:tcW w:w="473" w:type="pct"/>
          </w:tcPr>
          <w:p w14:paraId="7BCEF6D3" w14:textId="77777777" w:rsidR="00E37775" w:rsidRPr="0002261F" w:rsidRDefault="00E37775" w:rsidP="00182002">
            <w:pPr>
              <w:spacing w:line="276" w:lineRule="auto"/>
              <w:jc w:val="center"/>
              <w:rPr>
                <w:rFonts w:ascii="Times New Roman" w:hAnsi="Times New Roman"/>
                <w:b/>
                <w:szCs w:val="24"/>
              </w:rPr>
            </w:pPr>
            <w:r w:rsidRPr="0002261F">
              <w:rPr>
                <w:rFonts w:ascii="Times New Roman" w:hAnsi="Times New Roman"/>
                <w:b/>
                <w:szCs w:val="24"/>
              </w:rPr>
              <w:t>5.</w:t>
            </w:r>
          </w:p>
        </w:tc>
        <w:tc>
          <w:tcPr>
            <w:tcW w:w="4407" w:type="pct"/>
            <w:shd w:val="clear" w:color="auto" w:fill="auto"/>
          </w:tcPr>
          <w:p w14:paraId="4DDFE8A0" w14:textId="77777777" w:rsidR="00E37775" w:rsidRPr="0002261F" w:rsidRDefault="00E37775" w:rsidP="00182002">
            <w:pPr>
              <w:widowControl w:val="0"/>
              <w:tabs>
                <w:tab w:val="num" w:pos="993"/>
              </w:tabs>
              <w:adjustRightInd w:val="0"/>
              <w:spacing w:line="276" w:lineRule="auto"/>
              <w:textAlignment w:val="baseline"/>
              <w:rPr>
                <w:rFonts w:ascii="Times New Roman" w:hAnsi="Times New Roman"/>
                <w:b/>
                <w:szCs w:val="24"/>
              </w:rPr>
            </w:pPr>
            <w:r w:rsidRPr="0002261F">
              <w:rPr>
                <w:rFonts w:ascii="Times New Roman" w:hAnsi="Times New Roman"/>
                <w:b/>
                <w:szCs w:val="24"/>
              </w:rPr>
              <w:t>Apdrošināšanas atlīdzības aprēķināšanas principi un metodika:</w:t>
            </w:r>
          </w:p>
        </w:tc>
        <w:tc>
          <w:tcPr>
            <w:tcW w:w="120" w:type="pct"/>
          </w:tcPr>
          <w:p w14:paraId="21EC123A" w14:textId="77777777" w:rsidR="00E37775" w:rsidRPr="0002261F" w:rsidRDefault="00E37775" w:rsidP="00182002">
            <w:pPr>
              <w:spacing w:line="276" w:lineRule="auto"/>
              <w:rPr>
                <w:rFonts w:ascii="Times New Roman" w:hAnsi="Times New Roman"/>
                <w:i/>
                <w:szCs w:val="24"/>
              </w:rPr>
            </w:pPr>
          </w:p>
        </w:tc>
      </w:tr>
      <w:tr w:rsidR="00E37775" w:rsidRPr="0002261F" w14:paraId="0CB88C9A" w14:textId="77777777" w:rsidTr="00182002">
        <w:tc>
          <w:tcPr>
            <w:tcW w:w="473" w:type="pct"/>
          </w:tcPr>
          <w:p w14:paraId="79631705"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5.1.</w:t>
            </w:r>
          </w:p>
        </w:tc>
        <w:tc>
          <w:tcPr>
            <w:tcW w:w="4407" w:type="pct"/>
          </w:tcPr>
          <w:p w14:paraId="69770523"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 xml:space="preserve">Bojājumu gadījumā remonta izdevumi (bez PVN) atbilstoši Pasūtītāja sastādītajai tāmei, kas nepieciešami, lai apdrošināšanas objektu atjaunotu tādā stāvoklī, kādā tā bija pirms apdrošināšanas gadījuma, neņemot vērā </w:t>
            </w:r>
            <w:proofErr w:type="spellStart"/>
            <w:r w:rsidRPr="0002261F">
              <w:rPr>
                <w:rFonts w:ascii="Times New Roman" w:hAnsi="Times New Roman"/>
                <w:szCs w:val="24"/>
                <w:lang w:eastAsia="zh-CN"/>
              </w:rPr>
              <w:t>zemapdrošināšanu</w:t>
            </w:r>
            <w:proofErr w:type="spellEnd"/>
            <w:r w:rsidRPr="0002261F">
              <w:rPr>
                <w:rFonts w:ascii="Times New Roman" w:hAnsi="Times New Roman"/>
                <w:szCs w:val="24"/>
                <w:lang w:eastAsia="zh-CN"/>
              </w:rPr>
              <w:t xml:space="preserve"> un tehnisko nolietojumu. Remonts tiek veikts ar jaunām transportlīdzekļa ražotāja rezerves daļām, neatkarīgi no transporta līdzekļa vecuma. </w:t>
            </w:r>
          </w:p>
        </w:tc>
        <w:tc>
          <w:tcPr>
            <w:tcW w:w="120" w:type="pct"/>
          </w:tcPr>
          <w:p w14:paraId="160D0654" w14:textId="77777777" w:rsidR="00E37775" w:rsidRPr="0002261F" w:rsidRDefault="00E37775" w:rsidP="00182002">
            <w:pPr>
              <w:spacing w:line="276" w:lineRule="auto"/>
              <w:rPr>
                <w:rFonts w:ascii="Times New Roman" w:hAnsi="Times New Roman"/>
                <w:i/>
                <w:szCs w:val="24"/>
              </w:rPr>
            </w:pPr>
          </w:p>
        </w:tc>
      </w:tr>
      <w:tr w:rsidR="00E37775" w:rsidRPr="0002261F" w14:paraId="28BCD19E" w14:textId="77777777" w:rsidTr="00182002">
        <w:tc>
          <w:tcPr>
            <w:tcW w:w="473" w:type="pct"/>
          </w:tcPr>
          <w:p w14:paraId="1EF69962"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5.2.</w:t>
            </w:r>
          </w:p>
        </w:tc>
        <w:tc>
          <w:tcPr>
            <w:tcW w:w="4407" w:type="pct"/>
          </w:tcPr>
          <w:p w14:paraId="7567093C" w14:textId="77777777" w:rsidR="00E37775" w:rsidRPr="0002261F" w:rsidRDefault="00E37775" w:rsidP="00182002">
            <w:pPr>
              <w:suppressAutoHyphens/>
              <w:autoSpaceDE w:val="0"/>
              <w:spacing w:line="276" w:lineRule="auto"/>
              <w:jc w:val="both"/>
              <w:rPr>
                <w:rFonts w:ascii="Times New Roman" w:hAnsi="Times New Roman"/>
                <w:szCs w:val="24"/>
                <w:lang w:eastAsia="zh-CN"/>
              </w:rPr>
            </w:pPr>
            <w:proofErr w:type="spellStart"/>
            <w:r w:rsidRPr="0002261F">
              <w:rPr>
                <w:rFonts w:ascii="Times New Roman" w:hAnsi="Times New Roman"/>
                <w:szCs w:val="24"/>
                <w:lang w:eastAsia="zh-CN"/>
              </w:rPr>
              <w:t>Jaunvērtības</w:t>
            </w:r>
            <w:proofErr w:type="spellEnd"/>
            <w:r w:rsidRPr="0002261F">
              <w:rPr>
                <w:rFonts w:ascii="Times New Roman" w:hAnsi="Times New Roman"/>
                <w:szCs w:val="24"/>
                <w:lang w:eastAsia="zh-CN"/>
              </w:rPr>
              <w:t xml:space="preserve"> apdrošināšana Pasūtītāja bilancē pirmo reizi reģistrētiem jauniem transportlīdzekļiem 5 gadu periodā kopš transportlīdzekļa pirmās reģistrācijas. Aprēķinot apdrošināšanas atlīdzību bojāejas vai zādzības gadījumā netiek piemērots nolietojums, un apdrošināšanas atlīdzība tiek izmaksāta </w:t>
            </w:r>
            <w:proofErr w:type="spellStart"/>
            <w:r w:rsidRPr="0002261F">
              <w:rPr>
                <w:rFonts w:ascii="Times New Roman" w:hAnsi="Times New Roman"/>
                <w:szCs w:val="24"/>
                <w:lang w:eastAsia="zh-CN"/>
              </w:rPr>
              <w:t>jauniegādes</w:t>
            </w:r>
            <w:proofErr w:type="spellEnd"/>
            <w:r w:rsidRPr="0002261F">
              <w:rPr>
                <w:rFonts w:ascii="Times New Roman" w:hAnsi="Times New Roman"/>
                <w:szCs w:val="24"/>
                <w:lang w:eastAsia="zh-CN"/>
              </w:rPr>
              <w:t xml:space="preserve"> vērtībā.</w:t>
            </w:r>
          </w:p>
        </w:tc>
        <w:tc>
          <w:tcPr>
            <w:tcW w:w="120" w:type="pct"/>
          </w:tcPr>
          <w:p w14:paraId="0CDA2B53" w14:textId="77777777" w:rsidR="00E37775" w:rsidRPr="0002261F" w:rsidRDefault="00E37775" w:rsidP="00182002">
            <w:pPr>
              <w:spacing w:line="276" w:lineRule="auto"/>
              <w:rPr>
                <w:rFonts w:ascii="Times New Roman" w:hAnsi="Times New Roman"/>
                <w:i/>
                <w:szCs w:val="24"/>
              </w:rPr>
            </w:pPr>
          </w:p>
        </w:tc>
      </w:tr>
      <w:tr w:rsidR="00E37775" w:rsidRPr="0002261F" w14:paraId="3F091CCF" w14:textId="77777777" w:rsidTr="00182002">
        <w:tc>
          <w:tcPr>
            <w:tcW w:w="473" w:type="pct"/>
          </w:tcPr>
          <w:p w14:paraId="6EC2524B"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5.3.</w:t>
            </w:r>
          </w:p>
        </w:tc>
        <w:tc>
          <w:tcPr>
            <w:tcW w:w="4407" w:type="pct"/>
          </w:tcPr>
          <w:p w14:paraId="2FDBF46B"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Izmaksājot apdrošināšanas atlīdzību attiecībā uz transportlīdzekļiem virs 5 gadu vecuma, apdrošināšanas atlīdzība transportlīdzekļa bojāejas vai zādzības gadījumā tiek aprēķināta, no polisē norādītās apdrošināšanas summas atņemot nolietojumu 1% apmērā mēnesī.</w:t>
            </w:r>
          </w:p>
        </w:tc>
        <w:tc>
          <w:tcPr>
            <w:tcW w:w="120" w:type="pct"/>
          </w:tcPr>
          <w:p w14:paraId="243C7960" w14:textId="77777777" w:rsidR="00E37775" w:rsidRPr="0002261F" w:rsidRDefault="00E37775" w:rsidP="00182002">
            <w:pPr>
              <w:spacing w:line="276" w:lineRule="auto"/>
              <w:rPr>
                <w:rFonts w:ascii="Times New Roman" w:hAnsi="Times New Roman"/>
                <w:i/>
                <w:szCs w:val="24"/>
              </w:rPr>
            </w:pPr>
          </w:p>
        </w:tc>
      </w:tr>
      <w:tr w:rsidR="00E37775" w:rsidRPr="0002261F" w14:paraId="4AEBCE26" w14:textId="77777777" w:rsidTr="00182002">
        <w:tc>
          <w:tcPr>
            <w:tcW w:w="473" w:type="pct"/>
          </w:tcPr>
          <w:p w14:paraId="5BA30F3C" w14:textId="77777777" w:rsidR="00E37775" w:rsidRPr="0002261F" w:rsidRDefault="00E37775" w:rsidP="00182002">
            <w:pPr>
              <w:spacing w:line="276" w:lineRule="auto"/>
              <w:jc w:val="center"/>
              <w:rPr>
                <w:rFonts w:ascii="Times New Roman" w:hAnsi="Times New Roman"/>
                <w:b/>
                <w:szCs w:val="24"/>
              </w:rPr>
            </w:pPr>
            <w:r w:rsidRPr="0002261F">
              <w:rPr>
                <w:rFonts w:ascii="Times New Roman" w:hAnsi="Times New Roman"/>
                <w:b/>
                <w:szCs w:val="24"/>
              </w:rPr>
              <w:t>6.</w:t>
            </w:r>
          </w:p>
        </w:tc>
        <w:tc>
          <w:tcPr>
            <w:tcW w:w="4407" w:type="pct"/>
          </w:tcPr>
          <w:p w14:paraId="198C4911" w14:textId="4802F37D"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b/>
                <w:szCs w:val="24"/>
                <w:lang w:eastAsia="zh-CN"/>
              </w:rPr>
              <w:t xml:space="preserve">Apdrošināšanas objektu saraksta papildināšana </w:t>
            </w:r>
            <w:r w:rsidRPr="0002261F">
              <w:rPr>
                <w:rFonts w:ascii="Times New Roman" w:hAnsi="Times New Roman"/>
                <w:szCs w:val="24"/>
                <w:lang w:eastAsia="zh-CN"/>
              </w:rPr>
              <w:t>– apdrošināšanas līguma laikā pēc Pieprasījuma tiks nodrošināta arī citu, 1.2.</w:t>
            </w:r>
            <w:r w:rsidR="00FE2321">
              <w:rPr>
                <w:rFonts w:ascii="Times New Roman" w:hAnsi="Times New Roman"/>
                <w:szCs w:val="24"/>
                <w:lang w:eastAsia="zh-CN"/>
              </w:rPr>
              <w:t> </w:t>
            </w:r>
            <w:r w:rsidRPr="0002261F">
              <w:rPr>
                <w:rFonts w:ascii="Times New Roman" w:hAnsi="Times New Roman"/>
                <w:szCs w:val="24"/>
                <w:lang w:eastAsia="zh-CN"/>
              </w:rPr>
              <w:t xml:space="preserve">punktā nenosaukto,  </w:t>
            </w:r>
            <w:proofErr w:type="spellStart"/>
            <w:r w:rsidRPr="0002261F">
              <w:rPr>
                <w:rFonts w:ascii="Times New Roman" w:hAnsi="Times New Roman"/>
                <w:szCs w:val="24"/>
                <w:lang w:eastAsia="zh-CN"/>
              </w:rPr>
              <w:t>jauniegādātu</w:t>
            </w:r>
            <w:proofErr w:type="spellEnd"/>
            <w:r w:rsidRPr="0002261F">
              <w:rPr>
                <w:rFonts w:ascii="Times New Roman" w:hAnsi="Times New Roman"/>
                <w:szCs w:val="24"/>
                <w:lang w:eastAsia="zh-CN"/>
              </w:rPr>
              <w:t xml:space="preserve"> transporta līdzekļu apdrošināšana.</w:t>
            </w:r>
          </w:p>
        </w:tc>
        <w:tc>
          <w:tcPr>
            <w:tcW w:w="120" w:type="pct"/>
          </w:tcPr>
          <w:p w14:paraId="35DBC39A" w14:textId="77777777" w:rsidR="00E37775" w:rsidRPr="0002261F" w:rsidRDefault="00E37775" w:rsidP="00182002">
            <w:pPr>
              <w:spacing w:line="276" w:lineRule="auto"/>
              <w:rPr>
                <w:rFonts w:ascii="Times New Roman" w:hAnsi="Times New Roman"/>
                <w:i/>
                <w:szCs w:val="24"/>
              </w:rPr>
            </w:pPr>
          </w:p>
        </w:tc>
      </w:tr>
      <w:tr w:rsidR="00E37775" w:rsidRPr="0002261F" w14:paraId="3925FEEC" w14:textId="77777777" w:rsidTr="00182002">
        <w:tc>
          <w:tcPr>
            <w:tcW w:w="473" w:type="pct"/>
          </w:tcPr>
          <w:p w14:paraId="53507486"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6.1.</w:t>
            </w:r>
          </w:p>
        </w:tc>
        <w:tc>
          <w:tcPr>
            <w:tcW w:w="4407" w:type="pct"/>
          </w:tcPr>
          <w:p w14:paraId="50932806" w14:textId="24CDF66E"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 xml:space="preserve">Apdrošināšanas prēmija par </w:t>
            </w:r>
            <w:proofErr w:type="spellStart"/>
            <w:r w:rsidRPr="0002261F">
              <w:rPr>
                <w:rFonts w:ascii="Times New Roman" w:hAnsi="Times New Roman"/>
                <w:szCs w:val="24"/>
                <w:lang w:eastAsia="zh-CN"/>
              </w:rPr>
              <w:t>jauniegādāto</w:t>
            </w:r>
            <w:proofErr w:type="spellEnd"/>
            <w:r w:rsidRPr="0002261F">
              <w:rPr>
                <w:rFonts w:ascii="Times New Roman" w:hAnsi="Times New Roman"/>
                <w:szCs w:val="24"/>
                <w:lang w:eastAsia="zh-CN"/>
              </w:rPr>
              <w:t xml:space="preserve"> transporta līdzekļu apdrošināšana tiek noteikta, piemērojot finanšu piedāvājumā norādīto 1.2.</w:t>
            </w:r>
            <w:r w:rsidR="00FE2321">
              <w:rPr>
                <w:rFonts w:ascii="Times New Roman" w:hAnsi="Times New Roman"/>
                <w:szCs w:val="24"/>
                <w:lang w:eastAsia="zh-CN"/>
              </w:rPr>
              <w:t> </w:t>
            </w:r>
            <w:r w:rsidRPr="0002261F">
              <w:rPr>
                <w:rFonts w:ascii="Times New Roman" w:hAnsi="Times New Roman"/>
                <w:szCs w:val="24"/>
                <w:lang w:eastAsia="zh-CN"/>
              </w:rPr>
              <w:t>punktā nosaukto apdrošināšanas objektu prēmijas likmi tieši proporcionāli (pēc dienu skaita) periodam, kas atlicis līdz polises apdrošināšanas termiņa beigām.</w:t>
            </w:r>
          </w:p>
        </w:tc>
        <w:tc>
          <w:tcPr>
            <w:tcW w:w="120" w:type="pct"/>
          </w:tcPr>
          <w:p w14:paraId="387344DF" w14:textId="77777777" w:rsidR="00E37775" w:rsidRPr="0002261F" w:rsidRDefault="00E37775" w:rsidP="00182002">
            <w:pPr>
              <w:spacing w:line="276" w:lineRule="auto"/>
              <w:rPr>
                <w:rFonts w:ascii="Times New Roman" w:hAnsi="Times New Roman"/>
                <w:i/>
                <w:szCs w:val="24"/>
              </w:rPr>
            </w:pPr>
          </w:p>
        </w:tc>
      </w:tr>
      <w:tr w:rsidR="00E37775" w:rsidRPr="0002261F" w14:paraId="20986A91" w14:textId="77777777" w:rsidTr="00182002">
        <w:tc>
          <w:tcPr>
            <w:tcW w:w="473" w:type="pct"/>
          </w:tcPr>
          <w:p w14:paraId="01B16A65"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7.</w:t>
            </w:r>
          </w:p>
        </w:tc>
        <w:tc>
          <w:tcPr>
            <w:tcW w:w="4407" w:type="pct"/>
          </w:tcPr>
          <w:p w14:paraId="0E4B632F"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Apdrošināšanas segums tiks nodrošināts, neizvirzot papildus prasības attiecībā uz apdrošināšanas objektu atrašanās vietu (laikā, kad tie nepiedalās ceļu satiksmē) ugunsdrošību un apsardzi, pastāvot nosacījumam, ka Pasūtītājs ievēro normatīvajos aktos noteiktās drošības prasības un apdrošināšanas līguma termiņa laikā saglabā apdrošināšanas līguma noslēgšanas brīdī esošo drošības pasākumu līmeni, kā arī ievēro un izpilda VUGD saistošajos dokumentos norādītās prasības.</w:t>
            </w:r>
          </w:p>
        </w:tc>
        <w:tc>
          <w:tcPr>
            <w:tcW w:w="120" w:type="pct"/>
          </w:tcPr>
          <w:p w14:paraId="7D28C848" w14:textId="77777777" w:rsidR="00E37775" w:rsidRPr="0002261F" w:rsidRDefault="00E37775" w:rsidP="00182002">
            <w:pPr>
              <w:spacing w:line="276" w:lineRule="auto"/>
              <w:rPr>
                <w:rFonts w:ascii="Times New Roman" w:hAnsi="Times New Roman"/>
                <w:i/>
                <w:szCs w:val="24"/>
              </w:rPr>
            </w:pPr>
          </w:p>
        </w:tc>
      </w:tr>
      <w:tr w:rsidR="00E37775" w:rsidRPr="0002261F" w14:paraId="7E4181A2" w14:textId="77777777" w:rsidTr="00182002">
        <w:tc>
          <w:tcPr>
            <w:tcW w:w="473" w:type="pct"/>
          </w:tcPr>
          <w:p w14:paraId="123D129F"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8.</w:t>
            </w:r>
          </w:p>
        </w:tc>
        <w:tc>
          <w:tcPr>
            <w:tcW w:w="4407" w:type="pct"/>
          </w:tcPr>
          <w:p w14:paraId="4C001E59"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3.10. punkta ietvaros tiek segti arī darbinieku (izņemot Pasūtītājs valdes locekļu) nodarīti zaudējumi, tai skaitā, to rupjas neuzmanības un tīšas rīcības rezultātā. Pretendents nav tiesīgs atlikt lēmumu par apdrošināšanas atlīdzības izmaksu līdz tiesvedības pabeigšanai, ja vien nav ierosināta administratīvā vai krimināllieta pret Pasūtītāja valdes locekļiem.</w:t>
            </w:r>
          </w:p>
        </w:tc>
        <w:tc>
          <w:tcPr>
            <w:tcW w:w="120" w:type="pct"/>
          </w:tcPr>
          <w:p w14:paraId="3B992C33" w14:textId="77777777" w:rsidR="00E37775" w:rsidRPr="0002261F" w:rsidRDefault="00E37775" w:rsidP="00182002">
            <w:pPr>
              <w:spacing w:line="276" w:lineRule="auto"/>
              <w:rPr>
                <w:rFonts w:ascii="Times New Roman" w:hAnsi="Times New Roman"/>
                <w:i/>
                <w:szCs w:val="24"/>
              </w:rPr>
            </w:pPr>
          </w:p>
        </w:tc>
      </w:tr>
      <w:tr w:rsidR="00E37775" w:rsidRPr="0002261F" w14:paraId="47FD0C20" w14:textId="77777777" w:rsidTr="00182002">
        <w:tc>
          <w:tcPr>
            <w:tcW w:w="473" w:type="pct"/>
          </w:tcPr>
          <w:p w14:paraId="32170D47"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9.</w:t>
            </w:r>
          </w:p>
        </w:tc>
        <w:tc>
          <w:tcPr>
            <w:tcW w:w="4407" w:type="pct"/>
          </w:tcPr>
          <w:p w14:paraId="39652626"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 xml:space="preserve">3.10. punkta ietvaros tiek segti arī pasažieru un jebkuru citu personu, kas nav Pasūtītāja darbinieki un kurām tiek piešķirtas apdrošināto objektu lietošanas </w:t>
            </w:r>
            <w:r w:rsidRPr="0002261F">
              <w:rPr>
                <w:rFonts w:ascii="Times New Roman" w:hAnsi="Times New Roman"/>
                <w:szCs w:val="24"/>
                <w:lang w:eastAsia="zh-CN"/>
              </w:rPr>
              <w:lastRenderedPageBreak/>
              <w:t>tiesības, nodarīti zaudējumi, tai skaitā, to rupjas neuzmanības un tīšas rīcības rezultātā.</w:t>
            </w:r>
          </w:p>
        </w:tc>
        <w:tc>
          <w:tcPr>
            <w:tcW w:w="120" w:type="pct"/>
          </w:tcPr>
          <w:p w14:paraId="787552F9" w14:textId="77777777" w:rsidR="00E37775" w:rsidRPr="0002261F" w:rsidRDefault="00E37775" w:rsidP="00182002">
            <w:pPr>
              <w:spacing w:line="276" w:lineRule="auto"/>
              <w:rPr>
                <w:rFonts w:ascii="Times New Roman" w:hAnsi="Times New Roman"/>
                <w:i/>
                <w:szCs w:val="24"/>
              </w:rPr>
            </w:pPr>
          </w:p>
        </w:tc>
      </w:tr>
      <w:tr w:rsidR="00E37775" w:rsidRPr="0002261F" w14:paraId="3ABA2C4A" w14:textId="77777777" w:rsidTr="00182002">
        <w:tc>
          <w:tcPr>
            <w:tcW w:w="473" w:type="pct"/>
          </w:tcPr>
          <w:p w14:paraId="51C6F03B"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10.</w:t>
            </w:r>
          </w:p>
        </w:tc>
        <w:tc>
          <w:tcPr>
            <w:tcW w:w="4407" w:type="pct"/>
          </w:tcPr>
          <w:p w14:paraId="57FAE1A5"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Apdrošināšanas gadījuma pieteikšanas minimālais termiņš – 5 (piecas) darba dienas no apdrošināšanas gadījuma konstatēšanas brīža.</w:t>
            </w:r>
          </w:p>
        </w:tc>
        <w:tc>
          <w:tcPr>
            <w:tcW w:w="120" w:type="pct"/>
          </w:tcPr>
          <w:p w14:paraId="4EAF6B74" w14:textId="77777777" w:rsidR="00E37775" w:rsidRPr="0002261F" w:rsidRDefault="00E37775" w:rsidP="00182002">
            <w:pPr>
              <w:spacing w:line="276" w:lineRule="auto"/>
              <w:rPr>
                <w:rFonts w:ascii="Times New Roman" w:hAnsi="Times New Roman"/>
                <w:i/>
                <w:szCs w:val="24"/>
              </w:rPr>
            </w:pPr>
          </w:p>
        </w:tc>
      </w:tr>
      <w:tr w:rsidR="00E37775" w:rsidRPr="0002261F" w14:paraId="5321A8DA" w14:textId="77777777" w:rsidTr="00182002">
        <w:tc>
          <w:tcPr>
            <w:tcW w:w="473" w:type="pct"/>
          </w:tcPr>
          <w:p w14:paraId="1341E2FC"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11.</w:t>
            </w:r>
          </w:p>
        </w:tc>
        <w:tc>
          <w:tcPr>
            <w:tcW w:w="4407" w:type="pct"/>
          </w:tcPr>
          <w:p w14:paraId="61AD97B1" w14:textId="77777777" w:rsidR="00E37775" w:rsidRPr="0002261F" w:rsidRDefault="00E37775" w:rsidP="00182002">
            <w:pPr>
              <w:suppressAutoHyphens/>
              <w:autoSpaceDE w:val="0"/>
              <w:spacing w:line="276" w:lineRule="auto"/>
              <w:jc w:val="both"/>
              <w:rPr>
                <w:rFonts w:ascii="Times New Roman" w:hAnsi="Times New Roman"/>
                <w:szCs w:val="24"/>
                <w:lang w:eastAsia="zh-CN"/>
              </w:rPr>
            </w:pPr>
            <w:proofErr w:type="spellStart"/>
            <w:r w:rsidRPr="0002261F">
              <w:rPr>
                <w:rFonts w:ascii="Times New Roman" w:hAnsi="Times New Roman"/>
                <w:szCs w:val="24"/>
                <w:lang w:eastAsia="zh-CN"/>
              </w:rPr>
              <w:t>Subrogācijas</w:t>
            </w:r>
            <w:proofErr w:type="spellEnd"/>
            <w:r w:rsidRPr="0002261F">
              <w:rPr>
                <w:rFonts w:ascii="Times New Roman" w:hAnsi="Times New Roman"/>
                <w:szCs w:val="24"/>
                <w:lang w:eastAsia="zh-CN"/>
              </w:rPr>
              <w:t xml:space="preserve"> prasība par izmaksāto atlīdzību netiek vērsta pret Pasūtītāja darbiniekiem, izņemot, ja tie ir rīkojušies tīši, ļaunprātīgi vai rupji neuzmanīgi.</w:t>
            </w:r>
          </w:p>
        </w:tc>
        <w:tc>
          <w:tcPr>
            <w:tcW w:w="120" w:type="pct"/>
          </w:tcPr>
          <w:p w14:paraId="5BA13957" w14:textId="77777777" w:rsidR="00E37775" w:rsidRPr="0002261F" w:rsidRDefault="00E37775" w:rsidP="00182002">
            <w:pPr>
              <w:spacing w:line="276" w:lineRule="auto"/>
              <w:rPr>
                <w:rFonts w:ascii="Times New Roman" w:hAnsi="Times New Roman"/>
                <w:i/>
                <w:szCs w:val="24"/>
              </w:rPr>
            </w:pPr>
          </w:p>
        </w:tc>
      </w:tr>
      <w:tr w:rsidR="00E37775" w:rsidRPr="0002261F" w14:paraId="25EFDF95" w14:textId="77777777" w:rsidTr="00182002">
        <w:tc>
          <w:tcPr>
            <w:tcW w:w="473" w:type="pct"/>
          </w:tcPr>
          <w:p w14:paraId="4D57A2C3" w14:textId="77777777" w:rsidR="00E37775" w:rsidRPr="0002261F" w:rsidRDefault="00E37775" w:rsidP="00182002">
            <w:pPr>
              <w:suppressAutoHyphens/>
              <w:autoSpaceDE w:val="0"/>
              <w:spacing w:line="276" w:lineRule="auto"/>
              <w:jc w:val="center"/>
              <w:rPr>
                <w:rFonts w:ascii="Times New Roman" w:hAnsi="Times New Roman"/>
                <w:szCs w:val="24"/>
                <w:lang w:eastAsia="zh-CN"/>
              </w:rPr>
            </w:pPr>
            <w:r w:rsidRPr="0002261F">
              <w:rPr>
                <w:rFonts w:ascii="Times New Roman" w:hAnsi="Times New Roman"/>
                <w:szCs w:val="24"/>
                <w:lang w:eastAsia="zh-CN"/>
              </w:rPr>
              <w:t>12.</w:t>
            </w:r>
          </w:p>
        </w:tc>
        <w:tc>
          <w:tcPr>
            <w:tcW w:w="4407" w:type="pct"/>
          </w:tcPr>
          <w:p w14:paraId="360BFE70"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 xml:space="preserve">Jebkādu papildus </w:t>
            </w:r>
            <w:proofErr w:type="spellStart"/>
            <w:r w:rsidRPr="0002261F">
              <w:rPr>
                <w:rFonts w:ascii="Times New Roman" w:hAnsi="Times New Roman"/>
                <w:szCs w:val="24"/>
                <w:lang w:eastAsia="zh-CN"/>
              </w:rPr>
              <w:t>apakšlimitu</w:t>
            </w:r>
            <w:proofErr w:type="spellEnd"/>
            <w:r w:rsidRPr="0002261F">
              <w:rPr>
                <w:rFonts w:ascii="Times New Roman" w:hAnsi="Times New Roman"/>
                <w:szCs w:val="24"/>
                <w:lang w:eastAsia="zh-CN"/>
              </w:rPr>
              <w:t xml:space="preserve"> piemērošana šajās minimālajās prasībās noteiktajiem pretendenta tehniskajā piedāvājumā netiek pieļauta.</w:t>
            </w:r>
          </w:p>
        </w:tc>
        <w:tc>
          <w:tcPr>
            <w:tcW w:w="120" w:type="pct"/>
          </w:tcPr>
          <w:p w14:paraId="052CE23D" w14:textId="77777777" w:rsidR="00E37775" w:rsidRPr="0002261F" w:rsidRDefault="00E37775" w:rsidP="00182002">
            <w:pPr>
              <w:spacing w:line="276" w:lineRule="auto"/>
              <w:rPr>
                <w:rFonts w:ascii="Times New Roman" w:hAnsi="Times New Roman"/>
                <w:i/>
                <w:szCs w:val="24"/>
              </w:rPr>
            </w:pPr>
          </w:p>
        </w:tc>
      </w:tr>
      <w:tr w:rsidR="00E37775" w:rsidRPr="0002261F" w14:paraId="33E669EC" w14:textId="77777777" w:rsidTr="00182002">
        <w:tc>
          <w:tcPr>
            <w:tcW w:w="473" w:type="pct"/>
          </w:tcPr>
          <w:p w14:paraId="7E610B0D" w14:textId="77777777" w:rsidR="00E37775" w:rsidRPr="0002261F" w:rsidRDefault="00E37775" w:rsidP="00182002">
            <w:pPr>
              <w:spacing w:line="276" w:lineRule="auto"/>
              <w:jc w:val="center"/>
              <w:rPr>
                <w:rFonts w:ascii="Times New Roman" w:hAnsi="Times New Roman"/>
                <w:b/>
                <w:szCs w:val="24"/>
              </w:rPr>
            </w:pPr>
            <w:r w:rsidRPr="0002261F">
              <w:rPr>
                <w:rFonts w:ascii="Times New Roman" w:hAnsi="Times New Roman"/>
                <w:b/>
                <w:szCs w:val="24"/>
              </w:rPr>
              <w:t>II.II.</w:t>
            </w:r>
          </w:p>
        </w:tc>
        <w:tc>
          <w:tcPr>
            <w:tcW w:w="4407" w:type="pct"/>
          </w:tcPr>
          <w:p w14:paraId="6BF1ED34" w14:textId="77777777" w:rsidR="00E37775" w:rsidRPr="0002261F" w:rsidRDefault="00E37775" w:rsidP="00182002">
            <w:pPr>
              <w:suppressAutoHyphens/>
              <w:autoSpaceDE w:val="0"/>
              <w:spacing w:line="276" w:lineRule="auto"/>
              <w:jc w:val="both"/>
              <w:rPr>
                <w:rFonts w:ascii="Times New Roman" w:hAnsi="Times New Roman"/>
                <w:b/>
                <w:szCs w:val="24"/>
                <w:lang w:eastAsia="zh-CN"/>
              </w:rPr>
            </w:pPr>
            <w:r w:rsidRPr="0002261F">
              <w:rPr>
                <w:rFonts w:ascii="Times New Roman" w:hAnsi="Times New Roman"/>
                <w:b/>
                <w:szCs w:val="24"/>
                <w:lang w:eastAsia="zh-CN"/>
              </w:rPr>
              <w:t>Visu risku apdrošināšana.</w:t>
            </w:r>
          </w:p>
        </w:tc>
        <w:tc>
          <w:tcPr>
            <w:tcW w:w="120" w:type="pct"/>
          </w:tcPr>
          <w:p w14:paraId="3B25CAEB" w14:textId="77777777" w:rsidR="00E37775" w:rsidRPr="0002261F" w:rsidRDefault="00E37775" w:rsidP="00182002">
            <w:pPr>
              <w:spacing w:line="276" w:lineRule="auto"/>
              <w:rPr>
                <w:rFonts w:ascii="Times New Roman" w:hAnsi="Times New Roman"/>
                <w:i/>
                <w:szCs w:val="24"/>
              </w:rPr>
            </w:pPr>
          </w:p>
        </w:tc>
      </w:tr>
      <w:tr w:rsidR="00E37775" w:rsidRPr="0002261F" w14:paraId="13AAC608" w14:textId="77777777" w:rsidTr="00182002">
        <w:tc>
          <w:tcPr>
            <w:tcW w:w="473" w:type="pct"/>
          </w:tcPr>
          <w:p w14:paraId="297A4054" w14:textId="77777777" w:rsidR="00E37775" w:rsidRPr="0002261F" w:rsidRDefault="00E37775" w:rsidP="00182002">
            <w:pPr>
              <w:spacing w:line="276" w:lineRule="auto"/>
              <w:jc w:val="center"/>
              <w:rPr>
                <w:rFonts w:ascii="Times New Roman" w:hAnsi="Times New Roman"/>
                <w:b/>
                <w:szCs w:val="24"/>
              </w:rPr>
            </w:pPr>
            <w:r w:rsidRPr="0002261F">
              <w:rPr>
                <w:rFonts w:ascii="Times New Roman" w:hAnsi="Times New Roman"/>
                <w:b/>
                <w:szCs w:val="24"/>
              </w:rPr>
              <w:t>1.</w:t>
            </w:r>
          </w:p>
        </w:tc>
        <w:tc>
          <w:tcPr>
            <w:tcW w:w="4407" w:type="pct"/>
          </w:tcPr>
          <w:p w14:paraId="520295D4"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b/>
                <w:szCs w:val="24"/>
                <w:lang w:eastAsia="zh-CN"/>
              </w:rPr>
              <w:t>Apdrošināšanas objekts</w:t>
            </w:r>
            <w:r w:rsidRPr="0002261F">
              <w:rPr>
                <w:rFonts w:ascii="Times New Roman" w:hAnsi="Times New Roman"/>
                <w:szCs w:val="24"/>
                <w:lang w:eastAsia="zh-CN"/>
              </w:rPr>
              <w:t xml:space="preserve">: </w:t>
            </w:r>
            <w:r w:rsidRPr="0002261F">
              <w:rPr>
                <w:rFonts w:ascii="Times New Roman" w:hAnsi="Times New Roman"/>
                <w:b/>
                <w:szCs w:val="24"/>
                <w:lang w:eastAsia="zh-CN"/>
              </w:rPr>
              <w:t>visi</w:t>
            </w:r>
            <w:r w:rsidRPr="0002261F">
              <w:rPr>
                <w:rFonts w:ascii="Times New Roman" w:hAnsi="Times New Roman"/>
                <w:szCs w:val="24"/>
                <w:lang w:eastAsia="zh-CN"/>
              </w:rPr>
              <w:t xml:space="preserve"> sabiedriskā transporta līdzekļi un speciālā tehnika</w:t>
            </w:r>
            <w:r w:rsidRPr="0002261F">
              <w:rPr>
                <w:rFonts w:ascii="Times New Roman" w:hAnsi="Times New Roman"/>
                <w:b/>
                <w:szCs w:val="24"/>
                <w:lang w:eastAsia="zh-CN"/>
              </w:rPr>
              <w:t xml:space="preserve"> </w:t>
            </w:r>
            <w:r w:rsidRPr="0002261F">
              <w:rPr>
                <w:rFonts w:ascii="Times New Roman" w:hAnsi="Times New Roman"/>
                <w:szCs w:val="24"/>
                <w:lang w:eastAsia="zh-CN"/>
              </w:rPr>
              <w:t>(ar ražotāja vai jebkādu papildus uzstādīto un iemontēto aprīkojumu, ražotāja un/vai reklāmas krāsojumu, uzlīmēm), kas uzskaitīti uzņēmuma bilancē (t.sk. trešajām personām ieķīlātie).</w:t>
            </w:r>
          </w:p>
        </w:tc>
        <w:tc>
          <w:tcPr>
            <w:tcW w:w="120" w:type="pct"/>
          </w:tcPr>
          <w:p w14:paraId="483AD283" w14:textId="77777777" w:rsidR="00E37775" w:rsidRPr="0002261F" w:rsidRDefault="00E37775" w:rsidP="00182002">
            <w:pPr>
              <w:spacing w:line="276" w:lineRule="auto"/>
              <w:rPr>
                <w:rFonts w:ascii="Times New Roman" w:hAnsi="Times New Roman"/>
                <w:i/>
                <w:szCs w:val="24"/>
              </w:rPr>
            </w:pPr>
          </w:p>
        </w:tc>
      </w:tr>
      <w:tr w:rsidR="00E37775" w:rsidRPr="0002261F" w14:paraId="4DF57A74" w14:textId="77777777" w:rsidTr="00182002">
        <w:tc>
          <w:tcPr>
            <w:tcW w:w="473" w:type="pct"/>
          </w:tcPr>
          <w:p w14:paraId="197BDD9A" w14:textId="77777777" w:rsidR="00E37775" w:rsidRPr="0002261F" w:rsidRDefault="00E37775" w:rsidP="00182002">
            <w:pPr>
              <w:suppressAutoHyphens/>
              <w:autoSpaceDE w:val="0"/>
              <w:spacing w:line="276" w:lineRule="auto"/>
              <w:jc w:val="center"/>
              <w:rPr>
                <w:rFonts w:ascii="Times New Roman" w:hAnsi="Times New Roman"/>
                <w:b/>
                <w:szCs w:val="24"/>
                <w:lang w:eastAsia="zh-CN"/>
              </w:rPr>
            </w:pPr>
            <w:r w:rsidRPr="0002261F">
              <w:rPr>
                <w:rFonts w:ascii="Times New Roman" w:hAnsi="Times New Roman"/>
                <w:b/>
                <w:szCs w:val="24"/>
                <w:lang w:eastAsia="zh-CN"/>
              </w:rPr>
              <w:t>2.</w:t>
            </w:r>
          </w:p>
        </w:tc>
        <w:tc>
          <w:tcPr>
            <w:tcW w:w="4407" w:type="pct"/>
          </w:tcPr>
          <w:p w14:paraId="3FF1155E" w14:textId="7125565C" w:rsidR="00E37775" w:rsidRPr="0002261F" w:rsidRDefault="00E37775" w:rsidP="00182002">
            <w:pPr>
              <w:suppressAutoHyphens/>
              <w:autoSpaceDE w:val="0"/>
              <w:spacing w:line="276" w:lineRule="auto"/>
              <w:jc w:val="both"/>
              <w:rPr>
                <w:rFonts w:ascii="Times New Roman" w:hAnsi="Times New Roman"/>
                <w:b/>
                <w:szCs w:val="24"/>
                <w:lang w:eastAsia="zh-CN"/>
              </w:rPr>
            </w:pPr>
            <w:r w:rsidRPr="0002261F">
              <w:rPr>
                <w:rFonts w:ascii="Times New Roman" w:hAnsi="Times New Roman"/>
                <w:b/>
                <w:szCs w:val="24"/>
                <w:lang w:eastAsia="zh-CN"/>
              </w:rPr>
              <w:t>Apdrošinājuma summa</w:t>
            </w:r>
            <w:r w:rsidRPr="0002261F">
              <w:rPr>
                <w:rFonts w:ascii="Times New Roman" w:hAnsi="Times New Roman"/>
                <w:szCs w:val="24"/>
                <w:lang w:eastAsia="zh-CN"/>
              </w:rPr>
              <w:t xml:space="preserve"> katram objektam atsevišķi un visiem objektiem kopā apdrošināšanas periodā tiek limitēta ar </w:t>
            </w:r>
            <w:r w:rsidRPr="0002261F">
              <w:rPr>
                <w:rFonts w:ascii="Times New Roman" w:hAnsi="Times New Roman"/>
                <w:b/>
                <w:i/>
                <w:szCs w:val="24"/>
                <w:lang w:eastAsia="zh-CN"/>
              </w:rPr>
              <w:t>„pirmā zaudējuma limitu” 2</w:t>
            </w:r>
            <w:r w:rsidR="003B585B">
              <w:rPr>
                <w:rFonts w:ascii="Times New Roman" w:hAnsi="Times New Roman"/>
                <w:b/>
                <w:i/>
                <w:szCs w:val="24"/>
                <w:lang w:eastAsia="zh-CN"/>
              </w:rPr>
              <w:t>00</w:t>
            </w:r>
            <w:r w:rsidRPr="0002261F">
              <w:rPr>
                <w:rFonts w:ascii="Times New Roman" w:hAnsi="Times New Roman"/>
                <w:b/>
                <w:i/>
                <w:szCs w:val="24"/>
                <w:lang w:eastAsia="zh-CN"/>
              </w:rPr>
              <w:t xml:space="preserve"> 000  eiro</w:t>
            </w:r>
            <w:r w:rsidRPr="0002261F">
              <w:rPr>
                <w:rFonts w:ascii="Times New Roman" w:hAnsi="Times New Roman"/>
                <w:szCs w:val="24"/>
                <w:lang w:eastAsia="zh-CN"/>
              </w:rPr>
              <w:t xml:space="preserve">. </w:t>
            </w:r>
            <w:proofErr w:type="spellStart"/>
            <w:r w:rsidRPr="0002261F">
              <w:rPr>
                <w:rFonts w:ascii="Times New Roman" w:hAnsi="Times New Roman"/>
                <w:szCs w:val="24"/>
                <w:lang w:eastAsia="zh-CN"/>
              </w:rPr>
              <w:t>Zemapdrošināšanas</w:t>
            </w:r>
            <w:proofErr w:type="spellEnd"/>
            <w:r w:rsidRPr="0002261F">
              <w:rPr>
                <w:rFonts w:ascii="Times New Roman" w:hAnsi="Times New Roman"/>
                <w:szCs w:val="24"/>
                <w:lang w:eastAsia="zh-CN"/>
              </w:rPr>
              <w:t xml:space="preserve"> princips netiek piemērots. Apdrošinājuma summa katram konkrētam objektam pēc apdrošināšanas atlīdzības izmaksas tiek atjaunota pilnā apmērā bez papildu apdrošināšanas prēmijas samaksas, izņemot gadījumus, kad īpašums ir gājis bojā un netiek atjaunots.</w:t>
            </w:r>
          </w:p>
        </w:tc>
        <w:tc>
          <w:tcPr>
            <w:tcW w:w="120" w:type="pct"/>
          </w:tcPr>
          <w:p w14:paraId="1ECD8860" w14:textId="77777777" w:rsidR="00E37775" w:rsidRPr="0002261F" w:rsidRDefault="00E37775" w:rsidP="00182002">
            <w:pPr>
              <w:spacing w:line="276" w:lineRule="auto"/>
              <w:rPr>
                <w:rFonts w:ascii="Times New Roman" w:hAnsi="Times New Roman"/>
                <w:i/>
                <w:szCs w:val="24"/>
              </w:rPr>
            </w:pPr>
          </w:p>
        </w:tc>
      </w:tr>
      <w:tr w:rsidR="00E37775" w:rsidRPr="0002261F" w14:paraId="1B2AECFD" w14:textId="77777777" w:rsidTr="00182002">
        <w:tc>
          <w:tcPr>
            <w:tcW w:w="473" w:type="pct"/>
          </w:tcPr>
          <w:p w14:paraId="5D679B17" w14:textId="77777777" w:rsidR="00E37775" w:rsidRPr="0002261F" w:rsidRDefault="00E37775" w:rsidP="00182002">
            <w:pPr>
              <w:spacing w:line="276" w:lineRule="auto"/>
              <w:jc w:val="center"/>
              <w:rPr>
                <w:rFonts w:ascii="Times New Roman" w:hAnsi="Times New Roman"/>
                <w:b/>
                <w:szCs w:val="24"/>
              </w:rPr>
            </w:pPr>
            <w:r w:rsidRPr="0002261F">
              <w:rPr>
                <w:rFonts w:ascii="Times New Roman" w:hAnsi="Times New Roman"/>
                <w:b/>
                <w:szCs w:val="24"/>
              </w:rPr>
              <w:t>3.</w:t>
            </w:r>
          </w:p>
        </w:tc>
        <w:tc>
          <w:tcPr>
            <w:tcW w:w="4407" w:type="pct"/>
          </w:tcPr>
          <w:p w14:paraId="6AB5B139"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b/>
                <w:szCs w:val="24"/>
                <w:lang w:eastAsia="zh-CN"/>
              </w:rPr>
              <w:t>Apdrošināšanas teritorija</w:t>
            </w:r>
            <w:r w:rsidRPr="0002261F">
              <w:rPr>
                <w:rFonts w:ascii="Times New Roman" w:hAnsi="Times New Roman"/>
                <w:szCs w:val="24"/>
                <w:lang w:eastAsia="zh-CN"/>
              </w:rPr>
              <w:t xml:space="preserve"> – Latvijas Republika, </w:t>
            </w:r>
            <w:r w:rsidRPr="0002261F">
              <w:rPr>
                <w:rFonts w:ascii="Times New Roman" w:hAnsi="Times New Roman"/>
                <w:b/>
                <w:i/>
                <w:szCs w:val="24"/>
                <w:lang w:eastAsia="zh-CN"/>
              </w:rPr>
              <w:t>tai skaitā, piedaloties ceļu satiksmē.</w:t>
            </w:r>
          </w:p>
        </w:tc>
        <w:tc>
          <w:tcPr>
            <w:tcW w:w="120" w:type="pct"/>
          </w:tcPr>
          <w:p w14:paraId="575CB8D0" w14:textId="77777777" w:rsidR="00E37775" w:rsidRPr="0002261F" w:rsidRDefault="00E37775" w:rsidP="00182002">
            <w:pPr>
              <w:spacing w:line="276" w:lineRule="auto"/>
              <w:rPr>
                <w:rFonts w:ascii="Times New Roman" w:hAnsi="Times New Roman"/>
                <w:i/>
                <w:szCs w:val="24"/>
              </w:rPr>
            </w:pPr>
          </w:p>
        </w:tc>
      </w:tr>
      <w:tr w:rsidR="00E37775" w:rsidRPr="0002261F" w14:paraId="78767D89" w14:textId="77777777" w:rsidTr="00182002">
        <w:tc>
          <w:tcPr>
            <w:tcW w:w="473" w:type="pct"/>
          </w:tcPr>
          <w:p w14:paraId="58D26F30" w14:textId="77777777" w:rsidR="00E37775" w:rsidRPr="0002261F" w:rsidRDefault="00E37775" w:rsidP="00182002">
            <w:pPr>
              <w:spacing w:line="276" w:lineRule="auto"/>
              <w:jc w:val="center"/>
              <w:rPr>
                <w:rFonts w:ascii="Times New Roman" w:hAnsi="Times New Roman"/>
                <w:b/>
                <w:szCs w:val="24"/>
              </w:rPr>
            </w:pPr>
            <w:r w:rsidRPr="0002261F">
              <w:rPr>
                <w:rFonts w:ascii="Times New Roman" w:hAnsi="Times New Roman"/>
                <w:b/>
                <w:szCs w:val="24"/>
              </w:rPr>
              <w:t>4.</w:t>
            </w:r>
          </w:p>
        </w:tc>
        <w:tc>
          <w:tcPr>
            <w:tcW w:w="4407" w:type="pct"/>
          </w:tcPr>
          <w:p w14:paraId="1C007701" w14:textId="4065F8C5"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b/>
                <w:szCs w:val="24"/>
                <w:lang w:eastAsia="zh-CN"/>
              </w:rPr>
              <w:t>Apdrošinātie riski</w:t>
            </w:r>
            <w:r w:rsidRPr="0002261F">
              <w:rPr>
                <w:rFonts w:ascii="Times New Roman" w:hAnsi="Times New Roman"/>
                <w:b/>
                <w:i/>
                <w:szCs w:val="24"/>
                <w:lang w:eastAsia="zh-CN"/>
              </w:rPr>
              <w:t xml:space="preserve"> –</w:t>
            </w:r>
            <w:r w:rsidR="00FE2321">
              <w:rPr>
                <w:rFonts w:ascii="Times New Roman" w:hAnsi="Times New Roman"/>
                <w:b/>
                <w:i/>
                <w:szCs w:val="24"/>
                <w:lang w:eastAsia="zh-CN"/>
              </w:rPr>
              <w:t xml:space="preserve"> </w:t>
            </w:r>
            <w:r w:rsidRPr="0002261F">
              <w:rPr>
                <w:rFonts w:ascii="Times New Roman" w:hAnsi="Times New Roman"/>
                <w:b/>
                <w:i/>
                <w:szCs w:val="24"/>
                <w:lang w:eastAsia="zh-CN"/>
              </w:rPr>
              <w:t>neierobežots visu risku segums</w:t>
            </w:r>
            <w:r w:rsidRPr="0002261F">
              <w:rPr>
                <w:rFonts w:ascii="Times New Roman" w:hAnsi="Times New Roman"/>
                <w:szCs w:val="24"/>
                <w:lang w:eastAsia="zh-CN"/>
              </w:rPr>
              <w:t xml:space="preserve">, šīs sadaļas izpratnē - apdrošināto objektu jebkādi bojājumi vai bojāeja jebkuras iekšējas vai ārējas mehāniskas, termiskas, elektriskas vai jebkuras citas iedarbības rezultātā. </w:t>
            </w:r>
            <w:r w:rsidRPr="0002261F">
              <w:rPr>
                <w:rFonts w:ascii="Times New Roman" w:hAnsi="Times New Roman"/>
                <w:b/>
                <w:i/>
                <w:szCs w:val="24"/>
                <w:lang w:eastAsia="zh-CN"/>
              </w:rPr>
              <w:t>Apdrošināšanas seguma izņēmumi vai ierobežojumi netiek pieļauti.</w:t>
            </w:r>
          </w:p>
        </w:tc>
        <w:tc>
          <w:tcPr>
            <w:tcW w:w="120" w:type="pct"/>
          </w:tcPr>
          <w:p w14:paraId="58E230C9" w14:textId="77777777" w:rsidR="00E37775" w:rsidRPr="0002261F" w:rsidRDefault="00E37775" w:rsidP="00182002">
            <w:pPr>
              <w:spacing w:line="276" w:lineRule="auto"/>
              <w:rPr>
                <w:rFonts w:ascii="Times New Roman" w:hAnsi="Times New Roman"/>
                <w:i/>
                <w:szCs w:val="24"/>
              </w:rPr>
            </w:pPr>
          </w:p>
        </w:tc>
      </w:tr>
      <w:tr w:rsidR="00E37775" w:rsidRPr="0002261F" w14:paraId="48A853CD" w14:textId="77777777" w:rsidTr="00182002">
        <w:tc>
          <w:tcPr>
            <w:tcW w:w="473" w:type="pct"/>
          </w:tcPr>
          <w:p w14:paraId="74BAEDE6" w14:textId="77777777" w:rsidR="00E37775" w:rsidRPr="0002261F" w:rsidRDefault="00E37775" w:rsidP="00182002">
            <w:pPr>
              <w:spacing w:line="276" w:lineRule="auto"/>
              <w:jc w:val="center"/>
              <w:rPr>
                <w:rFonts w:ascii="Times New Roman" w:hAnsi="Times New Roman"/>
                <w:b/>
                <w:szCs w:val="24"/>
              </w:rPr>
            </w:pPr>
            <w:r w:rsidRPr="0002261F">
              <w:rPr>
                <w:rFonts w:ascii="Times New Roman" w:hAnsi="Times New Roman"/>
                <w:b/>
                <w:szCs w:val="24"/>
              </w:rPr>
              <w:t>5.</w:t>
            </w:r>
          </w:p>
        </w:tc>
        <w:tc>
          <w:tcPr>
            <w:tcW w:w="4407" w:type="pct"/>
          </w:tcPr>
          <w:p w14:paraId="42457795" w14:textId="77777777" w:rsidR="00E37775" w:rsidRPr="0002261F" w:rsidRDefault="00E37775" w:rsidP="00182002">
            <w:pPr>
              <w:widowControl w:val="0"/>
              <w:tabs>
                <w:tab w:val="num" w:pos="993"/>
              </w:tabs>
              <w:adjustRightInd w:val="0"/>
              <w:spacing w:line="276" w:lineRule="auto"/>
              <w:jc w:val="both"/>
              <w:textAlignment w:val="baseline"/>
              <w:rPr>
                <w:rFonts w:ascii="Times New Roman" w:hAnsi="Times New Roman"/>
                <w:b/>
                <w:szCs w:val="24"/>
              </w:rPr>
            </w:pPr>
            <w:r w:rsidRPr="0002261F">
              <w:rPr>
                <w:rFonts w:ascii="Times New Roman" w:hAnsi="Times New Roman"/>
                <w:b/>
                <w:szCs w:val="24"/>
              </w:rPr>
              <w:t xml:space="preserve">Pašrisks </w:t>
            </w:r>
            <w:r w:rsidRPr="0002261F">
              <w:rPr>
                <w:rFonts w:ascii="Times New Roman" w:hAnsi="Times New Roman"/>
                <w:szCs w:val="24"/>
              </w:rPr>
              <w:t>katram apdrošināšanas gadījumam ne lielāks kā 140 eiro.</w:t>
            </w:r>
          </w:p>
        </w:tc>
        <w:tc>
          <w:tcPr>
            <w:tcW w:w="120" w:type="pct"/>
          </w:tcPr>
          <w:p w14:paraId="7E095FAC" w14:textId="77777777" w:rsidR="00E37775" w:rsidRPr="0002261F" w:rsidRDefault="00E37775" w:rsidP="00182002">
            <w:pPr>
              <w:spacing w:line="276" w:lineRule="auto"/>
              <w:rPr>
                <w:rFonts w:ascii="Times New Roman" w:hAnsi="Times New Roman"/>
                <w:i/>
                <w:szCs w:val="24"/>
              </w:rPr>
            </w:pPr>
          </w:p>
        </w:tc>
      </w:tr>
      <w:tr w:rsidR="00E37775" w:rsidRPr="0002261F" w14:paraId="3ACE3A59" w14:textId="77777777" w:rsidTr="00182002">
        <w:tc>
          <w:tcPr>
            <w:tcW w:w="473" w:type="pct"/>
          </w:tcPr>
          <w:p w14:paraId="7CA3C54C" w14:textId="77777777" w:rsidR="00E37775" w:rsidRPr="0002261F" w:rsidRDefault="00E37775" w:rsidP="00182002">
            <w:pPr>
              <w:spacing w:line="276" w:lineRule="auto"/>
              <w:jc w:val="center"/>
              <w:rPr>
                <w:rFonts w:ascii="Times New Roman" w:hAnsi="Times New Roman"/>
                <w:b/>
                <w:szCs w:val="24"/>
              </w:rPr>
            </w:pPr>
            <w:r w:rsidRPr="0002261F">
              <w:rPr>
                <w:rFonts w:ascii="Times New Roman" w:hAnsi="Times New Roman"/>
                <w:b/>
                <w:szCs w:val="24"/>
              </w:rPr>
              <w:t>6.</w:t>
            </w:r>
          </w:p>
        </w:tc>
        <w:tc>
          <w:tcPr>
            <w:tcW w:w="4407" w:type="pct"/>
          </w:tcPr>
          <w:p w14:paraId="31D4EF0B" w14:textId="77777777" w:rsidR="00E37775" w:rsidRPr="0002261F" w:rsidRDefault="00E37775" w:rsidP="00182002">
            <w:pPr>
              <w:widowControl w:val="0"/>
              <w:tabs>
                <w:tab w:val="num" w:pos="993"/>
              </w:tabs>
              <w:adjustRightInd w:val="0"/>
              <w:spacing w:line="276" w:lineRule="auto"/>
              <w:textAlignment w:val="baseline"/>
              <w:rPr>
                <w:rFonts w:ascii="Times New Roman" w:hAnsi="Times New Roman"/>
                <w:b/>
                <w:szCs w:val="24"/>
              </w:rPr>
            </w:pPr>
            <w:r w:rsidRPr="0002261F">
              <w:rPr>
                <w:rFonts w:ascii="Times New Roman" w:hAnsi="Times New Roman"/>
                <w:b/>
                <w:szCs w:val="24"/>
              </w:rPr>
              <w:t>Apdrošināšanas atlīdzības aprēķināšanas principi un metodika:</w:t>
            </w:r>
          </w:p>
        </w:tc>
        <w:tc>
          <w:tcPr>
            <w:tcW w:w="120" w:type="pct"/>
          </w:tcPr>
          <w:p w14:paraId="50E34B57" w14:textId="77777777" w:rsidR="00E37775" w:rsidRPr="0002261F" w:rsidRDefault="00E37775" w:rsidP="00182002">
            <w:pPr>
              <w:spacing w:line="276" w:lineRule="auto"/>
              <w:rPr>
                <w:rFonts w:ascii="Times New Roman" w:hAnsi="Times New Roman"/>
                <w:i/>
                <w:szCs w:val="24"/>
              </w:rPr>
            </w:pPr>
          </w:p>
        </w:tc>
      </w:tr>
      <w:tr w:rsidR="00E37775" w:rsidRPr="0002261F" w14:paraId="0C26AA7B" w14:textId="77777777" w:rsidTr="00182002">
        <w:tc>
          <w:tcPr>
            <w:tcW w:w="473" w:type="pct"/>
          </w:tcPr>
          <w:p w14:paraId="14A137D5"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6.1.</w:t>
            </w:r>
          </w:p>
        </w:tc>
        <w:tc>
          <w:tcPr>
            <w:tcW w:w="4407" w:type="pct"/>
          </w:tcPr>
          <w:p w14:paraId="07E7B582"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 xml:space="preserve">Bojājumu gadījumā remonta izdevumi (bez PVN) atbilstoši Pasūtītāja sastādītajai tāmei, kas nepieciešami, lai apdrošināšanas objektu atjaunotu tādā stāvoklī, kādā tā bija pirms apdrošināšanas gadījuma, neņemot vērā </w:t>
            </w:r>
            <w:proofErr w:type="spellStart"/>
            <w:r w:rsidRPr="0002261F">
              <w:rPr>
                <w:rFonts w:ascii="Times New Roman" w:hAnsi="Times New Roman"/>
                <w:szCs w:val="24"/>
                <w:lang w:eastAsia="zh-CN"/>
              </w:rPr>
              <w:t>zemapdrošināšanu</w:t>
            </w:r>
            <w:proofErr w:type="spellEnd"/>
            <w:r w:rsidRPr="0002261F">
              <w:rPr>
                <w:rFonts w:ascii="Times New Roman" w:hAnsi="Times New Roman"/>
                <w:szCs w:val="24"/>
                <w:lang w:eastAsia="zh-CN"/>
              </w:rPr>
              <w:t xml:space="preserve"> un tehnisko nolietojumu. Remonts tiek veikts ar jaunām transportlīdzekļa ražotāja rezerves daļām, neatkarīgi no transporta līdzekļa vecuma. </w:t>
            </w:r>
          </w:p>
        </w:tc>
        <w:tc>
          <w:tcPr>
            <w:tcW w:w="120" w:type="pct"/>
          </w:tcPr>
          <w:p w14:paraId="5F2AE882" w14:textId="77777777" w:rsidR="00E37775" w:rsidRPr="0002261F" w:rsidRDefault="00E37775" w:rsidP="00182002">
            <w:pPr>
              <w:spacing w:line="276" w:lineRule="auto"/>
              <w:rPr>
                <w:rFonts w:ascii="Times New Roman" w:hAnsi="Times New Roman"/>
                <w:i/>
                <w:szCs w:val="24"/>
              </w:rPr>
            </w:pPr>
          </w:p>
        </w:tc>
      </w:tr>
      <w:tr w:rsidR="00E37775" w:rsidRPr="0002261F" w14:paraId="7A22F7A0" w14:textId="77777777" w:rsidTr="00182002">
        <w:tc>
          <w:tcPr>
            <w:tcW w:w="473" w:type="pct"/>
          </w:tcPr>
          <w:p w14:paraId="4266EFB3"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6.3.</w:t>
            </w:r>
          </w:p>
        </w:tc>
        <w:tc>
          <w:tcPr>
            <w:tcW w:w="4407" w:type="pct"/>
          </w:tcPr>
          <w:p w14:paraId="020676A7"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Apdrošināšanas gadījuma pieteikšanas minimālais termiņš – ne mazāk kā 10</w:t>
            </w:r>
            <w:r w:rsidR="00182002">
              <w:rPr>
                <w:rFonts w:ascii="Times New Roman" w:hAnsi="Times New Roman"/>
                <w:szCs w:val="24"/>
                <w:lang w:eastAsia="zh-CN"/>
              </w:rPr>
              <w:t> </w:t>
            </w:r>
            <w:r w:rsidRPr="0002261F">
              <w:rPr>
                <w:rFonts w:ascii="Times New Roman" w:hAnsi="Times New Roman"/>
                <w:szCs w:val="24"/>
                <w:lang w:eastAsia="zh-CN"/>
              </w:rPr>
              <w:t>(desmit) darba dienas no apdrošināšanas gadījuma konstatēšanas brīža.</w:t>
            </w:r>
          </w:p>
        </w:tc>
        <w:tc>
          <w:tcPr>
            <w:tcW w:w="120" w:type="pct"/>
          </w:tcPr>
          <w:p w14:paraId="4D02A93A" w14:textId="77777777" w:rsidR="00E37775" w:rsidRPr="0002261F" w:rsidRDefault="00E37775" w:rsidP="00182002">
            <w:pPr>
              <w:spacing w:line="276" w:lineRule="auto"/>
              <w:rPr>
                <w:rFonts w:ascii="Times New Roman" w:hAnsi="Times New Roman"/>
                <w:i/>
                <w:szCs w:val="24"/>
              </w:rPr>
            </w:pPr>
          </w:p>
        </w:tc>
      </w:tr>
      <w:tr w:rsidR="00E37775" w:rsidRPr="0002261F" w14:paraId="4E3BC053" w14:textId="77777777" w:rsidTr="00182002">
        <w:tc>
          <w:tcPr>
            <w:tcW w:w="473" w:type="pct"/>
          </w:tcPr>
          <w:p w14:paraId="2A82B900"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6.4.</w:t>
            </w:r>
          </w:p>
        </w:tc>
        <w:tc>
          <w:tcPr>
            <w:tcW w:w="4407" w:type="pct"/>
          </w:tcPr>
          <w:p w14:paraId="740002D9" w14:textId="77777777" w:rsidR="00E37775" w:rsidRPr="0002261F" w:rsidRDefault="00E37775" w:rsidP="00182002">
            <w:pPr>
              <w:suppressAutoHyphens/>
              <w:autoSpaceDE w:val="0"/>
              <w:spacing w:line="276" w:lineRule="auto"/>
              <w:jc w:val="both"/>
              <w:rPr>
                <w:rFonts w:ascii="Times New Roman" w:hAnsi="Times New Roman"/>
                <w:szCs w:val="24"/>
                <w:lang w:eastAsia="zh-CN"/>
              </w:rPr>
            </w:pPr>
            <w:proofErr w:type="spellStart"/>
            <w:r w:rsidRPr="0002261F">
              <w:rPr>
                <w:rFonts w:ascii="Times New Roman" w:hAnsi="Times New Roman"/>
                <w:szCs w:val="24"/>
                <w:lang w:eastAsia="zh-CN"/>
              </w:rPr>
              <w:t>Subrogācijas</w:t>
            </w:r>
            <w:proofErr w:type="spellEnd"/>
            <w:r w:rsidRPr="0002261F">
              <w:rPr>
                <w:rFonts w:ascii="Times New Roman" w:hAnsi="Times New Roman"/>
                <w:szCs w:val="24"/>
                <w:lang w:eastAsia="zh-CN"/>
              </w:rPr>
              <w:t xml:space="preserve"> prasība par izmaksāto atlīdzību pret Pasūtītāja darbiniekiem netiek vērsta, izņemot, ja tie ir rīkojušies tīši, ļaunprātīgi.</w:t>
            </w:r>
          </w:p>
        </w:tc>
        <w:tc>
          <w:tcPr>
            <w:tcW w:w="120" w:type="pct"/>
          </w:tcPr>
          <w:p w14:paraId="3F7A3478" w14:textId="77777777" w:rsidR="00E37775" w:rsidRPr="0002261F" w:rsidRDefault="00E37775" w:rsidP="00182002">
            <w:pPr>
              <w:spacing w:line="276" w:lineRule="auto"/>
              <w:rPr>
                <w:rFonts w:ascii="Times New Roman" w:hAnsi="Times New Roman"/>
                <w:i/>
                <w:szCs w:val="24"/>
              </w:rPr>
            </w:pPr>
          </w:p>
        </w:tc>
      </w:tr>
      <w:tr w:rsidR="00E37775" w:rsidRPr="0002261F" w14:paraId="35DFC145" w14:textId="77777777" w:rsidTr="00182002">
        <w:tc>
          <w:tcPr>
            <w:tcW w:w="473" w:type="pct"/>
          </w:tcPr>
          <w:p w14:paraId="654E1D19" w14:textId="77777777" w:rsidR="00E37775" w:rsidRPr="0002261F" w:rsidRDefault="00E37775" w:rsidP="00182002">
            <w:pPr>
              <w:suppressAutoHyphens/>
              <w:autoSpaceDE w:val="0"/>
              <w:spacing w:line="276" w:lineRule="auto"/>
              <w:jc w:val="center"/>
              <w:rPr>
                <w:rFonts w:ascii="Times New Roman" w:hAnsi="Times New Roman"/>
                <w:szCs w:val="24"/>
                <w:lang w:eastAsia="zh-CN"/>
              </w:rPr>
            </w:pPr>
            <w:r w:rsidRPr="0002261F">
              <w:rPr>
                <w:rFonts w:ascii="Times New Roman" w:hAnsi="Times New Roman"/>
                <w:szCs w:val="24"/>
                <w:lang w:eastAsia="zh-CN"/>
              </w:rPr>
              <w:t>6.5.</w:t>
            </w:r>
          </w:p>
        </w:tc>
        <w:tc>
          <w:tcPr>
            <w:tcW w:w="4407" w:type="pct"/>
          </w:tcPr>
          <w:p w14:paraId="00BF25F9"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 xml:space="preserve">Jebkādu papildus </w:t>
            </w:r>
            <w:proofErr w:type="spellStart"/>
            <w:r w:rsidRPr="0002261F">
              <w:rPr>
                <w:rFonts w:ascii="Times New Roman" w:hAnsi="Times New Roman"/>
                <w:szCs w:val="24"/>
                <w:lang w:eastAsia="zh-CN"/>
              </w:rPr>
              <w:t>apakšlimitu</w:t>
            </w:r>
            <w:proofErr w:type="spellEnd"/>
            <w:r w:rsidRPr="0002261F">
              <w:rPr>
                <w:rFonts w:ascii="Times New Roman" w:hAnsi="Times New Roman"/>
                <w:szCs w:val="24"/>
                <w:lang w:eastAsia="zh-CN"/>
              </w:rPr>
              <w:t xml:space="preserve"> piemērošana šajās minimālajās prasībās noteiktajiem pretendenta tehniskajā piedāvājumā netiek pieļauta.</w:t>
            </w:r>
          </w:p>
        </w:tc>
        <w:tc>
          <w:tcPr>
            <w:tcW w:w="120" w:type="pct"/>
          </w:tcPr>
          <w:p w14:paraId="4020656C" w14:textId="77777777" w:rsidR="00E37775" w:rsidRPr="0002261F" w:rsidRDefault="00E37775" w:rsidP="00182002">
            <w:pPr>
              <w:spacing w:line="276" w:lineRule="auto"/>
              <w:rPr>
                <w:rFonts w:ascii="Times New Roman" w:hAnsi="Times New Roman"/>
                <w:i/>
                <w:szCs w:val="24"/>
              </w:rPr>
            </w:pPr>
          </w:p>
        </w:tc>
      </w:tr>
      <w:tr w:rsidR="00E37775" w:rsidRPr="0002261F" w14:paraId="28A58FA8" w14:textId="77777777" w:rsidTr="00182002">
        <w:tc>
          <w:tcPr>
            <w:tcW w:w="473" w:type="pct"/>
          </w:tcPr>
          <w:p w14:paraId="64063B9F" w14:textId="77777777" w:rsidR="00E37775" w:rsidRPr="0002261F" w:rsidRDefault="00E37775" w:rsidP="00182002">
            <w:pPr>
              <w:suppressAutoHyphens/>
              <w:autoSpaceDE w:val="0"/>
              <w:spacing w:line="276" w:lineRule="auto"/>
              <w:jc w:val="center"/>
              <w:rPr>
                <w:rFonts w:ascii="Times New Roman" w:hAnsi="Times New Roman"/>
                <w:b/>
                <w:szCs w:val="24"/>
                <w:lang w:eastAsia="zh-CN"/>
              </w:rPr>
            </w:pPr>
            <w:r w:rsidRPr="0002261F">
              <w:rPr>
                <w:rFonts w:ascii="Times New Roman" w:hAnsi="Times New Roman"/>
                <w:b/>
                <w:szCs w:val="24"/>
                <w:lang w:eastAsia="zh-CN"/>
              </w:rPr>
              <w:t>III</w:t>
            </w:r>
          </w:p>
        </w:tc>
        <w:tc>
          <w:tcPr>
            <w:tcW w:w="4407" w:type="pct"/>
          </w:tcPr>
          <w:p w14:paraId="5E2A2E82" w14:textId="77777777" w:rsidR="00E37775" w:rsidRPr="00A63FFA" w:rsidRDefault="00E37775" w:rsidP="00182002">
            <w:pPr>
              <w:widowControl w:val="0"/>
              <w:tabs>
                <w:tab w:val="num" w:pos="993"/>
              </w:tabs>
              <w:suppressAutoHyphens/>
              <w:autoSpaceDE w:val="0"/>
              <w:adjustRightInd w:val="0"/>
              <w:spacing w:line="276" w:lineRule="auto"/>
              <w:jc w:val="both"/>
              <w:textAlignment w:val="baseline"/>
              <w:rPr>
                <w:rFonts w:ascii="Times New Roman" w:hAnsi="Times New Roman"/>
                <w:b/>
                <w:caps/>
                <w:szCs w:val="24"/>
                <w:lang w:eastAsia="zh-CN"/>
              </w:rPr>
            </w:pPr>
            <w:r w:rsidRPr="00A63FFA">
              <w:rPr>
                <w:rFonts w:ascii="Times New Roman" w:hAnsi="Times New Roman"/>
                <w:b/>
                <w:caps/>
                <w:szCs w:val="24"/>
                <w:lang w:eastAsia="zh-CN"/>
              </w:rPr>
              <w:t>Vispārējie līguma nosacījumi (attiecībā uz I - II sadaļām):</w:t>
            </w:r>
          </w:p>
        </w:tc>
        <w:tc>
          <w:tcPr>
            <w:tcW w:w="120" w:type="pct"/>
          </w:tcPr>
          <w:p w14:paraId="134712B6" w14:textId="77777777" w:rsidR="00E37775" w:rsidRPr="0002261F" w:rsidRDefault="00E37775" w:rsidP="00182002">
            <w:pPr>
              <w:spacing w:line="276" w:lineRule="auto"/>
              <w:rPr>
                <w:rFonts w:ascii="Times New Roman" w:hAnsi="Times New Roman"/>
                <w:i/>
                <w:szCs w:val="24"/>
              </w:rPr>
            </w:pPr>
          </w:p>
        </w:tc>
      </w:tr>
      <w:tr w:rsidR="00E37775" w:rsidRPr="0002261F" w14:paraId="11941805" w14:textId="77777777" w:rsidTr="00182002">
        <w:tc>
          <w:tcPr>
            <w:tcW w:w="473" w:type="pct"/>
          </w:tcPr>
          <w:p w14:paraId="7284FB11" w14:textId="77777777" w:rsidR="00E37775" w:rsidRPr="0002261F" w:rsidRDefault="00E37775" w:rsidP="00182002">
            <w:pPr>
              <w:suppressAutoHyphens/>
              <w:autoSpaceDE w:val="0"/>
              <w:spacing w:line="276" w:lineRule="auto"/>
              <w:jc w:val="center"/>
              <w:rPr>
                <w:rFonts w:ascii="Times New Roman" w:hAnsi="Times New Roman"/>
                <w:szCs w:val="24"/>
                <w:lang w:eastAsia="zh-CN"/>
              </w:rPr>
            </w:pPr>
            <w:r w:rsidRPr="0002261F">
              <w:rPr>
                <w:rFonts w:ascii="Times New Roman" w:hAnsi="Times New Roman"/>
                <w:szCs w:val="24"/>
                <w:lang w:eastAsia="zh-CN"/>
              </w:rPr>
              <w:t>1.</w:t>
            </w:r>
          </w:p>
        </w:tc>
        <w:tc>
          <w:tcPr>
            <w:tcW w:w="4407" w:type="pct"/>
          </w:tcPr>
          <w:p w14:paraId="72A0AF9D" w14:textId="77777777" w:rsidR="00E37775" w:rsidRPr="00A63FFA" w:rsidRDefault="00E37775" w:rsidP="00182002">
            <w:pPr>
              <w:widowControl w:val="0"/>
              <w:tabs>
                <w:tab w:val="num" w:pos="993"/>
              </w:tabs>
              <w:suppressAutoHyphens/>
              <w:autoSpaceDE w:val="0"/>
              <w:adjustRightInd w:val="0"/>
              <w:spacing w:line="276" w:lineRule="auto"/>
              <w:jc w:val="both"/>
              <w:textAlignment w:val="baseline"/>
              <w:rPr>
                <w:rFonts w:ascii="Times New Roman" w:hAnsi="Times New Roman"/>
                <w:szCs w:val="24"/>
                <w:lang w:eastAsia="zh-CN"/>
              </w:rPr>
            </w:pPr>
            <w:r w:rsidRPr="00A63FFA">
              <w:rPr>
                <w:rFonts w:ascii="Times New Roman" w:hAnsi="Times New Roman"/>
                <w:szCs w:val="24"/>
                <w:lang w:eastAsia="zh-CN"/>
              </w:rPr>
              <w:t>Apdrošināšanas periods:</w:t>
            </w:r>
          </w:p>
        </w:tc>
        <w:tc>
          <w:tcPr>
            <w:tcW w:w="120" w:type="pct"/>
          </w:tcPr>
          <w:p w14:paraId="197DFE5E" w14:textId="77777777" w:rsidR="00E37775" w:rsidRPr="0002261F" w:rsidRDefault="00E37775" w:rsidP="00182002">
            <w:pPr>
              <w:spacing w:line="276" w:lineRule="auto"/>
              <w:rPr>
                <w:rFonts w:ascii="Times New Roman" w:hAnsi="Times New Roman"/>
                <w:i/>
                <w:szCs w:val="24"/>
              </w:rPr>
            </w:pPr>
          </w:p>
        </w:tc>
      </w:tr>
      <w:tr w:rsidR="00E37775" w:rsidRPr="0002261F" w14:paraId="36DF8999" w14:textId="77777777" w:rsidTr="00182002">
        <w:tc>
          <w:tcPr>
            <w:tcW w:w="473" w:type="pct"/>
          </w:tcPr>
          <w:p w14:paraId="796A304F" w14:textId="77777777" w:rsidR="00E37775" w:rsidRPr="0002261F" w:rsidRDefault="00E37775" w:rsidP="00182002">
            <w:pPr>
              <w:suppressAutoHyphens/>
              <w:autoSpaceDE w:val="0"/>
              <w:spacing w:line="276" w:lineRule="auto"/>
              <w:jc w:val="center"/>
              <w:rPr>
                <w:rFonts w:ascii="Times New Roman" w:hAnsi="Times New Roman"/>
                <w:szCs w:val="24"/>
                <w:lang w:eastAsia="zh-CN"/>
              </w:rPr>
            </w:pPr>
            <w:r w:rsidRPr="0002261F">
              <w:rPr>
                <w:rFonts w:ascii="Times New Roman" w:hAnsi="Times New Roman"/>
                <w:szCs w:val="24"/>
                <w:lang w:eastAsia="zh-CN"/>
              </w:rPr>
              <w:t>1.1.</w:t>
            </w:r>
          </w:p>
        </w:tc>
        <w:tc>
          <w:tcPr>
            <w:tcW w:w="4407" w:type="pct"/>
          </w:tcPr>
          <w:p w14:paraId="79CC4540" w14:textId="35DF2413" w:rsidR="00E37775" w:rsidRPr="00A63FFA" w:rsidRDefault="00E37775" w:rsidP="00182002">
            <w:pPr>
              <w:suppressAutoHyphens/>
              <w:autoSpaceDE w:val="0"/>
              <w:spacing w:line="276" w:lineRule="auto"/>
              <w:jc w:val="both"/>
              <w:rPr>
                <w:rFonts w:ascii="Times New Roman" w:hAnsi="Times New Roman"/>
                <w:szCs w:val="24"/>
                <w:lang w:eastAsia="zh-CN"/>
              </w:rPr>
            </w:pPr>
            <w:r w:rsidRPr="00A63FFA">
              <w:rPr>
                <w:rFonts w:ascii="Times New Roman" w:hAnsi="Times New Roman"/>
                <w:szCs w:val="24"/>
                <w:lang w:eastAsia="zh-CN"/>
              </w:rPr>
              <w:t>no 20</w:t>
            </w:r>
            <w:r w:rsidR="00182002" w:rsidRPr="00A63FFA">
              <w:rPr>
                <w:rFonts w:ascii="Times New Roman" w:hAnsi="Times New Roman"/>
                <w:szCs w:val="24"/>
                <w:lang w:eastAsia="zh-CN"/>
              </w:rPr>
              <w:t>21</w:t>
            </w:r>
            <w:r w:rsidRPr="00A63FFA">
              <w:rPr>
                <w:rFonts w:ascii="Times New Roman" w:hAnsi="Times New Roman"/>
                <w:szCs w:val="24"/>
                <w:lang w:eastAsia="zh-CN"/>
              </w:rPr>
              <w:t>.</w:t>
            </w:r>
            <w:r w:rsidR="00182002" w:rsidRPr="00A63FFA">
              <w:rPr>
                <w:rFonts w:ascii="Times New Roman" w:hAnsi="Times New Roman"/>
                <w:szCs w:val="24"/>
                <w:lang w:eastAsia="zh-CN"/>
              </w:rPr>
              <w:t> </w:t>
            </w:r>
            <w:r w:rsidRPr="00A63FFA">
              <w:rPr>
                <w:rFonts w:ascii="Times New Roman" w:hAnsi="Times New Roman"/>
                <w:szCs w:val="24"/>
                <w:lang w:eastAsia="zh-CN"/>
              </w:rPr>
              <w:t>gada 1</w:t>
            </w:r>
            <w:r w:rsidR="00182002" w:rsidRPr="00A63FFA">
              <w:rPr>
                <w:rFonts w:ascii="Times New Roman" w:hAnsi="Times New Roman"/>
                <w:szCs w:val="24"/>
                <w:lang w:eastAsia="zh-CN"/>
              </w:rPr>
              <w:t>. janvāra</w:t>
            </w:r>
            <w:r w:rsidRPr="00A63FFA">
              <w:rPr>
                <w:rFonts w:ascii="Times New Roman" w:hAnsi="Times New Roman"/>
                <w:szCs w:val="24"/>
                <w:lang w:eastAsia="zh-CN"/>
              </w:rPr>
              <w:t xml:space="preserve"> līdz 202</w:t>
            </w:r>
            <w:r w:rsidR="00182002" w:rsidRPr="00A63FFA">
              <w:rPr>
                <w:rFonts w:ascii="Times New Roman" w:hAnsi="Times New Roman"/>
                <w:szCs w:val="24"/>
                <w:lang w:eastAsia="zh-CN"/>
              </w:rPr>
              <w:t>1</w:t>
            </w:r>
            <w:r w:rsidRPr="00A63FFA">
              <w:rPr>
                <w:rFonts w:ascii="Times New Roman" w:hAnsi="Times New Roman"/>
                <w:szCs w:val="24"/>
                <w:lang w:eastAsia="zh-CN"/>
              </w:rPr>
              <w:t>. gada 31.</w:t>
            </w:r>
            <w:r w:rsidR="007134C8" w:rsidRPr="00A63FFA">
              <w:rPr>
                <w:rFonts w:ascii="Times New Roman" w:hAnsi="Times New Roman"/>
                <w:szCs w:val="24"/>
                <w:lang w:eastAsia="zh-CN"/>
              </w:rPr>
              <w:t> </w:t>
            </w:r>
            <w:r w:rsidRPr="00A63FFA">
              <w:rPr>
                <w:rFonts w:ascii="Times New Roman" w:hAnsi="Times New Roman"/>
                <w:szCs w:val="24"/>
                <w:lang w:eastAsia="zh-CN"/>
              </w:rPr>
              <w:t>decembrim.</w:t>
            </w:r>
          </w:p>
        </w:tc>
        <w:tc>
          <w:tcPr>
            <w:tcW w:w="120" w:type="pct"/>
          </w:tcPr>
          <w:p w14:paraId="2C89A083" w14:textId="77777777" w:rsidR="00E37775" w:rsidRPr="0002261F" w:rsidRDefault="00E37775" w:rsidP="00182002">
            <w:pPr>
              <w:spacing w:line="276" w:lineRule="auto"/>
              <w:rPr>
                <w:rFonts w:ascii="Times New Roman" w:hAnsi="Times New Roman"/>
                <w:i/>
                <w:szCs w:val="24"/>
              </w:rPr>
            </w:pPr>
          </w:p>
        </w:tc>
      </w:tr>
      <w:tr w:rsidR="00E37775" w:rsidRPr="0002261F" w14:paraId="2FA33BAF" w14:textId="77777777" w:rsidTr="00182002">
        <w:tc>
          <w:tcPr>
            <w:tcW w:w="473" w:type="pct"/>
          </w:tcPr>
          <w:p w14:paraId="38AE7B6A" w14:textId="77777777" w:rsidR="00E37775" w:rsidRPr="0002261F" w:rsidRDefault="00E37775" w:rsidP="00182002">
            <w:pPr>
              <w:suppressAutoHyphens/>
              <w:autoSpaceDE w:val="0"/>
              <w:spacing w:line="276" w:lineRule="auto"/>
              <w:jc w:val="center"/>
              <w:rPr>
                <w:rFonts w:ascii="Times New Roman" w:hAnsi="Times New Roman"/>
                <w:szCs w:val="24"/>
                <w:lang w:eastAsia="zh-CN"/>
              </w:rPr>
            </w:pPr>
            <w:r w:rsidRPr="0002261F">
              <w:rPr>
                <w:rFonts w:ascii="Times New Roman" w:hAnsi="Times New Roman"/>
                <w:szCs w:val="24"/>
                <w:lang w:eastAsia="zh-CN"/>
              </w:rPr>
              <w:t>1.</w:t>
            </w:r>
            <w:r w:rsidR="00182002">
              <w:rPr>
                <w:rFonts w:ascii="Times New Roman" w:hAnsi="Times New Roman"/>
                <w:szCs w:val="24"/>
                <w:lang w:eastAsia="zh-CN"/>
              </w:rPr>
              <w:t>2</w:t>
            </w:r>
            <w:r w:rsidRPr="0002261F">
              <w:rPr>
                <w:rFonts w:ascii="Times New Roman" w:hAnsi="Times New Roman"/>
                <w:szCs w:val="24"/>
                <w:lang w:eastAsia="zh-CN"/>
              </w:rPr>
              <w:t>.</w:t>
            </w:r>
          </w:p>
        </w:tc>
        <w:tc>
          <w:tcPr>
            <w:tcW w:w="4407" w:type="pct"/>
          </w:tcPr>
          <w:p w14:paraId="18C15A44" w14:textId="77777777" w:rsidR="00E37775" w:rsidRPr="00A63FFA" w:rsidRDefault="00E37775" w:rsidP="00182002">
            <w:pPr>
              <w:suppressAutoHyphens/>
              <w:autoSpaceDE w:val="0"/>
              <w:spacing w:line="276" w:lineRule="auto"/>
              <w:jc w:val="both"/>
              <w:rPr>
                <w:rFonts w:ascii="Times New Roman" w:hAnsi="Times New Roman"/>
                <w:szCs w:val="24"/>
                <w:lang w:eastAsia="zh-CN"/>
              </w:rPr>
            </w:pPr>
            <w:r w:rsidRPr="00A63FFA">
              <w:rPr>
                <w:rFonts w:ascii="Times New Roman" w:hAnsi="Times New Roman"/>
                <w:szCs w:val="24"/>
                <w:lang w:eastAsia="zh-CN"/>
              </w:rPr>
              <w:t>II.I sadaļas 1.2.</w:t>
            </w:r>
            <w:r w:rsidR="00182002" w:rsidRPr="00A63FFA">
              <w:rPr>
                <w:rFonts w:ascii="Times New Roman" w:hAnsi="Times New Roman"/>
                <w:szCs w:val="24"/>
                <w:lang w:eastAsia="zh-CN"/>
              </w:rPr>
              <w:t> </w:t>
            </w:r>
            <w:r w:rsidRPr="00A63FFA">
              <w:rPr>
                <w:rFonts w:ascii="Times New Roman" w:hAnsi="Times New Roman"/>
                <w:szCs w:val="24"/>
                <w:lang w:eastAsia="zh-CN"/>
              </w:rPr>
              <w:t xml:space="preserve">punktā norādītajiem apdrošināšanas objektiem: </w:t>
            </w:r>
            <w:r w:rsidRPr="00A63FFA">
              <w:rPr>
                <w:rFonts w:ascii="Times New Roman" w:hAnsi="Times New Roman"/>
                <w:b/>
                <w:szCs w:val="24"/>
                <w:lang w:eastAsia="zh-CN"/>
              </w:rPr>
              <w:t>no apdrošināmo transportlīdzekļu sarakstos norādītā plānotā piegādes datuma</w:t>
            </w:r>
            <w:r w:rsidRPr="00A63FFA">
              <w:rPr>
                <w:rFonts w:ascii="Times New Roman" w:hAnsi="Times New Roman"/>
                <w:szCs w:val="24"/>
                <w:lang w:eastAsia="zh-CN"/>
              </w:rPr>
              <w:t xml:space="preserve"> līdz 202</w:t>
            </w:r>
            <w:r w:rsidR="00182002" w:rsidRPr="00A63FFA">
              <w:rPr>
                <w:rFonts w:ascii="Times New Roman" w:hAnsi="Times New Roman"/>
                <w:szCs w:val="24"/>
                <w:lang w:eastAsia="zh-CN"/>
              </w:rPr>
              <w:t>1</w:t>
            </w:r>
            <w:r w:rsidRPr="00A63FFA">
              <w:rPr>
                <w:rFonts w:ascii="Times New Roman" w:hAnsi="Times New Roman"/>
                <w:szCs w:val="24"/>
                <w:lang w:eastAsia="zh-CN"/>
              </w:rPr>
              <w:t>.</w:t>
            </w:r>
            <w:r w:rsidR="00182002" w:rsidRPr="00A63FFA">
              <w:rPr>
                <w:rFonts w:ascii="Times New Roman" w:hAnsi="Times New Roman"/>
                <w:szCs w:val="24"/>
                <w:lang w:eastAsia="zh-CN"/>
              </w:rPr>
              <w:t> </w:t>
            </w:r>
            <w:r w:rsidRPr="00A63FFA">
              <w:rPr>
                <w:rFonts w:ascii="Times New Roman" w:hAnsi="Times New Roman"/>
                <w:szCs w:val="24"/>
                <w:lang w:eastAsia="zh-CN"/>
              </w:rPr>
              <w:t>gada 31.</w:t>
            </w:r>
            <w:r w:rsidR="00182002" w:rsidRPr="00A63FFA">
              <w:rPr>
                <w:rFonts w:ascii="Times New Roman" w:hAnsi="Times New Roman"/>
                <w:szCs w:val="24"/>
                <w:lang w:eastAsia="zh-CN"/>
              </w:rPr>
              <w:t> </w:t>
            </w:r>
            <w:r w:rsidRPr="00A63FFA">
              <w:rPr>
                <w:rFonts w:ascii="Times New Roman" w:hAnsi="Times New Roman"/>
                <w:szCs w:val="24"/>
                <w:lang w:eastAsia="zh-CN"/>
              </w:rPr>
              <w:t>decembrim.</w:t>
            </w:r>
          </w:p>
        </w:tc>
        <w:tc>
          <w:tcPr>
            <w:tcW w:w="120" w:type="pct"/>
          </w:tcPr>
          <w:p w14:paraId="4CB0A47D" w14:textId="77777777" w:rsidR="00E37775" w:rsidRPr="0002261F" w:rsidRDefault="00E37775" w:rsidP="00182002">
            <w:pPr>
              <w:spacing w:line="276" w:lineRule="auto"/>
              <w:rPr>
                <w:rFonts w:ascii="Times New Roman" w:hAnsi="Times New Roman"/>
                <w:i/>
                <w:szCs w:val="24"/>
              </w:rPr>
            </w:pPr>
          </w:p>
        </w:tc>
      </w:tr>
      <w:tr w:rsidR="00E37775" w:rsidRPr="0002261F" w14:paraId="50B0B0B8" w14:textId="77777777" w:rsidTr="00182002">
        <w:tc>
          <w:tcPr>
            <w:tcW w:w="473" w:type="pct"/>
          </w:tcPr>
          <w:p w14:paraId="24356E1C" w14:textId="77777777" w:rsidR="00E37775" w:rsidRPr="0002261F" w:rsidRDefault="00E37775" w:rsidP="00182002">
            <w:pPr>
              <w:suppressAutoHyphens/>
              <w:autoSpaceDE w:val="0"/>
              <w:spacing w:line="276" w:lineRule="auto"/>
              <w:jc w:val="center"/>
              <w:rPr>
                <w:rFonts w:ascii="Times New Roman" w:hAnsi="Times New Roman"/>
                <w:szCs w:val="24"/>
                <w:lang w:eastAsia="zh-CN"/>
              </w:rPr>
            </w:pPr>
            <w:r w:rsidRPr="0002261F">
              <w:rPr>
                <w:rFonts w:ascii="Times New Roman" w:hAnsi="Times New Roman"/>
                <w:szCs w:val="24"/>
                <w:lang w:eastAsia="zh-CN"/>
              </w:rPr>
              <w:lastRenderedPageBreak/>
              <w:t>2.</w:t>
            </w:r>
          </w:p>
        </w:tc>
        <w:tc>
          <w:tcPr>
            <w:tcW w:w="4407" w:type="pct"/>
          </w:tcPr>
          <w:p w14:paraId="30CDF13A"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Apdrošināšanas prēmijas apmaksa tiek veikta 5 (piecos) vienādos maksājumos ar 3 (trīs) mēnešu intervālu. Pirmais apdrošināšanas prēmijas maksājums tiek veikts 30 kalendāro dienu laikā no apdrošināšanas līguma noslēgšanas dienas.</w:t>
            </w:r>
          </w:p>
        </w:tc>
        <w:tc>
          <w:tcPr>
            <w:tcW w:w="120" w:type="pct"/>
          </w:tcPr>
          <w:p w14:paraId="67AC1BBB" w14:textId="77777777" w:rsidR="00E37775" w:rsidRPr="0002261F" w:rsidRDefault="00E37775" w:rsidP="00182002">
            <w:pPr>
              <w:spacing w:line="276" w:lineRule="auto"/>
              <w:rPr>
                <w:rFonts w:ascii="Times New Roman" w:hAnsi="Times New Roman"/>
                <w:i/>
                <w:szCs w:val="24"/>
              </w:rPr>
            </w:pPr>
          </w:p>
        </w:tc>
      </w:tr>
      <w:tr w:rsidR="00E37775" w:rsidRPr="0002261F" w14:paraId="0EFA87F2" w14:textId="77777777" w:rsidTr="00182002">
        <w:tc>
          <w:tcPr>
            <w:tcW w:w="473" w:type="pct"/>
          </w:tcPr>
          <w:p w14:paraId="2578703E" w14:textId="77777777" w:rsidR="00E37775" w:rsidRPr="0002261F" w:rsidRDefault="00E37775" w:rsidP="00182002">
            <w:pPr>
              <w:suppressAutoHyphens/>
              <w:autoSpaceDE w:val="0"/>
              <w:spacing w:line="276" w:lineRule="auto"/>
              <w:jc w:val="center"/>
              <w:rPr>
                <w:rFonts w:ascii="Times New Roman" w:hAnsi="Times New Roman"/>
                <w:szCs w:val="24"/>
                <w:lang w:eastAsia="zh-CN"/>
              </w:rPr>
            </w:pPr>
            <w:r w:rsidRPr="0002261F">
              <w:rPr>
                <w:rFonts w:ascii="Times New Roman" w:hAnsi="Times New Roman"/>
                <w:szCs w:val="24"/>
                <w:lang w:eastAsia="zh-CN"/>
              </w:rPr>
              <w:t xml:space="preserve">3. </w:t>
            </w:r>
          </w:p>
        </w:tc>
        <w:tc>
          <w:tcPr>
            <w:tcW w:w="4407" w:type="pct"/>
          </w:tcPr>
          <w:p w14:paraId="1876B57F" w14:textId="77777777" w:rsidR="00E37775" w:rsidRPr="0002261F" w:rsidRDefault="00E37775" w:rsidP="00182002">
            <w:pPr>
              <w:widowControl w:val="0"/>
              <w:tabs>
                <w:tab w:val="num" w:pos="993"/>
              </w:tabs>
              <w:suppressAutoHyphens/>
              <w:autoSpaceDE w:val="0"/>
              <w:adjustRightInd w:val="0"/>
              <w:spacing w:line="276" w:lineRule="auto"/>
              <w:jc w:val="both"/>
              <w:textAlignment w:val="baseline"/>
              <w:rPr>
                <w:rFonts w:ascii="Times New Roman" w:hAnsi="Times New Roman"/>
                <w:szCs w:val="24"/>
                <w:lang w:eastAsia="zh-CN"/>
              </w:rPr>
            </w:pPr>
            <w:r w:rsidRPr="0002261F">
              <w:rPr>
                <w:rFonts w:ascii="Times New Roman" w:hAnsi="Times New Roman"/>
                <w:szCs w:val="24"/>
                <w:lang w:eastAsia="zh-CN"/>
              </w:rPr>
              <w:t>Apdrošināšanas prēmijas apmaksa par objektiem, kuru apdrošināšana uzsākta apdrošināšanas perioda laikā, tiek veikta vienādos maksājumos atbilstoši 2. punktā noteiktajam  maksājumu grafikam.</w:t>
            </w:r>
          </w:p>
        </w:tc>
        <w:tc>
          <w:tcPr>
            <w:tcW w:w="120" w:type="pct"/>
          </w:tcPr>
          <w:p w14:paraId="1D1D7ABE" w14:textId="77777777" w:rsidR="00E37775" w:rsidRPr="0002261F" w:rsidRDefault="00E37775" w:rsidP="00182002">
            <w:pPr>
              <w:spacing w:line="276" w:lineRule="auto"/>
              <w:rPr>
                <w:rFonts w:ascii="Times New Roman" w:hAnsi="Times New Roman"/>
                <w:i/>
                <w:szCs w:val="24"/>
              </w:rPr>
            </w:pPr>
          </w:p>
        </w:tc>
      </w:tr>
      <w:tr w:rsidR="00E37775" w:rsidRPr="0002261F" w14:paraId="76E515B0" w14:textId="77777777" w:rsidTr="00182002">
        <w:tc>
          <w:tcPr>
            <w:tcW w:w="473" w:type="pct"/>
          </w:tcPr>
          <w:p w14:paraId="3C3DF5E1" w14:textId="77777777" w:rsidR="00E37775" w:rsidRPr="0002261F" w:rsidRDefault="00E37775" w:rsidP="00182002">
            <w:pPr>
              <w:suppressAutoHyphens/>
              <w:autoSpaceDE w:val="0"/>
              <w:spacing w:line="276" w:lineRule="auto"/>
              <w:jc w:val="center"/>
              <w:rPr>
                <w:rFonts w:ascii="Times New Roman" w:hAnsi="Times New Roman"/>
                <w:szCs w:val="24"/>
                <w:lang w:eastAsia="zh-CN"/>
              </w:rPr>
            </w:pPr>
            <w:r w:rsidRPr="0002261F">
              <w:rPr>
                <w:rFonts w:ascii="Times New Roman" w:hAnsi="Times New Roman"/>
                <w:szCs w:val="24"/>
                <w:lang w:eastAsia="zh-CN"/>
              </w:rPr>
              <w:t>4.</w:t>
            </w:r>
          </w:p>
        </w:tc>
        <w:tc>
          <w:tcPr>
            <w:tcW w:w="4407" w:type="pct"/>
          </w:tcPr>
          <w:p w14:paraId="300E7D99" w14:textId="77777777" w:rsidR="00E37775" w:rsidRPr="0002261F" w:rsidRDefault="00E37775" w:rsidP="00182002">
            <w:pPr>
              <w:widowControl w:val="0"/>
              <w:tabs>
                <w:tab w:val="num" w:pos="993"/>
              </w:tabs>
              <w:suppressAutoHyphens/>
              <w:autoSpaceDE w:val="0"/>
              <w:adjustRightInd w:val="0"/>
              <w:spacing w:line="276" w:lineRule="auto"/>
              <w:jc w:val="both"/>
              <w:textAlignment w:val="baseline"/>
              <w:rPr>
                <w:rFonts w:ascii="Times New Roman" w:hAnsi="Times New Roman"/>
                <w:szCs w:val="24"/>
                <w:lang w:eastAsia="zh-CN"/>
              </w:rPr>
            </w:pPr>
            <w:r w:rsidRPr="0002261F">
              <w:rPr>
                <w:rFonts w:ascii="Times New Roman" w:hAnsi="Times New Roman"/>
                <w:szCs w:val="24"/>
                <w:lang w:eastAsia="zh-CN"/>
              </w:rPr>
              <w:t>Izmaiņas īpašumtiesībās  neietekmē apdrošināšanas līguma spēkā esamību vai tās apjomu, ja šādas izmaiņas notiek starp apdrošinājuma ņēmēju / objekta īpašnieku / kredītiestādēm.</w:t>
            </w:r>
          </w:p>
        </w:tc>
        <w:tc>
          <w:tcPr>
            <w:tcW w:w="120" w:type="pct"/>
          </w:tcPr>
          <w:p w14:paraId="36F52DA6" w14:textId="77777777" w:rsidR="00E37775" w:rsidRPr="0002261F" w:rsidRDefault="00E37775" w:rsidP="00182002">
            <w:pPr>
              <w:spacing w:line="276" w:lineRule="auto"/>
              <w:rPr>
                <w:rFonts w:ascii="Times New Roman" w:hAnsi="Times New Roman"/>
                <w:i/>
                <w:szCs w:val="24"/>
              </w:rPr>
            </w:pPr>
          </w:p>
        </w:tc>
      </w:tr>
      <w:tr w:rsidR="00E37775" w:rsidRPr="0002261F" w14:paraId="2C896D9A" w14:textId="77777777" w:rsidTr="00182002">
        <w:tc>
          <w:tcPr>
            <w:tcW w:w="473" w:type="pct"/>
          </w:tcPr>
          <w:p w14:paraId="4D7DFFB7" w14:textId="77777777" w:rsidR="00E37775" w:rsidRPr="0002261F" w:rsidRDefault="00E37775" w:rsidP="00182002">
            <w:pPr>
              <w:suppressAutoHyphens/>
              <w:autoSpaceDE w:val="0"/>
              <w:spacing w:line="276" w:lineRule="auto"/>
              <w:jc w:val="center"/>
              <w:rPr>
                <w:rFonts w:ascii="Times New Roman" w:hAnsi="Times New Roman"/>
                <w:szCs w:val="24"/>
                <w:lang w:eastAsia="zh-CN"/>
              </w:rPr>
            </w:pPr>
            <w:r w:rsidRPr="0002261F">
              <w:rPr>
                <w:rFonts w:ascii="Times New Roman" w:hAnsi="Times New Roman"/>
                <w:szCs w:val="24"/>
                <w:lang w:eastAsia="zh-CN"/>
              </w:rPr>
              <w:t>5.</w:t>
            </w:r>
          </w:p>
        </w:tc>
        <w:tc>
          <w:tcPr>
            <w:tcW w:w="4407" w:type="pct"/>
          </w:tcPr>
          <w:p w14:paraId="75C7F634" w14:textId="77777777" w:rsidR="00E37775" w:rsidRPr="0002261F" w:rsidRDefault="00E37775" w:rsidP="00182002">
            <w:pPr>
              <w:widowControl w:val="0"/>
              <w:tabs>
                <w:tab w:val="num" w:pos="993"/>
              </w:tabs>
              <w:suppressAutoHyphens/>
              <w:autoSpaceDE w:val="0"/>
              <w:adjustRightInd w:val="0"/>
              <w:spacing w:line="276" w:lineRule="auto"/>
              <w:jc w:val="both"/>
              <w:textAlignment w:val="baseline"/>
              <w:rPr>
                <w:rFonts w:ascii="Times New Roman" w:hAnsi="Times New Roman"/>
                <w:szCs w:val="24"/>
                <w:lang w:eastAsia="zh-CN"/>
              </w:rPr>
            </w:pPr>
            <w:r w:rsidRPr="0002261F">
              <w:rPr>
                <w:rFonts w:ascii="Times New Roman" w:hAnsi="Times New Roman"/>
                <w:szCs w:val="24"/>
                <w:lang w:eastAsia="zh-CN"/>
              </w:rPr>
              <w:t>Ja apdrošināšanas līgums tiek pārtraukts pēc apdrošināšanas pakalpojumu sniedzēja iniciatīvas, pasūtītājam atmaksājamā prēmijas daļa tiek aprēķināta tieši proporcionāli atlikušajam polises darbības periodam, neatkarīgi no pieteikto un/vai izmaksāto apdrošināšanas atlīdzību summas, kā arī neieturot jebkādus apdrošināšanas pakalpojumu sniedzēja administratīvos izdevumus.</w:t>
            </w:r>
          </w:p>
        </w:tc>
        <w:tc>
          <w:tcPr>
            <w:tcW w:w="120" w:type="pct"/>
          </w:tcPr>
          <w:p w14:paraId="133D2A38" w14:textId="77777777" w:rsidR="00E37775" w:rsidRPr="0002261F" w:rsidRDefault="00E37775" w:rsidP="00182002">
            <w:pPr>
              <w:spacing w:line="276" w:lineRule="auto"/>
              <w:rPr>
                <w:rFonts w:ascii="Times New Roman" w:hAnsi="Times New Roman"/>
                <w:i/>
                <w:szCs w:val="24"/>
              </w:rPr>
            </w:pPr>
          </w:p>
        </w:tc>
      </w:tr>
      <w:tr w:rsidR="00E37775" w:rsidRPr="0002261F" w14:paraId="68B83A8E" w14:textId="77777777" w:rsidTr="00182002">
        <w:tc>
          <w:tcPr>
            <w:tcW w:w="473" w:type="pct"/>
          </w:tcPr>
          <w:p w14:paraId="2F3E7CD2" w14:textId="77777777" w:rsidR="00E37775" w:rsidRPr="0002261F" w:rsidRDefault="00E37775" w:rsidP="00182002">
            <w:pPr>
              <w:spacing w:line="276" w:lineRule="auto"/>
              <w:jc w:val="center"/>
              <w:rPr>
                <w:rFonts w:ascii="Times New Roman" w:hAnsi="Times New Roman"/>
                <w:szCs w:val="24"/>
              </w:rPr>
            </w:pPr>
            <w:r w:rsidRPr="0002261F">
              <w:rPr>
                <w:rFonts w:ascii="Times New Roman" w:hAnsi="Times New Roman"/>
                <w:szCs w:val="24"/>
              </w:rPr>
              <w:t>6.</w:t>
            </w:r>
          </w:p>
        </w:tc>
        <w:tc>
          <w:tcPr>
            <w:tcW w:w="4407" w:type="pct"/>
          </w:tcPr>
          <w:p w14:paraId="0B474FE5" w14:textId="77777777" w:rsidR="00E37775" w:rsidRPr="0002261F" w:rsidRDefault="00E37775" w:rsidP="00182002">
            <w:pPr>
              <w:suppressAutoHyphens/>
              <w:autoSpaceDE w:val="0"/>
              <w:spacing w:line="276" w:lineRule="auto"/>
              <w:jc w:val="both"/>
              <w:rPr>
                <w:rFonts w:ascii="Times New Roman" w:hAnsi="Times New Roman"/>
                <w:szCs w:val="24"/>
                <w:lang w:eastAsia="zh-CN"/>
              </w:rPr>
            </w:pPr>
            <w:r w:rsidRPr="0002261F">
              <w:rPr>
                <w:rFonts w:ascii="Times New Roman" w:hAnsi="Times New Roman"/>
                <w:szCs w:val="24"/>
                <w:lang w:eastAsia="zh-CN"/>
              </w:rPr>
              <w:t xml:space="preserve">Attiecībā uz Pasūtītāja norādītajiem objektiem, uz kuriem ir nostiprināta ķīla par labu </w:t>
            </w:r>
            <w:proofErr w:type="spellStart"/>
            <w:r w:rsidRPr="0002261F">
              <w:rPr>
                <w:rFonts w:ascii="Times New Roman" w:hAnsi="Times New Roman"/>
                <w:szCs w:val="24"/>
                <w:lang w:eastAsia="zh-CN"/>
              </w:rPr>
              <w:t>kredītdevējam</w:t>
            </w:r>
            <w:proofErr w:type="spellEnd"/>
            <w:r w:rsidRPr="0002261F">
              <w:rPr>
                <w:rFonts w:ascii="Times New Roman" w:hAnsi="Times New Roman"/>
                <w:szCs w:val="24"/>
                <w:lang w:eastAsia="zh-CN"/>
              </w:rPr>
              <w:t>, polisē pēc Pasūtītāja norādījuma tiks ietverta atruna par kredītiestādes pirmtiesībām saņemt apdrošināšanas atlīdzību nenokārtoto kredītsaistību apmērā.</w:t>
            </w:r>
          </w:p>
        </w:tc>
        <w:tc>
          <w:tcPr>
            <w:tcW w:w="120" w:type="pct"/>
          </w:tcPr>
          <w:p w14:paraId="49D0C23B" w14:textId="77777777" w:rsidR="00E37775" w:rsidRPr="0002261F" w:rsidRDefault="00E37775" w:rsidP="00182002">
            <w:pPr>
              <w:spacing w:line="276" w:lineRule="auto"/>
              <w:rPr>
                <w:rFonts w:ascii="Times New Roman" w:hAnsi="Times New Roman"/>
                <w:i/>
                <w:szCs w:val="24"/>
              </w:rPr>
            </w:pPr>
          </w:p>
        </w:tc>
      </w:tr>
      <w:bookmarkEnd w:id="0"/>
    </w:tbl>
    <w:p w14:paraId="7EAB53B7" w14:textId="77777777" w:rsidR="00E37775" w:rsidRPr="0002261F" w:rsidRDefault="00E37775" w:rsidP="00182002">
      <w:pPr>
        <w:spacing w:line="276" w:lineRule="auto"/>
        <w:rPr>
          <w:rFonts w:ascii="Times New Roman" w:hAnsi="Times New Roman"/>
          <w:b/>
          <w:bCs/>
          <w:szCs w:val="24"/>
        </w:rPr>
      </w:pPr>
    </w:p>
    <w:sectPr w:rsidR="00E37775" w:rsidRPr="0002261F" w:rsidSect="00182002">
      <w:foot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4F7D4" w14:textId="77777777" w:rsidR="00F106CC" w:rsidRDefault="00F106CC" w:rsidP="00033B30">
      <w:r>
        <w:separator/>
      </w:r>
    </w:p>
  </w:endnote>
  <w:endnote w:type="continuationSeparator" w:id="0">
    <w:p w14:paraId="1E7AB6FF" w14:textId="77777777" w:rsidR="00F106CC" w:rsidRDefault="00F106CC" w:rsidP="00033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altName w:val="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398FD" w14:textId="77777777" w:rsidR="00182002" w:rsidRPr="00182002" w:rsidRDefault="00182002">
    <w:pPr>
      <w:pStyle w:val="Footer"/>
      <w:jc w:val="center"/>
      <w:rPr>
        <w:rFonts w:ascii="Times New Roman" w:hAnsi="Times New Roman"/>
      </w:rPr>
    </w:pPr>
    <w:r w:rsidRPr="00182002">
      <w:rPr>
        <w:rFonts w:ascii="Times New Roman" w:hAnsi="Times New Roman"/>
        <w:szCs w:val="24"/>
      </w:rPr>
      <w:fldChar w:fldCharType="begin"/>
    </w:r>
    <w:r w:rsidRPr="00182002">
      <w:rPr>
        <w:rFonts w:ascii="Times New Roman" w:hAnsi="Times New Roman"/>
      </w:rPr>
      <w:instrText xml:space="preserve"> PAGE </w:instrText>
    </w:r>
    <w:r w:rsidRPr="00182002">
      <w:rPr>
        <w:rFonts w:ascii="Times New Roman" w:hAnsi="Times New Roman"/>
        <w:szCs w:val="24"/>
      </w:rPr>
      <w:fldChar w:fldCharType="separate"/>
    </w:r>
    <w:r w:rsidRPr="00182002">
      <w:rPr>
        <w:rFonts w:ascii="Times New Roman" w:hAnsi="Times New Roman"/>
        <w:noProof/>
      </w:rPr>
      <w:t>2</w:t>
    </w:r>
    <w:r w:rsidRPr="00182002">
      <w:rPr>
        <w:rFonts w:ascii="Times New Roman" w:hAnsi="Times New Roman"/>
        <w:szCs w:val="24"/>
      </w:rPr>
      <w:fldChar w:fldCharType="end"/>
    </w:r>
    <w:r w:rsidRPr="00182002">
      <w:rPr>
        <w:rFonts w:ascii="Times New Roman" w:hAnsi="Times New Roman"/>
      </w:rPr>
      <w:t xml:space="preserve"> no </w:t>
    </w:r>
    <w:r w:rsidRPr="00182002">
      <w:rPr>
        <w:rFonts w:ascii="Times New Roman" w:hAnsi="Times New Roman"/>
        <w:szCs w:val="24"/>
      </w:rPr>
      <w:fldChar w:fldCharType="begin"/>
    </w:r>
    <w:r w:rsidRPr="00182002">
      <w:rPr>
        <w:rFonts w:ascii="Times New Roman" w:hAnsi="Times New Roman"/>
      </w:rPr>
      <w:instrText xml:space="preserve"> NUMPAGES  </w:instrText>
    </w:r>
    <w:r w:rsidRPr="00182002">
      <w:rPr>
        <w:rFonts w:ascii="Times New Roman" w:hAnsi="Times New Roman"/>
        <w:szCs w:val="24"/>
      </w:rPr>
      <w:fldChar w:fldCharType="separate"/>
    </w:r>
    <w:r w:rsidRPr="00182002">
      <w:rPr>
        <w:rFonts w:ascii="Times New Roman" w:hAnsi="Times New Roman"/>
        <w:noProof/>
      </w:rPr>
      <w:t>2</w:t>
    </w:r>
    <w:r w:rsidRPr="00182002">
      <w:rPr>
        <w:rFonts w:ascii="Times New Roman" w:hAnsi="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6AD68" w14:textId="77777777" w:rsidR="00F106CC" w:rsidRDefault="00F106CC" w:rsidP="00033B30">
      <w:r>
        <w:separator/>
      </w:r>
    </w:p>
  </w:footnote>
  <w:footnote w:type="continuationSeparator" w:id="0">
    <w:p w14:paraId="5EFB279D" w14:textId="77777777" w:rsidR="00F106CC" w:rsidRDefault="00F106CC" w:rsidP="00033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20892"/>
    <w:multiLevelType w:val="multilevel"/>
    <w:tmpl w:val="78888540"/>
    <w:lvl w:ilvl="0">
      <w:start w:val="1"/>
      <w:numFmt w:val="decimal"/>
      <w:lvlText w:val="%1."/>
      <w:lvlJc w:val="left"/>
      <w:pPr>
        <w:ind w:left="720" w:hanging="360"/>
      </w:pPr>
      <w:rPr>
        <w:rFonts w:ascii="Times New Roman" w:hAnsi="Times New Roman"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50435353"/>
    <w:multiLevelType w:val="multilevel"/>
    <w:tmpl w:val="8F7E4E0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B30"/>
    <w:rsid w:val="0002261F"/>
    <w:rsid w:val="00033B30"/>
    <w:rsid w:val="00074B7F"/>
    <w:rsid w:val="00076E1A"/>
    <w:rsid w:val="000A3D3C"/>
    <w:rsid w:val="000C30C1"/>
    <w:rsid w:val="000C7A70"/>
    <w:rsid w:val="000D6788"/>
    <w:rsid w:val="00100971"/>
    <w:rsid w:val="00106FD1"/>
    <w:rsid w:val="001203C0"/>
    <w:rsid w:val="00144DC5"/>
    <w:rsid w:val="00182002"/>
    <w:rsid w:val="001A34FE"/>
    <w:rsid w:val="002550F5"/>
    <w:rsid w:val="002A62F3"/>
    <w:rsid w:val="002A7FD6"/>
    <w:rsid w:val="002B5ECA"/>
    <w:rsid w:val="002F0190"/>
    <w:rsid w:val="00302747"/>
    <w:rsid w:val="003069DF"/>
    <w:rsid w:val="00350B9A"/>
    <w:rsid w:val="003B585B"/>
    <w:rsid w:val="00417183"/>
    <w:rsid w:val="004711A6"/>
    <w:rsid w:val="004917DC"/>
    <w:rsid w:val="004E25B4"/>
    <w:rsid w:val="00520BB1"/>
    <w:rsid w:val="00542862"/>
    <w:rsid w:val="00566534"/>
    <w:rsid w:val="00577E63"/>
    <w:rsid w:val="005C0146"/>
    <w:rsid w:val="00621A15"/>
    <w:rsid w:val="0064140A"/>
    <w:rsid w:val="006731E2"/>
    <w:rsid w:val="0069457D"/>
    <w:rsid w:val="006E441D"/>
    <w:rsid w:val="006F0BCB"/>
    <w:rsid w:val="00703202"/>
    <w:rsid w:val="007134C8"/>
    <w:rsid w:val="00725701"/>
    <w:rsid w:val="00732C1F"/>
    <w:rsid w:val="00741A26"/>
    <w:rsid w:val="007425BF"/>
    <w:rsid w:val="007A253C"/>
    <w:rsid w:val="007E6DEE"/>
    <w:rsid w:val="008130EF"/>
    <w:rsid w:val="00840781"/>
    <w:rsid w:val="00864C30"/>
    <w:rsid w:val="00897233"/>
    <w:rsid w:val="008C3DBC"/>
    <w:rsid w:val="008D2FF9"/>
    <w:rsid w:val="008D57F7"/>
    <w:rsid w:val="00906691"/>
    <w:rsid w:val="009125C2"/>
    <w:rsid w:val="00970257"/>
    <w:rsid w:val="00984CC6"/>
    <w:rsid w:val="009853E2"/>
    <w:rsid w:val="009A49DE"/>
    <w:rsid w:val="009F042F"/>
    <w:rsid w:val="009F4CA7"/>
    <w:rsid w:val="00A0367C"/>
    <w:rsid w:val="00A47F3E"/>
    <w:rsid w:val="00A61A85"/>
    <w:rsid w:val="00A63FFA"/>
    <w:rsid w:val="00A92428"/>
    <w:rsid w:val="00AB24F1"/>
    <w:rsid w:val="00AD5D46"/>
    <w:rsid w:val="00B016A5"/>
    <w:rsid w:val="00B33D02"/>
    <w:rsid w:val="00B502E4"/>
    <w:rsid w:val="00B963F8"/>
    <w:rsid w:val="00BA3F0B"/>
    <w:rsid w:val="00BA4479"/>
    <w:rsid w:val="00BE5C9D"/>
    <w:rsid w:val="00C10877"/>
    <w:rsid w:val="00C11BA5"/>
    <w:rsid w:val="00C81CFA"/>
    <w:rsid w:val="00CC3879"/>
    <w:rsid w:val="00CE1735"/>
    <w:rsid w:val="00D06047"/>
    <w:rsid w:val="00D0774A"/>
    <w:rsid w:val="00D16C23"/>
    <w:rsid w:val="00D56CB7"/>
    <w:rsid w:val="00DA19AE"/>
    <w:rsid w:val="00DD4AD8"/>
    <w:rsid w:val="00DF08AE"/>
    <w:rsid w:val="00E07D42"/>
    <w:rsid w:val="00E37775"/>
    <w:rsid w:val="00ED17D2"/>
    <w:rsid w:val="00EE4201"/>
    <w:rsid w:val="00F106CC"/>
    <w:rsid w:val="00F16EE9"/>
    <w:rsid w:val="00F332C5"/>
    <w:rsid w:val="00F77CB4"/>
    <w:rsid w:val="00F87D21"/>
    <w:rsid w:val="00FC636E"/>
    <w:rsid w:val="00FE2321"/>
    <w:rsid w:val="00FE3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70B08"/>
  <w15:chartTrackingRefBased/>
  <w15:docId w15:val="{4773FFC6-6C30-41B6-A9D6-F522B2E88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33B30"/>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3B30"/>
    <w:pPr>
      <w:tabs>
        <w:tab w:val="center" w:pos="4153"/>
        <w:tab w:val="right" w:pos="8306"/>
      </w:tabs>
    </w:pPr>
  </w:style>
  <w:style w:type="character" w:customStyle="1" w:styleId="HeaderChar">
    <w:name w:val="Header Char"/>
    <w:link w:val="Header"/>
    <w:uiPriority w:val="99"/>
    <w:rsid w:val="00033B30"/>
    <w:rPr>
      <w:rFonts w:ascii="Arial" w:eastAsia="Times New Roman" w:hAnsi="Arial" w:cs="Times New Roman"/>
      <w:sz w:val="24"/>
      <w:szCs w:val="20"/>
    </w:rPr>
  </w:style>
  <w:style w:type="paragraph" w:styleId="Footer">
    <w:name w:val="footer"/>
    <w:basedOn w:val="Normal"/>
    <w:link w:val="FooterChar"/>
    <w:uiPriority w:val="99"/>
    <w:unhideWhenUsed/>
    <w:rsid w:val="00033B30"/>
    <w:pPr>
      <w:tabs>
        <w:tab w:val="center" w:pos="4153"/>
        <w:tab w:val="right" w:pos="8306"/>
      </w:tabs>
    </w:pPr>
  </w:style>
  <w:style w:type="character" w:customStyle="1" w:styleId="FooterChar">
    <w:name w:val="Footer Char"/>
    <w:link w:val="Footer"/>
    <w:uiPriority w:val="99"/>
    <w:rsid w:val="00033B30"/>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0C7A70"/>
    <w:rPr>
      <w:rFonts w:ascii="Segoe UI" w:hAnsi="Segoe UI" w:cs="Segoe UI"/>
      <w:sz w:val="18"/>
      <w:szCs w:val="18"/>
    </w:rPr>
  </w:style>
  <w:style w:type="character" w:customStyle="1" w:styleId="BalloonTextChar">
    <w:name w:val="Balloon Text Char"/>
    <w:link w:val="BalloonText"/>
    <w:uiPriority w:val="99"/>
    <w:semiHidden/>
    <w:rsid w:val="000C7A70"/>
    <w:rPr>
      <w:rFonts w:ascii="Segoe UI" w:eastAsia="Times New Roman" w:hAnsi="Segoe UI" w:cs="Segoe UI"/>
      <w:sz w:val="18"/>
      <w:szCs w:val="18"/>
    </w:rPr>
  </w:style>
  <w:style w:type="table" w:styleId="TableGrid">
    <w:name w:val="Table Grid"/>
    <w:basedOn w:val="TableNormal"/>
    <w:uiPriority w:val="39"/>
    <w:rsid w:val="00306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
    <w:basedOn w:val="Normal"/>
    <w:link w:val="ListParagraphChar"/>
    <w:uiPriority w:val="34"/>
    <w:qFormat/>
    <w:rsid w:val="00E37775"/>
    <w:pPr>
      <w:ind w:left="720"/>
    </w:pPr>
    <w:rPr>
      <w:rFonts w:ascii="Calibri" w:eastAsia="Calibri" w:hAnsi="Calibri" w:cs="Calibri"/>
      <w:sz w:val="22"/>
      <w:szCs w:val="22"/>
      <w:lang w:val="en-US"/>
    </w:rPr>
  </w:style>
  <w:style w:type="character" w:customStyle="1" w:styleId="ListParagraphChar">
    <w:name w:val="List Paragraph Char"/>
    <w:aliases w:val="2 Char"/>
    <w:link w:val="ListParagraph"/>
    <w:uiPriority w:val="34"/>
    <w:rsid w:val="00E37775"/>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A99682F1AE72FD41AC9DC559A02B9CB1" ma:contentTypeVersion="10" ma:contentTypeDescription="Izveidot jaunu dokumentu." ma:contentTypeScope="" ma:versionID="61c29b377b884191e063926a47bea8f9">
  <xsd:schema xmlns:xsd="http://www.w3.org/2001/XMLSchema" xmlns:xs="http://www.w3.org/2001/XMLSchema" xmlns:p="http://schemas.microsoft.com/office/2006/metadata/properties" xmlns:ns3="d9579869-82f1-4f80-8f24-9589b63f6bab" targetNamespace="http://schemas.microsoft.com/office/2006/metadata/properties" ma:root="true" ma:fieldsID="fa6e061e79e2212e893808683856dba0" ns3:_="">
    <xsd:import namespace="d9579869-82f1-4f80-8f24-9589b63f6ba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79869-82f1-4f80-8f24-9589b63f6b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CAFD3-C7BE-448A-934C-7633FC5BD112}">
  <ds:schemaRefs>
    <ds:schemaRef ds:uri="http://schemas.microsoft.com/sharepoint/v3/contenttype/forms"/>
  </ds:schemaRefs>
</ds:datastoreItem>
</file>

<file path=customXml/itemProps2.xml><?xml version="1.0" encoding="utf-8"?>
<ds:datastoreItem xmlns:ds="http://schemas.openxmlformats.org/officeDocument/2006/customXml" ds:itemID="{560DC499-2C79-47A2-A75A-925E807A19D8}">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d9579869-82f1-4f80-8f24-9589b63f6bab"/>
  </ds:schemaRefs>
</ds:datastoreItem>
</file>

<file path=customXml/itemProps3.xml><?xml version="1.0" encoding="utf-8"?>
<ds:datastoreItem xmlns:ds="http://schemas.openxmlformats.org/officeDocument/2006/customXml" ds:itemID="{F73EE363-AD0E-42C4-AEC8-20D1A939B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79869-82f1-4f80-8f24-9589b63f6b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BA8C97-D5A1-47D1-8B46-49240741C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16276</Words>
  <Characters>9278</Characters>
  <Application>Microsoft Office Word</Application>
  <DocSecurity>0</DocSecurity>
  <Lines>77</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Šmite</dc:creator>
  <cp:keywords/>
  <dc:description/>
  <cp:lastModifiedBy>Artūrs Kurbatovs</cp:lastModifiedBy>
  <cp:revision>4</cp:revision>
  <cp:lastPrinted>2019-08-27T09:46:00Z</cp:lastPrinted>
  <dcterms:created xsi:type="dcterms:W3CDTF">2020-11-05T10:53:00Z</dcterms:created>
  <dcterms:modified xsi:type="dcterms:W3CDTF">2020-11-25T12:52:00Z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0x010100A99682F1AE72FD41AC9DC559A02B9CB1</vt:lpwstr>
  </property>
</Properties>
</file>