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59BECF3B" w:rsidR="005D1BC8" w:rsidRPr="00D44FF2" w:rsidRDefault="002D092E" w:rsidP="00CA0B44">
      <w:pPr>
        <w:tabs>
          <w:tab w:val="center" w:pos="4677"/>
          <w:tab w:val="left" w:pos="751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E27A1" w:rsidRPr="00D44FF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5D1BC8" w:rsidRPr="00D44FF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FE8EA6A" w14:textId="77777777" w:rsidR="00900162" w:rsidRPr="00900162" w:rsidRDefault="00900162" w:rsidP="0090016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01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Karbamīda šķīduma (</w:t>
      </w:r>
      <w:proofErr w:type="spellStart"/>
      <w:r w:rsidRPr="009001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AdBlue</w:t>
      </w:r>
      <w:proofErr w:type="spellEnd"/>
      <w:r w:rsidRPr="009001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®) piegāde</w:t>
      </w:r>
    </w:p>
    <w:p w14:paraId="437648C3" w14:textId="6D494BAC" w:rsidR="005D1BC8" w:rsidRPr="00D44FF2" w:rsidRDefault="005D1BC8" w:rsidP="00B65B6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44FF2">
        <w:rPr>
          <w:rFonts w:ascii="Times New Roman" w:hAnsi="Times New Roman" w:cs="Times New Roman"/>
          <w:sz w:val="24"/>
          <w:szCs w:val="24"/>
        </w:rPr>
        <w:t>Datums:</w:t>
      </w:r>
      <w:r w:rsidR="00564EDA" w:rsidRPr="00D44FF2">
        <w:rPr>
          <w:rFonts w:ascii="Times New Roman" w:hAnsi="Times New Roman" w:cs="Times New Roman"/>
          <w:sz w:val="24"/>
          <w:szCs w:val="24"/>
        </w:rPr>
        <w:t xml:space="preserve"> 202</w:t>
      </w:r>
      <w:r w:rsidR="00900162">
        <w:rPr>
          <w:rFonts w:ascii="Times New Roman" w:hAnsi="Times New Roman" w:cs="Times New Roman"/>
          <w:sz w:val="24"/>
          <w:szCs w:val="24"/>
        </w:rPr>
        <w:t>5</w:t>
      </w:r>
      <w:r w:rsidR="00564EDA" w:rsidRPr="00D44FF2">
        <w:rPr>
          <w:rFonts w:ascii="Times New Roman" w:hAnsi="Times New Roman" w:cs="Times New Roman"/>
          <w:sz w:val="24"/>
          <w:szCs w:val="24"/>
        </w:rPr>
        <w:t>. gada</w:t>
      </w:r>
      <w:r w:rsidR="00602EEA" w:rsidRPr="00D44FF2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D44FF2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D44FF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D44FF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D44FF2" w:rsidRDefault="009213FC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D44FF2" w:rsidRDefault="005D1BC8" w:rsidP="00CA0B44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D44FF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D44FF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D44FF2" w:rsidRDefault="00C14811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D44FF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D44FF2" w:rsidRDefault="00A3675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D44FF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D44FF2" w:rsidRDefault="005D1BC8" w:rsidP="00CA0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D44FF2" w:rsidRDefault="00A943AF" w:rsidP="00CA0B44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281455B1" w14:textId="77777777" w:rsidR="00993D8F" w:rsidRDefault="005943EE" w:rsidP="00993D8F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PIETEIKUMS</w:t>
      </w:r>
    </w:p>
    <w:p w14:paraId="39EB2CBE" w14:textId="7AF42B62" w:rsidR="00993D8F" w:rsidRPr="00993D8F" w:rsidRDefault="005943EE" w:rsidP="00993D8F">
      <w:pPr>
        <w:spacing w:before="160" w:line="240" w:lineRule="auto"/>
        <w:rPr>
          <w:rFonts w:ascii="Times New Roman" w:hAnsi="Times New Roman" w:cs="Times New Roman"/>
          <w:b/>
          <w:noProof/>
          <w:sz w:val="24"/>
          <w:szCs w:val="24"/>
          <w:lang w:eastAsia="ar-SA"/>
        </w:rPr>
      </w:pPr>
      <w:r w:rsidRPr="00993D8F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993D8F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93D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Tirgus izpētes </w:t>
      </w:r>
      <w:r w:rsidR="00993D8F" w:rsidRPr="00993D8F">
        <w:rPr>
          <w:rFonts w:ascii="Times New Roman" w:hAnsi="Times New Roman" w:cs="Times New Roman"/>
          <w:noProof/>
          <w:sz w:val="24"/>
          <w:szCs w:val="24"/>
        </w:rPr>
        <w:t xml:space="preserve"> priekšmets</w:t>
      </w:r>
      <w:r w:rsidR="00993D8F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993D8F" w:rsidRPr="00993D8F">
        <w:rPr>
          <w:rFonts w:ascii="Times New Roman" w:hAnsi="Times New Roman" w:cs="Times New Roman"/>
          <w:noProof/>
          <w:sz w:val="24"/>
          <w:szCs w:val="24"/>
        </w:rPr>
        <w:t xml:space="preserve"> ir </w:t>
      </w:r>
      <w:r w:rsidR="00993D8F" w:rsidRPr="00993D8F">
        <w:rPr>
          <w:rFonts w:ascii="Times New Roman" w:hAnsi="Times New Roman" w:cs="Times New Roman"/>
          <w:iCs/>
          <w:noProof/>
          <w:sz w:val="24"/>
          <w:szCs w:val="24"/>
        </w:rPr>
        <w:t>karbamīda šķīduma (AdBlue</w:t>
      </w:r>
      <w:r w:rsidR="00993D8F" w:rsidRPr="00993D8F">
        <w:rPr>
          <w:rFonts w:ascii="Times New Roman" w:hAnsi="Times New Roman" w:cs="Times New Roman"/>
          <w:iCs/>
          <w:noProof/>
          <w:sz w:val="24"/>
          <w:szCs w:val="24"/>
          <w:vertAlign w:val="superscript"/>
        </w:rPr>
        <w:t>®</w:t>
      </w:r>
      <w:r w:rsidR="00993D8F" w:rsidRPr="00993D8F">
        <w:rPr>
          <w:rFonts w:ascii="Times New Roman" w:hAnsi="Times New Roman" w:cs="Times New Roman"/>
          <w:iCs/>
          <w:noProof/>
          <w:sz w:val="24"/>
          <w:szCs w:val="24"/>
        </w:rPr>
        <w:t xml:space="preserve">) </w:t>
      </w:r>
      <w:r w:rsidR="00993D8F" w:rsidRPr="00993D8F">
        <w:rPr>
          <w:rFonts w:ascii="Times New Roman" w:hAnsi="Times New Roman" w:cs="Times New Roman"/>
          <w:noProof/>
          <w:sz w:val="24"/>
          <w:szCs w:val="24"/>
        </w:rPr>
        <w:t xml:space="preserve"> piegāde </w:t>
      </w:r>
      <w:r w:rsidR="00993D8F" w:rsidRPr="00993D8F">
        <w:rPr>
          <w:rFonts w:ascii="Times New Roman" w:hAnsi="Times New Roman" w:cs="Times New Roman"/>
          <w:bCs/>
          <w:noProof/>
          <w:sz w:val="24"/>
          <w:szCs w:val="24"/>
        </w:rPr>
        <w:t>atbilstoši Tehniskajai specifikācijai (1.pielikums)</w:t>
      </w:r>
      <w:r w:rsid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, kur pēc tam </w:t>
      </w:r>
      <w:r w:rsidR="003A35A3">
        <w:rPr>
          <w:rFonts w:ascii="Times New Roman" w:hAnsi="Times New Roman" w:cs="Times New Roman"/>
          <w:bCs/>
          <w:noProof/>
          <w:sz w:val="24"/>
          <w:szCs w:val="24"/>
        </w:rPr>
        <w:t>tiks</w:t>
      </w:r>
      <w:r w:rsidR="003A35A3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slēgta </w:t>
      </w:r>
      <w:r w:rsidR="00993D8F" w:rsidRP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Vispārīgās vienošanās </w:t>
      </w:r>
      <w:r w:rsidR="00993D8F">
        <w:rPr>
          <w:rFonts w:ascii="Times New Roman" w:hAnsi="Times New Roman" w:cs="Times New Roman"/>
          <w:bCs/>
          <w:noProof/>
          <w:sz w:val="24"/>
          <w:szCs w:val="24"/>
        </w:rPr>
        <w:t>par piegādes not</w:t>
      </w:r>
      <w:r w:rsidR="00993D8F" w:rsidRP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eikumiem. </w:t>
      </w:r>
      <w:r w:rsid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 Tirgus izpēte</w:t>
      </w:r>
      <w:r w:rsidR="00993D8F" w:rsidRP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 ir </w:t>
      </w:r>
      <w:r w:rsidR="00993D8F" w:rsidRPr="00993D8F">
        <w:rPr>
          <w:rFonts w:ascii="Times New Roman" w:hAnsi="Times New Roman" w:cs="Times New Roman"/>
          <w:bCs/>
          <w:noProof/>
          <w:sz w:val="24"/>
          <w:szCs w:val="24"/>
        </w:rPr>
        <w:t>sadalīt</w:t>
      </w:r>
      <w:r w:rsidR="00993D8F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993D8F" w:rsidRPr="00993D8F">
        <w:rPr>
          <w:rFonts w:ascii="Times New Roman" w:hAnsi="Times New Roman" w:cs="Times New Roman"/>
          <w:bCs/>
          <w:noProof/>
          <w:sz w:val="24"/>
          <w:szCs w:val="24"/>
        </w:rPr>
        <w:t xml:space="preserve"> divās daļās (lotēs) 1.daļa: “Prece bez iepakojuma, kuru ir paredzēta piegādēm uz degvielas uzpildes stacijām”, 2.daļas “Prece 10 l kannās”.</w:t>
      </w:r>
    </w:p>
    <w:p w14:paraId="596278AF" w14:textId="7AFDBD4C" w:rsidR="00900162" w:rsidRPr="00B83F33" w:rsidRDefault="00993D8F" w:rsidP="00900162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993D8F">
        <w:rPr>
          <w:b/>
          <w:szCs w:val="24"/>
          <w:lang w:eastAsia="ar-SA"/>
        </w:rPr>
        <w:t>3.2.</w:t>
      </w:r>
      <w:r>
        <w:rPr>
          <w:bCs/>
          <w:szCs w:val="24"/>
          <w:lang w:eastAsia="ar-SA"/>
        </w:rPr>
        <w:t xml:space="preserve"> </w:t>
      </w:r>
      <w:r w:rsidR="00900162" w:rsidRPr="00B83F33">
        <w:rPr>
          <w:b/>
          <w:bCs/>
          <w:szCs w:val="24"/>
        </w:rPr>
        <w:t>Apliecinām, ka pretendents:</w:t>
      </w:r>
    </w:p>
    <w:p w14:paraId="31BCADD0" w14:textId="77777777" w:rsidR="00900162" w:rsidRPr="00B83F33" w:rsidRDefault="00000000" w:rsidP="00900162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62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00162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900162" w:rsidRPr="00B83F33">
        <w:rPr>
          <w:szCs w:val="24"/>
        </w:rPr>
        <w:t>euro</w:t>
      </w:r>
      <w:proofErr w:type="spellEnd"/>
      <w:r w:rsidR="00900162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2E64CF0B" w14:textId="77777777" w:rsidR="00900162" w:rsidRPr="00B83F33" w:rsidRDefault="00000000" w:rsidP="00900162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62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00162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900162" w:rsidRPr="00B83F33">
        <w:rPr>
          <w:szCs w:val="24"/>
        </w:rPr>
        <w:t>ām</w:t>
      </w:r>
      <w:proofErr w:type="spellEnd"/>
      <w:r w:rsidR="00900162" w:rsidRPr="00B83F33">
        <w:rPr>
          <w:szCs w:val="24"/>
        </w:rPr>
        <w:t xml:space="preserve"> personu/</w:t>
      </w:r>
      <w:proofErr w:type="spellStart"/>
      <w:r w:rsidR="00900162" w:rsidRPr="00B83F33">
        <w:rPr>
          <w:szCs w:val="24"/>
        </w:rPr>
        <w:t>ām</w:t>
      </w:r>
      <w:proofErr w:type="spellEnd"/>
      <w:r w:rsidR="00900162" w:rsidRPr="00B83F33">
        <w:rPr>
          <w:szCs w:val="24"/>
        </w:rPr>
        <w:t>;</w:t>
      </w:r>
    </w:p>
    <w:p w14:paraId="6C67A199" w14:textId="77777777" w:rsidR="00900162" w:rsidRPr="00B83F33" w:rsidRDefault="00900162" w:rsidP="00900162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5EAF6B28" w14:textId="77777777" w:rsidR="00900162" w:rsidRPr="00B83F33" w:rsidRDefault="00900162" w:rsidP="00900162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0AAED20C" w14:textId="77777777" w:rsidR="00900162" w:rsidRPr="004150CC" w:rsidRDefault="00900162" w:rsidP="00900162">
      <w:pPr>
        <w:pStyle w:val="ListParagraph"/>
        <w:numPr>
          <w:ilvl w:val="0"/>
          <w:numId w:val="8"/>
        </w:numPr>
        <w:spacing w:line="252" w:lineRule="auto"/>
        <w:jc w:val="both"/>
        <w:rPr>
          <w:noProof/>
          <w:lang w:val="lv-LV"/>
        </w:rPr>
      </w:pPr>
      <w:r w:rsidRPr="004150CC">
        <w:rPr>
          <w:noProof/>
          <w:lang w:val="lv-LV"/>
        </w:rPr>
        <w:t>Krievijas valstspiederīgais vai fiziska vai juridiska persona, vienība vai struktūra, kas veic uzņēmējdarbību Krievijā;</w:t>
      </w:r>
    </w:p>
    <w:p w14:paraId="6FBCDB24" w14:textId="77777777" w:rsidR="00900162" w:rsidRPr="004150CC" w:rsidRDefault="00900162" w:rsidP="00900162">
      <w:pPr>
        <w:pStyle w:val="ListParagraph"/>
        <w:numPr>
          <w:ilvl w:val="0"/>
          <w:numId w:val="8"/>
        </w:numPr>
        <w:spacing w:line="252" w:lineRule="auto"/>
        <w:jc w:val="both"/>
        <w:rPr>
          <w:noProof/>
          <w:lang w:val="lv-LV"/>
        </w:rPr>
      </w:pPr>
      <w:r w:rsidRPr="004150CC">
        <w:rPr>
          <w:noProof/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3B2FEA8A" w14:textId="77777777" w:rsidR="00900162" w:rsidRPr="004150CC" w:rsidRDefault="00900162" w:rsidP="00900162">
      <w:pPr>
        <w:pStyle w:val="ListParagraph"/>
        <w:numPr>
          <w:ilvl w:val="0"/>
          <w:numId w:val="8"/>
        </w:numPr>
        <w:spacing w:line="252" w:lineRule="auto"/>
        <w:jc w:val="both"/>
        <w:rPr>
          <w:noProof/>
          <w:lang w:val="lv-LV"/>
        </w:rPr>
      </w:pPr>
      <w:r w:rsidRPr="004150CC">
        <w:rPr>
          <w:noProof/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384590B7" w14:textId="77777777" w:rsidR="00900162" w:rsidRPr="00B83F33" w:rsidRDefault="00900162" w:rsidP="00900162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0CC">
        <w:rPr>
          <w:rFonts w:ascii="Times New Roman" w:hAnsi="Times New Roman" w:cs="Times New Roman"/>
          <w:noProof/>
          <w:sz w:val="24"/>
          <w:szCs w:val="24"/>
        </w:rPr>
        <w:t>tostarp, ja uz tām attiecas vairāk nekā 10 % no līguma vērtības, apakšuzņēmējiem</w:t>
      </w:r>
      <w:r w:rsidRPr="00B83F33">
        <w:rPr>
          <w:rFonts w:ascii="Times New Roman" w:hAnsi="Times New Roman" w:cs="Times New Roman"/>
          <w:sz w:val="24"/>
          <w:szCs w:val="24"/>
        </w:rPr>
        <w:t>, piegādātājiem vai vienībām, uz kuru spējām paļaujas publiskā iepirkuma direktīvu nozīmē.</w:t>
      </w:r>
    </w:p>
    <w:p w14:paraId="5FCD9B7D" w14:textId="39E12D02" w:rsidR="00900162" w:rsidRPr="00BD739B" w:rsidRDefault="00900162" w:rsidP="00900162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39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5048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D73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D739B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6DD2F089" w14:textId="77777777" w:rsidR="00900162" w:rsidRPr="00BD739B" w:rsidRDefault="00000000" w:rsidP="0090016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38453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62" w:rsidRPr="00BD739B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00162" w:rsidRPr="00BD739B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062A7B6" w14:textId="77777777" w:rsidR="00900162" w:rsidRPr="00BD739B" w:rsidRDefault="00000000" w:rsidP="0090016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79926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62" w:rsidRPr="00BD739B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900162" w:rsidRPr="00BD739B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900162" w:rsidRPr="008D540B" w14:paraId="66ED3364" w14:textId="77777777" w:rsidTr="00BA1D6B">
        <w:trPr>
          <w:jc w:val="center"/>
        </w:trPr>
        <w:tc>
          <w:tcPr>
            <w:tcW w:w="5000" w:type="pct"/>
          </w:tcPr>
          <w:p w14:paraId="73C8D957" w14:textId="77777777" w:rsidR="00900162" w:rsidRPr="008D540B" w:rsidRDefault="00900162" w:rsidP="00BA1D6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>Ja atzīmējāt, ka tehniskā specifikācija ir pilnveidojama, lūdzu norādiet, ko tieši nepieciešams pilnveidot vai kāda informācija ir neskaidra, lai sagatavotu piedāvājumu.</w:t>
            </w:r>
          </w:p>
          <w:p w14:paraId="7B46D1D8" w14:textId="77777777" w:rsidR="00900162" w:rsidRPr="008D540B" w:rsidRDefault="00900162" w:rsidP="00BA1D6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4D98122" w14:textId="273EFC14" w:rsidR="00900162" w:rsidRPr="00561DD2" w:rsidRDefault="00900162" w:rsidP="00900162">
      <w:pPr>
        <w:pStyle w:val="ListBullet4"/>
        <w:numPr>
          <w:ilvl w:val="0"/>
          <w:numId w:val="0"/>
        </w:numPr>
        <w:tabs>
          <w:tab w:val="left" w:pos="426"/>
        </w:tabs>
      </w:pPr>
      <w:r>
        <w:rPr>
          <w:b/>
          <w:bCs/>
        </w:rPr>
        <w:t>3.</w:t>
      </w:r>
      <w:r w:rsidR="00D50486">
        <w:rPr>
          <w:b/>
          <w:bCs/>
        </w:rPr>
        <w:t>4</w:t>
      </w:r>
      <w:r>
        <w:rPr>
          <w:b/>
          <w:bCs/>
        </w:rPr>
        <w:t>.</w:t>
      </w:r>
      <w:r>
        <w:tab/>
      </w:r>
      <w:r w:rsidRPr="008D540B">
        <w:rPr>
          <w:szCs w:val="24"/>
        </w:rPr>
        <w:t>Apakšuzņēmēju piesaiste:</w:t>
      </w:r>
    </w:p>
    <w:p w14:paraId="173BCE38" w14:textId="77777777" w:rsidR="00900162" w:rsidRPr="008D540B" w:rsidRDefault="00000000" w:rsidP="00900162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9443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62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900162" w:rsidRPr="008D540B">
        <w:rPr>
          <w:rFonts w:ascii="Times New Roman" w:hAnsi="Times New Roman"/>
          <w:szCs w:val="24"/>
        </w:rPr>
        <w:t> apliecinām, ka piegādi veiksim patstāvīgi, nepiesaistot apakšuzņēmējus;</w:t>
      </w:r>
    </w:p>
    <w:p w14:paraId="6C62FE27" w14:textId="77777777" w:rsidR="00900162" w:rsidRPr="008D540B" w:rsidRDefault="00000000" w:rsidP="00900162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725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162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900162" w:rsidRPr="008D540B">
        <w:rPr>
          <w:rFonts w:ascii="Times New Roman" w:hAnsi="Times New Roman"/>
          <w:szCs w:val="24"/>
        </w:rPr>
        <w:t xml:space="preserve"> piegādes veikšanai ir plānots piesaistīt apakšuzņēmējus (t. sk., </w:t>
      </w:r>
      <w:proofErr w:type="spellStart"/>
      <w:r w:rsidR="00900162" w:rsidRPr="008D540B">
        <w:rPr>
          <w:rFonts w:ascii="Times New Roman" w:hAnsi="Times New Roman"/>
          <w:szCs w:val="24"/>
        </w:rPr>
        <w:t>pašnodarbinātas</w:t>
      </w:r>
      <w:proofErr w:type="spellEnd"/>
      <w:r w:rsidR="00900162" w:rsidRPr="008D540B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900162" w:rsidRPr="008D540B" w14:paraId="79695205" w14:textId="77777777" w:rsidTr="00BA1D6B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2CBD06C5" w14:textId="77777777" w:rsidR="00900162" w:rsidRPr="008D540B" w:rsidRDefault="00900162" w:rsidP="00BA1D6B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6AB97CEB" w14:textId="77777777" w:rsidR="00900162" w:rsidRPr="008D540B" w:rsidRDefault="00900162" w:rsidP="00BA1D6B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68FA3CE7" w14:textId="77777777" w:rsidR="00900162" w:rsidRPr="008D540B" w:rsidRDefault="00900162" w:rsidP="00BA1D6B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62FF5B95" w14:textId="77777777" w:rsidR="00900162" w:rsidRPr="008D540B" w:rsidRDefault="00900162" w:rsidP="00BA1D6B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900162" w:rsidRPr="008D540B" w14:paraId="70AB4795" w14:textId="77777777" w:rsidTr="00BA1D6B">
        <w:trPr>
          <w:trHeight w:val="239"/>
        </w:trPr>
        <w:tc>
          <w:tcPr>
            <w:tcW w:w="1386" w:type="pct"/>
            <w:shd w:val="clear" w:color="auto" w:fill="auto"/>
          </w:tcPr>
          <w:p w14:paraId="587C836D" w14:textId="77777777" w:rsidR="00900162" w:rsidRPr="008D540B" w:rsidRDefault="00900162" w:rsidP="00BA1D6B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3BCABEF2" w14:textId="77777777" w:rsidR="00900162" w:rsidRPr="008D540B" w:rsidRDefault="00900162" w:rsidP="00BA1D6B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C0C154A" w14:textId="77777777" w:rsidR="00900162" w:rsidRPr="008D540B" w:rsidRDefault="00900162" w:rsidP="00BA1D6B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2699ADBF" w14:textId="77777777" w:rsidR="00900162" w:rsidRPr="008D540B" w:rsidRDefault="00900162" w:rsidP="00BA1D6B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90F6F31" w14:textId="799503CA" w:rsidR="005943EE" w:rsidRPr="00266C18" w:rsidRDefault="004E2013" w:rsidP="004D6B07">
      <w:pPr>
        <w:jc w:val="both"/>
        <w:rPr>
          <w:rFonts w:ascii="Times New Roman" w:hAnsi="Times New Roman" w:cs="Times New Roman"/>
          <w:sz w:val="24"/>
          <w:szCs w:val="24"/>
        </w:rPr>
      </w:pPr>
      <w:r w:rsidRPr="004D6B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50486" w:rsidRPr="004D6B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4D6B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4D6B07" w:rsidRPr="004D6B07">
        <w:rPr>
          <w:rFonts w:ascii="Times New Roman" w:hAnsi="Times New Roman" w:cs="Times New Roman"/>
          <w:sz w:val="24"/>
          <w:szCs w:val="24"/>
        </w:rPr>
        <w:t xml:space="preserve">Pretendentam ne vairāk kā 3 (trīs) iepriekšējos gados ir pieredze vismaz 1 (vienu) gadu </w:t>
      </w:r>
      <w:r w:rsidR="004D6B07" w:rsidRPr="004D6B07">
        <w:rPr>
          <w:rFonts w:ascii="Times New Roman" w:hAnsi="Times New Roman" w:cs="Times New Roman"/>
          <w:iCs/>
          <w:sz w:val="24"/>
          <w:szCs w:val="24"/>
        </w:rPr>
        <w:t>karbamīda šķīduma (</w:t>
      </w:r>
      <w:proofErr w:type="spellStart"/>
      <w:r w:rsidR="004D6B07" w:rsidRPr="004D6B07">
        <w:rPr>
          <w:rFonts w:ascii="Times New Roman" w:hAnsi="Times New Roman" w:cs="Times New Roman"/>
          <w:iCs/>
          <w:sz w:val="24"/>
          <w:szCs w:val="24"/>
        </w:rPr>
        <w:t>AdBlue</w:t>
      </w:r>
      <w:proofErr w:type="spellEnd"/>
      <w:r w:rsidR="004D6B07" w:rsidRPr="004D6B07">
        <w:rPr>
          <w:rFonts w:ascii="Times New Roman" w:hAnsi="Times New Roman" w:cs="Times New Roman"/>
          <w:iCs/>
          <w:sz w:val="24"/>
          <w:szCs w:val="24"/>
          <w:vertAlign w:val="superscript"/>
        </w:rPr>
        <w:t>®</w:t>
      </w:r>
      <w:r w:rsidR="004D6B07" w:rsidRPr="004D6B07">
        <w:rPr>
          <w:rFonts w:ascii="Times New Roman" w:hAnsi="Times New Roman" w:cs="Times New Roman"/>
          <w:iCs/>
          <w:sz w:val="24"/>
          <w:szCs w:val="24"/>
        </w:rPr>
        <w:t>) piegādē</w:t>
      </w:r>
      <w:r w:rsidR="004D6B07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5943EE" w:rsidRPr="00D44FF2" w14:paraId="0B00D0DA" w14:textId="77777777" w:rsidTr="00266C18">
        <w:tc>
          <w:tcPr>
            <w:tcW w:w="323" w:type="pct"/>
            <w:shd w:val="clear" w:color="auto" w:fill="DEEAF6" w:themeFill="accent5" w:themeFillTint="33"/>
            <w:vAlign w:val="center"/>
          </w:tcPr>
          <w:p w14:paraId="10299B92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741F1AE" w14:textId="77777777" w:rsidR="005943EE" w:rsidRPr="00D44FF2" w:rsidRDefault="005943EE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E1582F" w14:textId="3D6ED54A" w:rsidR="005943EE" w:rsidRPr="00D44FF2" w:rsidRDefault="00266C18" w:rsidP="00CA0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 datums, raksturojums (apjoms, vieta utt.)</w:t>
            </w:r>
          </w:p>
        </w:tc>
      </w:tr>
      <w:tr w:rsidR="005943EE" w:rsidRPr="00D44FF2" w14:paraId="4C035D54" w14:textId="77777777" w:rsidTr="00266C18">
        <w:tc>
          <w:tcPr>
            <w:tcW w:w="323" w:type="pct"/>
            <w:vAlign w:val="center"/>
          </w:tcPr>
          <w:p w14:paraId="39590380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26E82A35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3A7EB87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64E89E23" w14:textId="77777777" w:rsidTr="00266C18">
        <w:tc>
          <w:tcPr>
            <w:tcW w:w="323" w:type="pct"/>
            <w:vAlign w:val="center"/>
          </w:tcPr>
          <w:p w14:paraId="38203DB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7EBE23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F52C1FB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EE" w:rsidRPr="00D44FF2" w14:paraId="2855247D" w14:textId="77777777" w:rsidTr="00266C18">
        <w:tc>
          <w:tcPr>
            <w:tcW w:w="323" w:type="pct"/>
            <w:vAlign w:val="center"/>
          </w:tcPr>
          <w:p w14:paraId="4B078A64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7B550AD2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88D1B18" w14:textId="77777777" w:rsidR="005943EE" w:rsidRPr="00D44FF2" w:rsidRDefault="005943EE" w:rsidP="00CA0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ADF15A" w14:textId="6FE3B615" w:rsidR="00993D8F" w:rsidRPr="00D50486" w:rsidRDefault="00EB3E5D" w:rsidP="00D5048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44FF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EBC5C96" w14:textId="1543047A" w:rsidR="002D092E" w:rsidRDefault="00993D8F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4.</w:t>
      </w:r>
      <w:r w:rsidR="00D5048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</w:t>
      </w:r>
      <w:r w:rsidR="00682039">
        <w:rPr>
          <w:rFonts w:ascii="Times New Roman" w:hAnsi="Times New Roman" w:cs="Times New Roman"/>
          <w:bCs/>
          <w:sz w:val="24"/>
          <w:szCs w:val="24"/>
          <w:lang w:eastAsia="ar-SA"/>
        </w:rPr>
        <w:t>s:</w:t>
      </w:r>
    </w:p>
    <w:tbl>
      <w:tblPr>
        <w:tblStyle w:val="TableGrid"/>
        <w:tblW w:w="5240" w:type="pct"/>
        <w:jc w:val="center"/>
        <w:tblLayout w:type="fixed"/>
        <w:tblLook w:val="04A0" w:firstRow="1" w:lastRow="0" w:firstColumn="1" w:lastColumn="0" w:noHBand="0" w:noVBand="1"/>
      </w:tblPr>
      <w:tblGrid>
        <w:gridCol w:w="357"/>
        <w:gridCol w:w="1116"/>
        <w:gridCol w:w="2521"/>
        <w:gridCol w:w="1046"/>
        <w:gridCol w:w="1357"/>
        <w:gridCol w:w="1132"/>
        <w:gridCol w:w="928"/>
        <w:gridCol w:w="1336"/>
      </w:tblGrid>
      <w:tr w:rsidR="00900162" w14:paraId="57EAD3DD" w14:textId="77777777" w:rsidTr="00BA1D6B">
        <w:trPr>
          <w:trHeight w:val="2150"/>
          <w:jc w:val="center"/>
        </w:trPr>
        <w:tc>
          <w:tcPr>
            <w:tcW w:w="752" w:type="pct"/>
            <w:gridSpan w:val="2"/>
            <w:vAlign w:val="center"/>
            <w:hideMark/>
          </w:tcPr>
          <w:p w14:paraId="6C1C413C" w14:textId="77777777" w:rsidR="00900162" w:rsidRPr="0078276F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Prece</w:t>
            </w:r>
          </w:p>
        </w:tc>
        <w:tc>
          <w:tcPr>
            <w:tcW w:w="1287" w:type="pct"/>
            <w:vAlign w:val="center"/>
            <w:hideMark/>
          </w:tcPr>
          <w:p w14:paraId="12FF7E88" w14:textId="77777777" w:rsidR="00900162" w:rsidRPr="0078276F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Atestācija un specifikācija</w:t>
            </w:r>
          </w:p>
        </w:tc>
        <w:tc>
          <w:tcPr>
            <w:tcW w:w="534" w:type="pct"/>
            <w:vAlign w:val="center"/>
            <w:hideMark/>
          </w:tcPr>
          <w:p w14:paraId="6EA5D1E3" w14:textId="77777777" w:rsidR="00900162" w:rsidRPr="0078276F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ilpums</w:t>
            </w:r>
          </w:p>
        </w:tc>
        <w:tc>
          <w:tcPr>
            <w:tcW w:w="693" w:type="pct"/>
            <w:vAlign w:val="center"/>
            <w:hideMark/>
          </w:tcPr>
          <w:p w14:paraId="6A71F14A" w14:textId="77777777" w:rsidR="00900162" w:rsidRPr="0078276F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ērvienība</w:t>
            </w:r>
          </w:p>
        </w:tc>
        <w:tc>
          <w:tcPr>
            <w:tcW w:w="578" w:type="pct"/>
            <w:vAlign w:val="center"/>
            <w:hideMark/>
          </w:tcPr>
          <w:p w14:paraId="30429F97" w14:textId="77777777" w:rsidR="00900162" w:rsidRPr="0078276F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Plānotais 2 gadu apjoms </w:t>
            </w:r>
          </w:p>
        </w:tc>
        <w:tc>
          <w:tcPr>
            <w:tcW w:w="474" w:type="pct"/>
            <w:vAlign w:val="center"/>
          </w:tcPr>
          <w:p w14:paraId="06F1396D" w14:textId="77777777" w:rsidR="00900162" w:rsidRPr="0078276F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par 1 (vienu) litru EUR, bez PVN</w:t>
            </w:r>
          </w:p>
        </w:tc>
        <w:tc>
          <w:tcPr>
            <w:tcW w:w="682" w:type="pct"/>
            <w:vAlign w:val="center"/>
          </w:tcPr>
          <w:p w14:paraId="6F34CEB4" w14:textId="77777777" w:rsidR="00900162" w:rsidRDefault="00900162" w:rsidP="00BA1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kopā par tilpumu EUR, bez PVN</w:t>
            </w:r>
          </w:p>
        </w:tc>
      </w:tr>
      <w:tr w:rsidR="00900162" w:rsidRPr="0078276F" w14:paraId="7BF2F149" w14:textId="77777777" w:rsidTr="00BA1D6B">
        <w:trPr>
          <w:trHeight w:val="2151"/>
          <w:jc w:val="center"/>
        </w:trPr>
        <w:tc>
          <w:tcPr>
            <w:tcW w:w="182" w:type="pct"/>
            <w:vAlign w:val="center"/>
            <w:hideMark/>
          </w:tcPr>
          <w:p w14:paraId="66CEA484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pct"/>
            <w:vAlign w:val="center"/>
            <w:hideMark/>
          </w:tcPr>
          <w:p w14:paraId="208A56FD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noProof/>
                <w:sz w:val="24"/>
                <w:szCs w:val="24"/>
              </w:rPr>
              <w:t>AdBlue®</w:t>
            </w:r>
          </w:p>
        </w:tc>
        <w:tc>
          <w:tcPr>
            <w:tcW w:w="1287" w:type="pct"/>
            <w:vMerge w:val="restart"/>
            <w:vAlign w:val="center"/>
            <w:hideMark/>
          </w:tcPr>
          <w:p w14:paraId="7637E520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Karbamīda šķīdums deminiralizētā/dejonizētā ūdenī, kas paredzēts slāpekļa oksīdu (NOx) samazināšanai izplūdes gāzēs, izmantojams  </w:t>
            </w:r>
            <w:r w:rsidRPr="004150C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Euro 4; Euro 5; Euro 6 iekšdedzes dīzeļdzinējos SCR sistēmā (selektīvā izplūdes gāzu attīrīšanas sistēma); Atbilstība DIN 70 070; ISO 22241 -1/ -2/ -3/ -4; VDA (Verband der Automobilindustrie) izsniegts sertifikāts.</w:t>
            </w:r>
          </w:p>
        </w:tc>
        <w:tc>
          <w:tcPr>
            <w:tcW w:w="534" w:type="pct"/>
            <w:vAlign w:val="center"/>
            <w:hideMark/>
          </w:tcPr>
          <w:p w14:paraId="595DE5D3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1000 litri</w:t>
            </w:r>
          </w:p>
        </w:tc>
        <w:tc>
          <w:tcPr>
            <w:tcW w:w="693" w:type="pct"/>
            <w:vAlign w:val="center"/>
            <w:hideMark/>
          </w:tcPr>
          <w:p w14:paraId="0246AA65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</w:p>
        </w:tc>
        <w:tc>
          <w:tcPr>
            <w:tcW w:w="578" w:type="pct"/>
            <w:vAlign w:val="center"/>
          </w:tcPr>
          <w:p w14:paraId="6C0396E4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150CC">
              <w:rPr>
                <w:rFonts w:ascii="Times New Roman" w:hAnsi="Times New Roman" w:cs="Times New Roman"/>
                <w:noProof/>
                <w:sz w:val="24"/>
                <w:szCs w:val="24"/>
              </w:rPr>
              <w:t>700 000</w:t>
            </w:r>
          </w:p>
        </w:tc>
        <w:tc>
          <w:tcPr>
            <w:tcW w:w="474" w:type="pct"/>
            <w:vAlign w:val="center"/>
          </w:tcPr>
          <w:p w14:paraId="60C09D7E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82" w:type="pct"/>
            <w:vAlign w:val="center"/>
          </w:tcPr>
          <w:p w14:paraId="5866D47F" w14:textId="77777777" w:rsidR="00900162" w:rsidRPr="004150CC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00162" w:rsidRPr="0078276F" w14:paraId="5381A237" w14:textId="77777777" w:rsidTr="00BA1D6B">
        <w:trPr>
          <w:trHeight w:val="2151"/>
          <w:jc w:val="center"/>
        </w:trPr>
        <w:tc>
          <w:tcPr>
            <w:tcW w:w="182" w:type="pct"/>
            <w:vAlign w:val="center"/>
            <w:hideMark/>
          </w:tcPr>
          <w:p w14:paraId="321F85F7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70" w:type="pct"/>
            <w:vAlign w:val="center"/>
            <w:hideMark/>
          </w:tcPr>
          <w:p w14:paraId="7E6325B9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AdBlue</w:t>
            </w:r>
            <w:proofErr w:type="spellEnd"/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287" w:type="pct"/>
            <w:vMerge/>
            <w:vAlign w:val="center"/>
            <w:hideMark/>
          </w:tcPr>
          <w:p w14:paraId="3CAB37F9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pct"/>
            <w:vAlign w:val="center"/>
            <w:hideMark/>
          </w:tcPr>
          <w:p w14:paraId="0F8F1869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76F">
              <w:rPr>
                <w:rFonts w:ascii="Times New Roman" w:hAnsi="Times New Roman" w:cs="Times New Roman"/>
                <w:sz w:val="20"/>
                <w:szCs w:val="20"/>
              </w:rPr>
              <w:t>10 litri</w:t>
            </w:r>
          </w:p>
        </w:tc>
        <w:tc>
          <w:tcPr>
            <w:tcW w:w="693" w:type="pct"/>
            <w:vAlign w:val="center"/>
            <w:hideMark/>
          </w:tcPr>
          <w:p w14:paraId="7FA83C86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78" w:type="pct"/>
            <w:vAlign w:val="center"/>
          </w:tcPr>
          <w:p w14:paraId="7426CC59" w14:textId="77777777" w:rsidR="00900162" w:rsidRPr="0078276F" w:rsidRDefault="00900162" w:rsidP="00BA1D6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474" w:type="pct"/>
            <w:vAlign w:val="center"/>
          </w:tcPr>
          <w:p w14:paraId="0F7A7349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14:paraId="67A58239" w14:textId="77777777" w:rsidR="00900162" w:rsidRPr="0078276F" w:rsidRDefault="00900162" w:rsidP="00BA1D6B">
            <w:pPr>
              <w:spacing w:line="3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1704B3" w14:textId="77777777" w:rsidR="00900162" w:rsidRDefault="00900162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024C1721" w14:textId="705DF3E0" w:rsidR="005B2BE9" w:rsidRDefault="005B2BE9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2BE9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C67CC" w:rsidRPr="007C67CC">
        <w:rPr>
          <w:rFonts w:ascii="Times New Roman" w:hAnsi="Times New Roman" w:cs="Times New Roman"/>
          <w:sz w:val="24"/>
          <w:szCs w:val="24"/>
        </w:rPr>
        <w:t xml:space="preserve">Drošības datu lapām jābūt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sagatavotām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Eiropas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Parlamenta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Padomes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CC" w:rsidRPr="007C67CC">
        <w:rPr>
          <w:rFonts w:ascii="Times New Roman" w:hAnsi="Times New Roman" w:cs="Times New Roman"/>
          <w:sz w:val="24"/>
          <w:szCs w:val="24"/>
        </w:rPr>
        <w:t>regulas</w:t>
      </w:r>
      <w:proofErr w:type="spellEnd"/>
      <w:r w:rsidR="007C67CC" w:rsidRPr="007C67CC">
        <w:rPr>
          <w:rFonts w:ascii="Times New Roman" w:hAnsi="Times New Roman" w:cs="Times New Roman"/>
          <w:sz w:val="24"/>
          <w:szCs w:val="24"/>
        </w:rPr>
        <w:t xml:space="preserve"> Nr. 1278/2008 prasībām</w:t>
      </w:r>
      <w:r w:rsidR="007C67CC" w:rsidRPr="002A7061">
        <w:t>.</w:t>
      </w:r>
      <w:r w:rsidR="007C67CC">
        <w:t xml:space="preserve"> 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>Dr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>ošības</w:t>
      </w:r>
      <w:r w:rsidR="00266C1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datu</w:t>
      </w:r>
      <w:r w:rsidRPr="005B2B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lap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 ir pievienota pieteikumam:</w:t>
      </w:r>
    </w:p>
    <w:p w14:paraId="0F1B5B3A" w14:textId="2B6C413E" w:rsidR="005B2BE9" w:rsidRPr="00D44FF2" w:rsidRDefault="00000000" w:rsidP="005B2B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9114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67CC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B2BE9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DFA3A9E" w14:textId="54FEC8FC" w:rsidR="00431D9F" w:rsidRPr="007C67CC" w:rsidRDefault="00000000" w:rsidP="007C67C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058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2BE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5B2BE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B2BE9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63A7A2FA" w14:textId="2518EA41" w:rsidR="00431D9F" w:rsidRDefault="00431D9F" w:rsidP="007C67CC">
      <w:pPr>
        <w:pStyle w:val="ListParagraph"/>
        <w:numPr>
          <w:ilvl w:val="1"/>
          <w:numId w:val="11"/>
        </w:numPr>
        <w:ind w:left="426" w:hanging="426"/>
        <w:jc w:val="both"/>
        <w:outlineLvl w:val="0"/>
      </w:pPr>
      <w:r w:rsidRPr="002A7061">
        <w:t xml:space="preserve"> </w:t>
      </w:r>
      <w:proofErr w:type="spellStart"/>
      <w:r w:rsidR="00976F06">
        <w:t>P</w:t>
      </w:r>
      <w:r w:rsidRPr="002A7061">
        <w:t>ievieno</w:t>
      </w:r>
      <w:proofErr w:type="spellEnd"/>
      <w:r w:rsidRPr="002A7061">
        <w:t xml:space="preserve"> Preces </w:t>
      </w:r>
      <w:proofErr w:type="spellStart"/>
      <w:r w:rsidRPr="002A7061">
        <w:t>sertifikātu</w:t>
      </w:r>
      <w:proofErr w:type="spellEnd"/>
      <w:r w:rsidRPr="002A7061">
        <w:t xml:space="preserve"> </w:t>
      </w:r>
      <w:proofErr w:type="spellStart"/>
      <w:r w:rsidRPr="002A7061">
        <w:t>kopijas</w:t>
      </w:r>
      <w:proofErr w:type="spellEnd"/>
      <w:r w:rsidRPr="002A7061">
        <w:t xml:space="preserve">, kas </w:t>
      </w:r>
      <w:proofErr w:type="spellStart"/>
      <w:r w:rsidRPr="002A7061">
        <w:t>apliecina</w:t>
      </w:r>
      <w:proofErr w:type="spellEnd"/>
      <w:r w:rsidRPr="002A7061">
        <w:t xml:space="preserve">, ka </w:t>
      </w:r>
      <w:proofErr w:type="spellStart"/>
      <w:r w:rsidRPr="002A7061">
        <w:t>Prece</w:t>
      </w:r>
      <w:proofErr w:type="spellEnd"/>
      <w:r w:rsidRPr="002A7061">
        <w:t xml:space="preserve"> </w:t>
      </w:r>
      <w:proofErr w:type="spellStart"/>
      <w:r w:rsidRPr="002A7061">
        <w:t>atbilst</w:t>
      </w:r>
      <w:proofErr w:type="spellEnd"/>
      <w:r w:rsidRPr="002A7061">
        <w:t xml:space="preserve"> DIN 70 070; ISO 22241 -1/ -2/ -3/ -4 </w:t>
      </w:r>
      <w:proofErr w:type="spellStart"/>
      <w:r w:rsidRPr="002A7061">
        <w:t>standartu</w:t>
      </w:r>
      <w:proofErr w:type="spellEnd"/>
      <w:r w:rsidRPr="002A7061">
        <w:t xml:space="preserve"> </w:t>
      </w:r>
      <w:proofErr w:type="spellStart"/>
      <w:r w:rsidRPr="002A7061">
        <w:t>vai</w:t>
      </w:r>
      <w:proofErr w:type="spellEnd"/>
      <w:r w:rsidRPr="002A7061">
        <w:t xml:space="preserve"> </w:t>
      </w:r>
      <w:proofErr w:type="spellStart"/>
      <w:r w:rsidRPr="002A7061">
        <w:t>ekvivalenta</w:t>
      </w:r>
      <w:proofErr w:type="spellEnd"/>
      <w:r w:rsidRPr="002A7061">
        <w:t xml:space="preserve"> </w:t>
      </w:r>
      <w:proofErr w:type="spellStart"/>
      <w:r w:rsidRPr="002A7061">
        <w:t>prasībām</w:t>
      </w:r>
      <w:proofErr w:type="spellEnd"/>
      <w:r w:rsidR="00976F06">
        <w:t xml:space="preserve">: </w:t>
      </w:r>
    </w:p>
    <w:p w14:paraId="033DB20B" w14:textId="71E32C35" w:rsidR="007C67CC" w:rsidRPr="007C67CC" w:rsidRDefault="007C67CC" w:rsidP="007C67CC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after="0"/>
        <w:rPr>
          <w:bCs/>
          <w:szCs w:val="24"/>
          <w:lang w:eastAsia="ar-SA"/>
        </w:rPr>
      </w:pPr>
      <w:sdt>
        <w:sdtPr>
          <w:rPr>
            <w:rFonts w:ascii="MS Gothic" w:eastAsia="MS Gothic" w:hAnsi="MS Gothic"/>
            <w:bCs/>
            <w:szCs w:val="24"/>
            <w:lang w:eastAsia="ar-SA"/>
          </w:rPr>
          <w:id w:val="-212915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Cs w:val="24"/>
              <w:lang w:eastAsia="ar-SA"/>
            </w:rPr>
            <w:t>☐</w:t>
          </w:r>
        </w:sdtContent>
      </w:sdt>
      <w:r w:rsidRPr="007C67CC">
        <w:rPr>
          <w:bCs/>
          <w:szCs w:val="24"/>
          <w:lang w:eastAsia="ar-SA"/>
        </w:rPr>
        <w:t> Jā;</w:t>
      </w:r>
    </w:p>
    <w:p w14:paraId="70E3F2AF" w14:textId="41B3E1E8" w:rsidR="007C67CC" w:rsidRPr="007C67CC" w:rsidRDefault="007C67CC" w:rsidP="007C67CC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after="0"/>
        <w:rPr>
          <w:bCs/>
          <w:szCs w:val="24"/>
          <w:lang w:eastAsia="ar-SA"/>
        </w:rPr>
      </w:pPr>
      <w:sdt>
        <w:sdtPr>
          <w:rPr>
            <w:rFonts w:ascii="Segoe UI Symbol" w:eastAsia="MS Gothic" w:hAnsi="Segoe UI Symbol" w:cs="Segoe UI Symbol"/>
            <w:bCs/>
            <w:szCs w:val="24"/>
            <w:lang w:eastAsia="ar-SA"/>
          </w:rPr>
          <w:id w:val="209343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bCs/>
              <w:szCs w:val="24"/>
              <w:lang w:eastAsia="ar-SA"/>
            </w:rPr>
            <w:t>☐</w:t>
          </w:r>
        </w:sdtContent>
      </w:sdt>
      <w:r w:rsidRPr="007C67CC">
        <w:rPr>
          <w:bCs/>
          <w:szCs w:val="24"/>
          <w:lang w:eastAsia="ar-SA"/>
        </w:rPr>
        <w:t> Nē.</w:t>
      </w:r>
    </w:p>
    <w:p w14:paraId="35D8A5E3" w14:textId="77777777" w:rsidR="007C67CC" w:rsidRPr="002A7061" w:rsidRDefault="007C67CC" w:rsidP="007C67CC">
      <w:pPr>
        <w:pStyle w:val="ListParagraph"/>
        <w:ind w:left="426"/>
        <w:jc w:val="both"/>
        <w:outlineLvl w:val="0"/>
      </w:pPr>
    </w:p>
    <w:p w14:paraId="31243A05" w14:textId="69D49B9B" w:rsidR="00431D9F" w:rsidRPr="002A7061" w:rsidRDefault="00976F06" w:rsidP="00976F06">
      <w:pPr>
        <w:pStyle w:val="ListParagraph"/>
        <w:numPr>
          <w:ilvl w:val="1"/>
          <w:numId w:val="11"/>
        </w:numPr>
        <w:ind w:left="0" w:firstLine="0"/>
        <w:jc w:val="both"/>
        <w:outlineLvl w:val="0"/>
      </w:pPr>
      <w:proofErr w:type="spellStart"/>
      <w:r>
        <w:t>T</w:t>
      </w:r>
      <w:r w:rsidR="00431D9F" w:rsidRPr="002A7061">
        <w:t>ehniskajam</w:t>
      </w:r>
      <w:proofErr w:type="spellEnd"/>
      <w:r w:rsidR="00431D9F" w:rsidRPr="002A7061">
        <w:t xml:space="preserve"> </w:t>
      </w:r>
      <w:proofErr w:type="spellStart"/>
      <w:r w:rsidR="00431D9F" w:rsidRPr="002A7061">
        <w:t>piedāvājumam</w:t>
      </w:r>
      <w:proofErr w:type="spellEnd"/>
      <w:r w:rsidR="00431D9F" w:rsidRPr="002A7061">
        <w:t xml:space="preserve"> </w:t>
      </w:r>
      <w:proofErr w:type="spellStart"/>
      <w:r w:rsidR="00431D9F" w:rsidRPr="002A7061">
        <w:t>pievieno</w:t>
      </w:r>
      <w:proofErr w:type="spellEnd"/>
      <w:r w:rsidR="00431D9F" w:rsidRPr="002A7061">
        <w:t xml:space="preserve"> VDA (</w:t>
      </w:r>
      <w:proofErr w:type="spellStart"/>
      <w:r w:rsidR="00431D9F" w:rsidRPr="002A7061">
        <w:t>Verband</w:t>
      </w:r>
      <w:proofErr w:type="spellEnd"/>
      <w:r w:rsidR="00431D9F" w:rsidRPr="002A7061">
        <w:t xml:space="preserve"> der </w:t>
      </w:r>
      <w:proofErr w:type="spellStart"/>
      <w:r w:rsidR="00431D9F" w:rsidRPr="002A7061">
        <w:t>Automobilindustrie</w:t>
      </w:r>
      <w:proofErr w:type="spellEnd"/>
      <w:r w:rsidR="00431D9F" w:rsidRPr="002A7061">
        <w:t xml:space="preserve">) </w:t>
      </w:r>
      <w:proofErr w:type="spellStart"/>
      <w:r w:rsidR="00431D9F" w:rsidRPr="002A7061">
        <w:t>izsniegts</w:t>
      </w:r>
      <w:proofErr w:type="spellEnd"/>
      <w:r w:rsidR="00431D9F" w:rsidRPr="002A7061">
        <w:t xml:space="preserve"> </w:t>
      </w:r>
      <w:proofErr w:type="spellStart"/>
      <w:r w:rsidR="00431D9F" w:rsidRPr="002A7061">
        <w:t>sertifikāts</w:t>
      </w:r>
      <w:proofErr w:type="spellEnd"/>
      <w:r w:rsidR="00431D9F" w:rsidRPr="002A7061">
        <w:t xml:space="preserve">, kas </w:t>
      </w:r>
      <w:proofErr w:type="spellStart"/>
      <w:r w:rsidR="00431D9F" w:rsidRPr="002A7061">
        <w:t>apliecina</w:t>
      </w:r>
      <w:proofErr w:type="spellEnd"/>
      <w:r w:rsidR="00431D9F" w:rsidRPr="002A7061">
        <w:t xml:space="preserve">, ka </w:t>
      </w:r>
      <w:proofErr w:type="spellStart"/>
      <w:r w:rsidR="00431D9F" w:rsidRPr="002A7061">
        <w:t>piedāvātā</w:t>
      </w:r>
      <w:proofErr w:type="spellEnd"/>
      <w:r w:rsidR="00431D9F" w:rsidRPr="002A7061">
        <w:t xml:space="preserve"> </w:t>
      </w:r>
      <w:proofErr w:type="spellStart"/>
      <w:r w:rsidR="00431D9F" w:rsidRPr="002A7061">
        <w:t>Prece</w:t>
      </w:r>
      <w:proofErr w:type="spellEnd"/>
      <w:r w:rsidR="00431D9F" w:rsidRPr="002A7061">
        <w:t xml:space="preserve"> </w:t>
      </w:r>
      <w:proofErr w:type="spellStart"/>
      <w:r w:rsidR="00431D9F" w:rsidRPr="002A7061">
        <w:t>tiek</w:t>
      </w:r>
      <w:proofErr w:type="spellEnd"/>
      <w:r w:rsidR="00431D9F" w:rsidRPr="002A7061">
        <w:t xml:space="preserve"> </w:t>
      </w:r>
      <w:proofErr w:type="spellStart"/>
      <w:r w:rsidR="00431D9F" w:rsidRPr="002A7061">
        <w:t>ražota</w:t>
      </w:r>
      <w:proofErr w:type="spellEnd"/>
      <w:r w:rsidR="00431D9F" w:rsidRPr="002A7061">
        <w:t xml:space="preserve"> </w:t>
      </w:r>
      <w:proofErr w:type="spellStart"/>
      <w:r w:rsidR="00431D9F" w:rsidRPr="002A7061">
        <w:t>sertificētā</w:t>
      </w:r>
      <w:proofErr w:type="spellEnd"/>
      <w:r w:rsidR="00431D9F" w:rsidRPr="002A7061">
        <w:t xml:space="preserve"> </w:t>
      </w:r>
      <w:proofErr w:type="spellStart"/>
      <w:r w:rsidR="00431D9F" w:rsidRPr="002A7061">
        <w:t>ražotnē</w:t>
      </w:r>
      <w:proofErr w:type="spellEnd"/>
      <w:r>
        <w:t xml:space="preserve">: </w:t>
      </w:r>
    </w:p>
    <w:p w14:paraId="3AC52B0E" w14:textId="77777777" w:rsidR="00976F06" w:rsidRPr="00976F06" w:rsidRDefault="00976F06" w:rsidP="00976F06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after="0"/>
        <w:rPr>
          <w:bCs/>
          <w:szCs w:val="24"/>
          <w:lang w:eastAsia="ar-SA"/>
        </w:rPr>
      </w:pPr>
      <w:sdt>
        <w:sdtPr>
          <w:rPr>
            <w:rFonts w:ascii="MS Gothic" w:eastAsia="MS Gothic" w:hAnsi="MS Gothic"/>
            <w:bCs/>
            <w:szCs w:val="24"/>
            <w:lang w:eastAsia="ar-SA"/>
          </w:rPr>
          <w:id w:val="10532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F06">
            <w:rPr>
              <w:rFonts w:ascii="MS Gothic" w:eastAsia="MS Gothic" w:hAnsi="MS Gothic" w:hint="eastAsia"/>
              <w:bCs/>
              <w:szCs w:val="24"/>
              <w:lang w:eastAsia="ar-SA"/>
            </w:rPr>
            <w:t>☐</w:t>
          </w:r>
        </w:sdtContent>
      </w:sdt>
      <w:r w:rsidRPr="00976F06">
        <w:rPr>
          <w:bCs/>
          <w:szCs w:val="24"/>
          <w:lang w:eastAsia="ar-SA"/>
        </w:rPr>
        <w:t> Jā;</w:t>
      </w:r>
    </w:p>
    <w:p w14:paraId="39119C1E" w14:textId="77777777" w:rsidR="00976F06" w:rsidRPr="00976F06" w:rsidRDefault="00976F06" w:rsidP="00976F06">
      <w:pPr>
        <w:pStyle w:val="ListBullet4"/>
        <w:numPr>
          <w:ilvl w:val="0"/>
          <w:numId w:val="0"/>
        </w:numPr>
        <w:tabs>
          <w:tab w:val="left" w:pos="426"/>
        </w:tabs>
        <w:autoSpaceDE w:val="0"/>
        <w:autoSpaceDN w:val="0"/>
        <w:adjustRightInd w:val="0"/>
        <w:spacing w:after="0"/>
        <w:rPr>
          <w:bCs/>
          <w:szCs w:val="24"/>
          <w:lang w:eastAsia="ar-SA"/>
        </w:rPr>
      </w:pPr>
      <w:sdt>
        <w:sdtPr>
          <w:rPr>
            <w:rFonts w:ascii="MS Gothic" w:eastAsia="MS Gothic" w:hAnsi="MS Gothic" w:cs="Segoe UI Symbol"/>
            <w:bCs/>
            <w:szCs w:val="24"/>
            <w:lang w:eastAsia="ar-SA"/>
          </w:rPr>
          <w:id w:val="650489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6F06">
            <w:rPr>
              <w:rFonts w:ascii="MS Gothic" w:eastAsia="MS Gothic" w:hAnsi="MS Gothic" w:cs="Segoe UI Symbol" w:hint="eastAsia"/>
              <w:bCs/>
              <w:szCs w:val="24"/>
              <w:lang w:eastAsia="ar-SA"/>
            </w:rPr>
            <w:t>☐</w:t>
          </w:r>
        </w:sdtContent>
      </w:sdt>
      <w:r w:rsidRPr="00976F06">
        <w:rPr>
          <w:bCs/>
          <w:szCs w:val="24"/>
          <w:lang w:eastAsia="ar-SA"/>
        </w:rPr>
        <w:t> Nē.</w:t>
      </w:r>
    </w:p>
    <w:p w14:paraId="5DB759BB" w14:textId="55D2AC8E" w:rsidR="00431D9F" w:rsidRDefault="00431D9F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8AA1A1C" w14:textId="40818BD9" w:rsidR="002D092E" w:rsidRPr="002D092E" w:rsidRDefault="00976F06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76F06">
        <w:rPr>
          <w:rFonts w:ascii="Times New Roman" w:hAnsi="Times New Roman" w:cs="Times New Roman"/>
          <w:b/>
          <w:sz w:val="24"/>
          <w:szCs w:val="24"/>
          <w:lang w:eastAsia="ar-SA"/>
        </w:rPr>
        <w:t>4.5.</w:t>
      </w:r>
      <w:r w:rsidR="002D092E"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Vēlamā maksāšanas kārtība: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D092E" w:rsidRPr="00E63FF9" w14:paraId="4A43D5C5" w14:textId="77777777" w:rsidTr="007E213D">
        <w:tc>
          <w:tcPr>
            <w:tcW w:w="5000" w:type="pct"/>
          </w:tcPr>
          <w:p w14:paraId="50B8528D" w14:textId="77777777" w:rsidR="002D092E" w:rsidRPr="00E63FF9" w:rsidRDefault="002D092E" w:rsidP="00CA0B44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bookmarkStart w:id="0" w:name="_Hlk51085782"/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</w:t>
            </w:r>
            <w:r w:rsidRPr="00E63FF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ka priekšapmaksa nav iespējama.</w:t>
            </w:r>
          </w:p>
        </w:tc>
      </w:tr>
    </w:tbl>
    <w:bookmarkEnd w:id="0"/>
    <w:p w14:paraId="55F9C984" w14:textId="32A63B48" w:rsidR="002D092E" w:rsidRPr="00BB40B2" w:rsidRDefault="002D092E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4E201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76F0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D092E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D092E" w:rsidRPr="00BB40B2" w14:paraId="2FF0E599" w14:textId="77777777" w:rsidTr="007E213D">
        <w:tc>
          <w:tcPr>
            <w:tcW w:w="9344" w:type="dxa"/>
          </w:tcPr>
          <w:p w14:paraId="6AB4AA29" w14:textId="77777777" w:rsidR="002D092E" w:rsidRPr="00BB40B2" w:rsidRDefault="002D092E" w:rsidP="00CA0B44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423BD60" w14:textId="77777777" w:rsidR="00900162" w:rsidRDefault="00900162" w:rsidP="00900162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C7EA78" w14:textId="6B793644" w:rsidR="00900162" w:rsidRPr="00BC37AA" w:rsidRDefault="00900162" w:rsidP="00900162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BC37AA">
        <w:rPr>
          <w:rFonts w:ascii="Times New Roman" w:hAnsi="Times New Roman"/>
          <w:b/>
          <w:bCs/>
          <w:sz w:val="24"/>
          <w:szCs w:val="24"/>
        </w:rPr>
        <w:t>.</w:t>
      </w:r>
      <w:r w:rsidRPr="00BC37AA">
        <w:rPr>
          <w:rFonts w:ascii="Times New Roman" w:hAnsi="Times New Roman"/>
          <w:sz w:val="24"/>
          <w:szCs w:val="24"/>
        </w:rPr>
        <w:t xml:space="preserve"> </w:t>
      </w:r>
      <w:r w:rsidRPr="00BC37AA">
        <w:rPr>
          <w:rFonts w:ascii="Times New Roman" w:hAnsi="Times New Roman"/>
          <w:b/>
          <w:bCs/>
          <w:sz w:val="24"/>
          <w:szCs w:val="24"/>
        </w:rPr>
        <w:t>KONTAKTINFORMĀCIJA</w:t>
      </w:r>
    </w:p>
    <w:p w14:paraId="197AB112" w14:textId="77777777" w:rsidR="00900162" w:rsidRPr="00BC37AA" w:rsidRDefault="00900162" w:rsidP="00900162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C37AA">
        <w:rPr>
          <w:rFonts w:ascii="Times New Roman" w:hAnsi="Times New Roman"/>
          <w:sz w:val="24"/>
          <w:szCs w:val="24"/>
        </w:rPr>
        <w:t xml:space="preserve">Ja nepieciešams, pēc pieprasījuma tiks nodrošināta papildu tehniskā informācija, jautājumus lūdzam sūtīt Sandrai </w:t>
      </w:r>
      <w:proofErr w:type="spellStart"/>
      <w:r w:rsidRPr="00BC37AA">
        <w:rPr>
          <w:rFonts w:ascii="Times New Roman" w:hAnsi="Times New Roman"/>
          <w:sz w:val="24"/>
          <w:szCs w:val="24"/>
        </w:rPr>
        <w:t>Čakšai</w:t>
      </w:r>
      <w:proofErr w:type="spellEnd"/>
      <w:r w:rsidRPr="00BC37AA">
        <w:rPr>
          <w:rFonts w:ascii="Times New Roman" w:hAnsi="Times New Roman"/>
          <w:sz w:val="24"/>
          <w:szCs w:val="24"/>
        </w:rPr>
        <w:t>, Tirgus izpētes un iepirkumu metodoloģijas nodaļa iepirkumu speciālistei uz e-pastu : sandra.caksa@rigassatiksme.lv .</w:t>
      </w:r>
    </w:p>
    <w:p w14:paraId="12E7D137" w14:textId="77777777" w:rsidR="00900162" w:rsidRDefault="00900162" w:rsidP="00900162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55250F" w14:textId="3E86E9F8" w:rsidR="00D50486" w:rsidRPr="00D50486" w:rsidRDefault="00900162" w:rsidP="00D50486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50486">
        <w:rPr>
          <w:rFonts w:ascii="Times New Roman" w:hAnsi="Times New Roman" w:cs="Times New Roman"/>
          <w:b/>
          <w:bCs/>
          <w:noProof/>
          <w:sz w:val="24"/>
          <w:szCs w:val="24"/>
        </w:rPr>
        <w:t>Pieteikumā iekļautā informācija tiks izmantota, lai sagatavotu iepirkuma dokumentus iepirkuma procedūrai. Jūsu viedoklis ir svarīgs, lai nodrošinātu iepirkuma procedūrā vienlīdzīgu attieksmi pret piegādātājiem un brīvu konkurenci.</w:t>
      </w:r>
      <w:r w:rsidR="00993D8F" w:rsidRPr="00D50486">
        <w:rPr>
          <w:rFonts w:ascii="Times New Roman" w:hAnsi="Times New Roman" w:cs="Times New Roman"/>
          <w:b/>
          <w:bCs/>
          <w:noProof/>
          <w:color w:val="494949"/>
          <w:sz w:val="24"/>
          <w:szCs w:val="24"/>
          <w:shd w:val="clear" w:color="auto" w:fill="EEF2F4"/>
        </w:rPr>
        <w:t xml:space="preserve"> </w:t>
      </w:r>
      <w:r w:rsidR="00D50486" w:rsidRPr="00D504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Iepirkuma procedūras rezultātā Pasūtītājs slēgs vispārīgo vienošanos par katru iepirkuma daļu ar visiem </w:t>
      </w:r>
      <w:r w:rsidR="00D50486" w:rsidRPr="00D5048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pretendentiem, kas atbildīs iepirkuma procedūras  nolikumā izvirzītajām pretendentu atlases prasībām.</w:t>
      </w:r>
    </w:p>
    <w:p w14:paraId="6251DE01" w14:textId="2063B277" w:rsidR="00900162" w:rsidRPr="009D23C9" w:rsidRDefault="00976F06" w:rsidP="00976F0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D23C9">
        <w:rPr>
          <w:rFonts w:ascii="Times New Roman" w:hAnsi="Times New Roman" w:cs="Times New Roman"/>
          <w:sz w:val="28"/>
          <w:szCs w:val="28"/>
        </w:rPr>
        <w:t>Pielikumā</w:t>
      </w:r>
      <w:r w:rsidR="009D23C9" w:rsidRPr="009D23C9">
        <w:rPr>
          <w:rFonts w:ascii="Times New Roman" w:hAnsi="Times New Roman" w:cs="Times New Roman"/>
          <w:sz w:val="28"/>
          <w:szCs w:val="28"/>
        </w:rPr>
        <w:t>: Tehniskā specifikācija.</w:t>
      </w:r>
    </w:p>
    <w:p w14:paraId="3BB61539" w14:textId="5E120308" w:rsidR="00CE27A1" w:rsidRPr="002D092E" w:rsidRDefault="00CE27A1" w:rsidP="00CA0B4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CE27A1" w:rsidRPr="002D092E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5D4A" w14:textId="77777777" w:rsidR="00EB6C7F" w:rsidRDefault="00EB6C7F" w:rsidP="00F150DE">
      <w:pPr>
        <w:spacing w:after="0" w:line="240" w:lineRule="auto"/>
      </w:pPr>
      <w:r>
        <w:separator/>
      </w:r>
    </w:p>
  </w:endnote>
  <w:endnote w:type="continuationSeparator" w:id="0">
    <w:p w14:paraId="3CBA6181" w14:textId="77777777" w:rsidR="00EB6C7F" w:rsidRDefault="00EB6C7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556626F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CB7AB0" w:rsidRDefault="00CB7AB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CB7AB0" w:rsidRPr="008C061F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CB7AB0" w:rsidRPr="00B33100" w:rsidRDefault="00CB7AB0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Content>
          <w:p w14:paraId="19E827A2" w14:textId="6F7E0FBE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CB7AB0" w:rsidRDefault="00CB7AB0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CB7AB0" w:rsidRPr="008C061F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CB7AB0" w:rsidRPr="009B563E" w:rsidRDefault="00CB7AB0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9583" w14:textId="77777777" w:rsidR="00EB6C7F" w:rsidRDefault="00EB6C7F" w:rsidP="00F150DE">
      <w:pPr>
        <w:spacing w:after="0" w:line="240" w:lineRule="auto"/>
      </w:pPr>
      <w:r>
        <w:separator/>
      </w:r>
    </w:p>
  </w:footnote>
  <w:footnote w:type="continuationSeparator" w:id="0">
    <w:p w14:paraId="5DAF349B" w14:textId="77777777" w:rsidR="00EB6C7F" w:rsidRDefault="00EB6C7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F1CC9E4E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0AA00C4"/>
    <w:multiLevelType w:val="multilevel"/>
    <w:tmpl w:val="BEB828B0"/>
    <w:lvl w:ilvl="0">
      <w:start w:val="13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bCs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2C05F90"/>
    <w:multiLevelType w:val="multilevel"/>
    <w:tmpl w:val="A2005EEA"/>
    <w:lvl w:ilvl="0">
      <w:start w:val="16"/>
      <w:numFmt w:val="decimal"/>
      <w:lvlText w:val="%1."/>
      <w:lvlJc w:val="left"/>
      <w:pPr>
        <w:ind w:left="480" w:hanging="48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7" w15:restartNumberingAfterBreak="0">
    <w:nsid w:val="596D6264"/>
    <w:multiLevelType w:val="multilevel"/>
    <w:tmpl w:val="F0E08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6195">
    <w:abstractNumId w:val="2"/>
  </w:num>
  <w:num w:numId="2" w16cid:durableId="190800385">
    <w:abstractNumId w:val="0"/>
  </w:num>
  <w:num w:numId="3" w16cid:durableId="1740058944">
    <w:abstractNumId w:val="9"/>
  </w:num>
  <w:num w:numId="4" w16cid:durableId="2059430083">
    <w:abstractNumId w:val="1"/>
  </w:num>
  <w:num w:numId="5" w16cid:durableId="1345202988">
    <w:abstractNumId w:val="4"/>
  </w:num>
  <w:num w:numId="6" w16cid:durableId="1942296993">
    <w:abstractNumId w:val="5"/>
  </w:num>
  <w:num w:numId="7" w16cid:durableId="1549562626">
    <w:abstractNumId w:val="7"/>
  </w:num>
  <w:num w:numId="8" w16cid:durableId="650214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220479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5805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7377071">
    <w:abstractNumId w:val="0"/>
    <w:lvlOverride w:ilvl="0">
      <w:startOverride w:val="4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545"/>
    <w:rsid w:val="00011AD5"/>
    <w:rsid w:val="000203D2"/>
    <w:rsid w:val="00024900"/>
    <w:rsid w:val="00026B4C"/>
    <w:rsid w:val="00030658"/>
    <w:rsid w:val="00030EA2"/>
    <w:rsid w:val="000364BB"/>
    <w:rsid w:val="000410DB"/>
    <w:rsid w:val="000569C2"/>
    <w:rsid w:val="00062B60"/>
    <w:rsid w:val="00063F99"/>
    <w:rsid w:val="00066355"/>
    <w:rsid w:val="000717BE"/>
    <w:rsid w:val="000756C4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D5BAA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35BB9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66C18"/>
    <w:rsid w:val="00270013"/>
    <w:rsid w:val="002737BF"/>
    <w:rsid w:val="0027456B"/>
    <w:rsid w:val="00277188"/>
    <w:rsid w:val="00285920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092E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A35A3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0C77"/>
    <w:rsid w:val="00401922"/>
    <w:rsid w:val="004062FC"/>
    <w:rsid w:val="00412A56"/>
    <w:rsid w:val="00413DFF"/>
    <w:rsid w:val="004150CC"/>
    <w:rsid w:val="004158A3"/>
    <w:rsid w:val="00416B3A"/>
    <w:rsid w:val="0042049C"/>
    <w:rsid w:val="00427704"/>
    <w:rsid w:val="00431787"/>
    <w:rsid w:val="00431A5A"/>
    <w:rsid w:val="00431C81"/>
    <w:rsid w:val="00431D9F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D6B07"/>
    <w:rsid w:val="004D7683"/>
    <w:rsid w:val="004E00EF"/>
    <w:rsid w:val="004E19DF"/>
    <w:rsid w:val="004E2013"/>
    <w:rsid w:val="004E4E84"/>
    <w:rsid w:val="004E7D29"/>
    <w:rsid w:val="004F20AD"/>
    <w:rsid w:val="00501C88"/>
    <w:rsid w:val="00501DE6"/>
    <w:rsid w:val="005063D3"/>
    <w:rsid w:val="005071BE"/>
    <w:rsid w:val="005074BA"/>
    <w:rsid w:val="00510D17"/>
    <w:rsid w:val="00513085"/>
    <w:rsid w:val="00513EC4"/>
    <w:rsid w:val="00515345"/>
    <w:rsid w:val="005168D4"/>
    <w:rsid w:val="00520E0E"/>
    <w:rsid w:val="005247D3"/>
    <w:rsid w:val="00530F91"/>
    <w:rsid w:val="00531FCF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0D30"/>
    <w:rsid w:val="005831E2"/>
    <w:rsid w:val="005918B1"/>
    <w:rsid w:val="005943EE"/>
    <w:rsid w:val="00597017"/>
    <w:rsid w:val="00597AB9"/>
    <w:rsid w:val="005B20B5"/>
    <w:rsid w:val="005B2BE9"/>
    <w:rsid w:val="005B40DB"/>
    <w:rsid w:val="005B7315"/>
    <w:rsid w:val="005C3C29"/>
    <w:rsid w:val="005C47D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13A9"/>
    <w:rsid w:val="00613F96"/>
    <w:rsid w:val="00616B7C"/>
    <w:rsid w:val="00620721"/>
    <w:rsid w:val="006325D2"/>
    <w:rsid w:val="00637865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2039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C32AA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46DE8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C67CC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0742E"/>
    <w:rsid w:val="008221CD"/>
    <w:rsid w:val="008257FE"/>
    <w:rsid w:val="008271BF"/>
    <w:rsid w:val="00827FEC"/>
    <w:rsid w:val="00832C95"/>
    <w:rsid w:val="0083362F"/>
    <w:rsid w:val="0083529E"/>
    <w:rsid w:val="00847FB8"/>
    <w:rsid w:val="00851A66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589F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0162"/>
    <w:rsid w:val="00904F3A"/>
    <w:rsid w:val="00905829"/>
    <w:rsid w:val="00910807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0D22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76F06"/>
    <w:rsid w:val="00980560"/>
    <w:rsid w:val="00980CF1"/>
    <w:rsid w:val="00981379"/>
    <w:rsid w:val="00991942"/>
    <w:rsid w:val="00991A13"/>
    <w:rsid w:val="00992A67"/>
    <w:rsid w:val="00993D8F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8C6"/>
    <w:rsid w:val="009C1A77"/>
    <w:rsid w:val="009C3CC8"/>
    <w:rsid w:val="009D23C9"/>
    <w:rsid w:val="009D5456"/>
    <w:rsid w:val="009D67FA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340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672B7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C6195"/>
    <w:rsid w:val="00AD0004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AF77CA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65B6A"/>
    <w:rsid w:val="00B66CC1"/>
    <w:rsid w:val="00B727C2"/>
    <w:rsid w:val="00B804D5"/>
    <w:rsid w:val="00B808FD"/>
    <w:rsid w:val="00B95152"/>
    <w:rsid w:val="00B96CEA"/>
    <w:rsid w:val="00B97154"/>
    <w:rsid w:val="00BA2BF1"/>
    <w:rsid w:val="00BB27BC"/>
    <w:rsid w:val="00BB3F50"/>
    <w:rsid w:val="00BB40B2"/>
    <w:rsid w:val="00BB4C11"/>
    <w:rsid w:val="00BC06EA"/>
    <w:rsid w:val="00BC0BCD"/>
    <w:rsid w:val="00BC0F7F"/>
    <w:rsid w:val="00BC1C8D"/>
    <w:rsid w:val="00BC51CE"/>
    <w:rsid w:val="00BC7127"/>
    <w:rsid w:val="00BC718B"/>
    <w:rsid w:val="00BC7732"/>
    <w:rsid w:val="00BD1365"/>
    <w:rsid w:val="00BD14EE"/>
    <w:rsid w:val="00BD3761"/>
    <w:rsid w:val="00BD3AC3"/>
    <w:rsid w:val="00BD3E41"/>
    <w:rsid w:val="00BD5021"/>
    <w:rsid w:val="00BE42B8"/>
    <w:rsid w:val="00BF09D3"/>
    <w:rsid w:val="00BF3CAF"/>
    <w:rsid w:val="00BF65DC"/>
    <w:rsid w:val="00C02817"/>
    <w:rsid w:val="00C02BB6"/>
    <w:rsid w:val="00C057B5"/>
    <w:rsid w:val="00C14811"/>
    <w:rsid w:val="00C15141"/>
    <w:rsid w:val="00C2018A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0B44"/>
    <w:rsid w:val="00CA184D"/>
    <w:rsid w:val="00CA36F1"/>
    <w:rsid w:val="00CB08B3"/>
    <w:rsid w:val="00CB2990"/>
    <w:rsid w:val="00CB418C"/>
    <w:rsid w:val="00CB4B66"/>
    <w:rsid w:val="00CB7AB0"/>
    <w:rsid w:val="00CC2CDD"/>
    <w:rsid w:val="00CD2D51"/>
    <w:rsid w:val="00CD3D05"/>
    <w:rsid w:val="00CD6CF2"/>
    <w:rsid w:val="00CE27A1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24BF1"/>
    <w:rsid w:val="00D30CCD"/>
    <w:rsid w:val="00D31345"/>
    <w:rsid w:val="00D320CA"/>
    <w:rsid w:val="00D32F57"/>
    <w:rsid w:val="00D34B11"/>
    <w:rsid w:val="00D34E88"/>
    <w:rsid w:val="00D36063"/>
    <w:rsid w:val="00D360ED"/>
    <w:rsid w:val="00D40513"/>
    <w:rsid w:val="00D41521"/>
    <w:rsid w:val="00D42ACD"/>
    <w:rsid w:val="00D44FF2"/>
    <w:rsid w:val="00D453C1"/>
    <w:rsid w:val="00D46B2D"/>
    <w:rsid w:val="00D50486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1BC7"/>
    <w:rsid w:val="00E0279A"/>
    <w:rsid w:val="00E154E8"/>
    <w:rsid w:val="00E165AE"/>
    <w:rsid w:val="00E166E4"/>
    <w:rsid w:val="00E20CB1"/>
    <w:rsid w:val="00E21150"/>
    <w:rsid w:val="00E23EAC"/>
    <w:rsid w:val="00E25450"/>
    <w:rsid w:val="00E2671F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52EC7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5DE8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05B3"/>
    <w:rsid w:val="00EB175B"/>
    <w:rsid w:val="00EB3E5D"/>
    <w:rsid w:val="00EB46C8"/>
    <w:rsid w:val="00EB623D"/>
    <w:rsid w:val="00EB6C7F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0113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84631"/>
    <w:rsid w:val="00F92377"/>
    <w:rsid w:val="00F92AA0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list paragraph,h&amp;p list paragraph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3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E89133AD86C44280D9A2F463DE528E" ma:contentTypeVersion="8" ma:contentTypeDescription="Izveidot jaunu dokumentu." ma:contentTypeScope="" ma:versionID="1f124eb08fbafa7a22c5cc098a500f83">
  <xsd:schema xmlns:xsd="http://www.w3.org/2001/XMLSchema" xmlns:xs="http://www.w3.org/2001/XMLSchema" xmlns:p="http://schemas.microsoft.com/office/2006/metadata/properties" xmlns:ns3="d466868c-b0e7-48df-8f5b-c0d541916595" targetNamespace="http://schemas.microsoft.com/office/2006/metadata/properties" ma:root="true" ma:fieldsID="5ca6afb2fa64dbbedd97cae583790d06" ns3:_="">
    <xsd:import namespace="d466868c-b0e7-48df-8f5b-c0d54191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868c-b0e7-48df-8f5b-c0d541916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D8A299-3987-48C8-891E-96F2F6F8D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1793-85F7-4B3A-A792-1748A257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6868c-b0e7-48df-8f5b-c0d54191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3451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11</cp:revision>
  <cp:lastPrinted>2023-02-14T09:03:00Z</cp:lastPrinted>
  <dcterms:created xsi:type="dcterms:W3CDTF">2025-04-23T11:35:00Z</dcterms:created>
  <dcterms:modified xsi:type="dcterms:W3CDTF">2025-04-24T05:41:00Z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0x0101000BE89133AD86C44280D9A2F463DE528E</vt:lpwstr>
  </property>
</Properties>
</file>