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4AD8" w14:textId="1334303F" w:rsidR="001A1178" w:rsidRDefault="001A1178" w:rsidP="001A1178">
      <w:pPr>
        <w:spacing w:after="0" w:line="240" w:lineRule="auto"/>
        <w:jc w:val="center"/>
        <w:rPr>
          <w:rFonts w:ascii="Times New Roman" w:hAnsi="Times New Roman" w:cs="Times New Roman"/>
          <w:b/>
          <w:bCs/>
        </w:rPr>
      </w:pPr>
      <w:r>
        <w:rPr>
          <w:rFonts w:ascii="Times New Roman" w:hAnsi="Times New Roman" w:cs="Times New Roman"/>
          <w:b/>
          <w:bCs/>
        </w:rPr>
        <w:t xml:space="preserve">TEHNISKĀ SPECIFIKĀCIJA </w:t>
      </w:r>
    </w:p>
    <w:p w14:paraId="35150D7F" w14:textId="77777777" w:rsidR="001A1178" w:rsidRDefault="001A1178" w:rsidP="001A1178">
      <w:pPr>
        <w:spacing w:after="0" w:line="240" w:lineRule="auto"/>
        <w:jc w:val="center"/>
        <w:rPr>
          <w:rFonts w:ascii="Times New Roman" w:hAnsi="Times New Roman" w:cs="Times New Roman"/>
          <w:i/>
          <w:iCs/>
        </w:rPr>
      </w:pPr>
      <w:r>
        <w:rPr>
          <w:rFonts w:ascii="Times New Roman" w:hAnsi="Times New Roman" w:cs="Times New Roman"/>
          <w:i/>
          <w:iCs/>
        </w:rPr>
        <w:t xml:space="preserve">AdBlue piegāde </w:t>
      </w:r>
    </w:p>
    <w:p w14:paraId="03B3907D" w14:textId="77777777" w:rsidR="001A1178" w:rsidRDefault="001A1178" w:rsidP="001A1178">
      <w:pPr>
        <w:spacing w:after="0" w:line="240" w:lineRule="auto"/>
        <w:ind w:firstLine="720"/>
        <w:jc w:val="both"/>
        <w:rPr>
          <w:rFonts w:ascii="Times New Roman" w:hAnsi="Times New Roman" w:cs="Times New Roman"/>
        </w:rPr>
      </w:pPr>
    </w:p>
    <w:p w14:paraId="1ABACC9A"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b/>
          <w:bCs/>
        </w:rPr>
        <w:t xml:space="preserve">Pasūtītājs: </w:t>
      </w:r>
      <w:r>
        <w:rPr>
          <w:rFonts w:ascii="Times New Roman" w:hAnsi="Times New Roman" w:cs="Times New Roman"/>
        </w:rPr>
        <w:t>Rīgas pašvaldības sabiedrība ar ierobežotu atbildību „Rīgas satiksme”, reģistrācijas Nr. 40003619950 (turpmāk – Pasūtītājs).</w:t>
      </w:r>
    </w:p>
    <w:p w14:paraId="0B47E479"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b/>
          <w:bCs/>
        </w:rPr>
        <w:t xml:space="preserve">Vispārējais iepirkuma priekšmeta apraksts: </w:t>
      </w:r>
      <w:r>
        <w:rPr>
          <w:rFonts w:ascii="Times New Roman" w:hAnsi="Times New Roman" w:cs="Times New Roman"/>
          <w:i/>
          <w:iCs/>
        </w:rPr>
        <w:t>AdBlue</w:t>
      </w:r>
      <w:r>
        <w:rPr>
          <w:rFonts w:ascii="Times New Roman" w:hAnsi="Times New Roman" w:cs="Times New Roman"/>
        </w:rPr>
        <w:t xml:space="preserve"> (turpmāk tekstā – prece) pārejas periodā.</w:t>
      </w:r>
    </w:p>
    <w:p w14:paraId="6014B618" w14:textId="0CC602C9"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b/>
          <w:bCs/>
        </w:rPr>
        <w:t>Līguma termiņš:</w:t>
      </w:r>
      <w:r>
        <w:rPr>
          <w:rFonts w:ascii="Times New Roman" w:hAnsi="Times New Roman" w:cs="Times New Roman"/>
        </w:rPr>
        <w:t xml:space="preserve"> </w:t>
      </w:r>
      <w:r w:rsidR="00414168">
        <w:rPr>
          <w:rFonts w:ascii="Times New Roman" w:hAnsi="Times New Roman" w:cs="Times New Roman"/>
        </w:rPr>
        <w:t>divi gadi</w:t>
      </w:r>
      <w:r>
        <w:rPr>
          <w:rFonts w:ascii="Times New Roman" w:hAnsi="Times New Roman" w:cs="Times New Roman"/>
        </w:rPr>
        <w:t>.</w:t>
      </w:r>
    </w:p>
    <w:p w14:paraId="159AA325"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b/>
          <w:bCs/>
        </w:rPr>
        <w:t xml:space="preserve">Līguma veids: </w:t>
      </w:r>
      <w:r>
        <w:rPr>
          <w:rFonts w:ascii="Times New Roman" w:hAnsi="Times New Roman" w:cs="Times New Roman"/>
        </w:rPr>
        <w:t>vispārīgā vienošanās.</w:t>
      </w:r>
    </w:p>
    <w:p w14:paraId="68716F8C"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b/>
          <w:bCs/>
        </w:rPr>
        <w:t xml:space="preserve">Kārtējo piegāžu tiesības: </w:t>
      </w:r>
      <w:r>
        <w:rPr>
          <w:rFonts w:ascii="Times New Roman" w:hAnsi="Times New Roman" w:cs="Times New Roman"/>
        </w:rPr>
        <w:t>iespējamajam</w:t>
      </w:r>
      <w:r>
        <w:rPr>
          <w:rFonts w:ascii="Times New Roman" w:hAnsi="Times New Roman" w:cs="Times New Roman"/>
          <w:b/>
          <w:bCs/>
        </w:rPr>
        <w:t xml:space="preserve"> </w:t>
      </w:r>
      <w:r>
        <w:rPr>
          <w:rFonts w:ascii="Times New Roman" w:hAnsi="Times New Roman" w:cs="Times New Roman"/>
        </w:rPr>
        <w:t>piegādājam saskaņā ar cenu aptaujas kārtību.</w:t>
      </w:r>
    </w:p>
    <w:p w14:paraId="62D13509" w14:textId="77777777" w:rsidR="001A1178" w:rsidRDefault="001A1178" w:rsidP="001A1178">
      <w:pPr>
        <w:spacing w:after="0" w:line="240" w:lineRule="auto"/>
        <w:ind w:firstLine="720"/>
        <w:jc w:val="both"/>
        <w:rPr>
          <w:rFonts w:ascii="Times New Roman" w:hAnsi="Times New Roman" w:cs="Times New Roman"/>
          <w:b/>
          <w:bCs/>
        </w:rPr>
      </w:pPr>
      <w:r>
        <w:rPr>
          <w:rFonts w:ascii="Times New Roman" w:hAnsi="Times New Roman" w:cs="Times New Roman"/>
          <w:b/>
          <w:bCs/>
        </w:rPr>
        <w:t>Cenu aptaujas kārtība:</w:t>
      </w:r>
    </w:p>
    <w:p w14:paraId="0EEC78AF"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1. Lai noteiktu attiecīgās preces piegādes partijas piegādātāju kārtējam mēnesim, pasūtītājs nosūta elektroniski sagatavotu cenu aptauju visiem iespējamajiem piegādātājiem.</w:t>
      </w:r>
    </w:p>
    <w:p w14:paraId="20DE7FF5"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2. Iespējamajiem piegādātājiem jāiesniedz cenu piedāvājums 5 (piecu) darba dienu laikā pēc cenu aptaujas nosūtīšanas dienas, ja vien pasūtītājs nav noteicis citu iesniegšanas termiņu.</w:t>
      </w:r>
    </w:p>
    <w:p w14:paraId="12DF9E31"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3. Cenu piedāvājuma izvēles kritērijs ir viszemākā cena.</w:t>
      </w:r>
    </w:p>
    <w:p w14:paraId="27C47C84"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4. Ja 2. punktā noteiktajā termiņā iespējamais piegādātājs neiesniedz cenu piedāvājumu, tiek uzskatīts, ka viņš atsakās no konkrētās piegādes.</w:t>
      </w:r>
    </w:p>
    <w:p w14:paraId="37E9AF11"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5. Pasūtītājs pēc cenu aptaujā norādītā piedāvājumu iesniegšanas termiņa beigām,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1AEDF439"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6. Pasūtītājam ir tiesības lūgt precizēt vai skaidrot iespējamā piegādātāja iesniegto cenas piedāvājumu.</w:t>
      </w:r>
    </w:p>
    <w:p w14:paraId="35BEE867"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7. Ja vairāki ispējamie piegādātāji piedāvājuši viszemāko cenu, tad pasūtītājs nosūta šiem iespējamajiem piegādātājiem atkārtotu cenu aptauju iesniegt piedāvājumus preces piegādei. No atkārtoti iesniegtajiem piedāvājumiem pasūtītājs izvēlās piedāvājumu ar viszemāko cenu. Ja atkārtotā cenu aptaujā iespējamie piegādātāji iesniedz piedāvājumus ar vienādām cenām, iepirkuma līguma slēgšanas tiesības tiek piešķirtas rīkojot izlozi. Pasūtītāja pilnvarotā persona rīko izlozi, kurā ir tiesīgi piedalīties iespējamie piegādātāji, kuri iesnieguši vienādus cenu piedāvājumus.  Pasūtītājs par izlozes laiku informē iespējamos piegādātājus elektroniski.</w:t>
      </w:r>
    </w:p>
    <w:p w14:paraId="77E68C02"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8. Ne ilgāk kā 5 (piecu) darba dienu laikā pēc cenu piedāvājumu iesniegšanas termiņa pasūtītāja pilnvarotā persona nosūta iespējamajam piegādātājam paziņojumu par cenu aptaujas rezultātiem.</w:t>
      </w:r>
    </w:p>
    <w:p w14:paraId="62962BB3"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 xml:space="preserve">9. Līdz ar paziņojuma nosūtīšanas dienu, tiek uzskatīts, ka ar iespējamo piegādātāju, kas piedāvājis zemāko preces cenu, ir noslēgts iepirkuma līgums, pamatojoties uz vienošanās noteikumiem. Paziņojumā tiek norādīts laika periods, kurā jāpiegādā prece. </w:t>
      </w:r>
    </w:p>
    <w:p w14:paraId="36175F59"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10. Ja piegādātājs atsakās no iepirkuma līguma izpildes, pasūtītājam ir tiesības piešķirt Iepirkuma līguma slēgšanas tiesības iespējamajam piegādātājam, kas piedāvāja nākamo zemāko cenu.</w:t>
      </w:r>
    </w:p>
    <w:p w14:paraId="39B1B3B2" w14:textId="77777777" w:rsidR="001A1178" w:rsidRDefault="001A1178" w:rsidP="001A1178">
      <w:pPr>
        <w:spacing w:after="0" w:line="240" w:lineRule="auto"/>
        <w:ind w:firstLine="720"/>
        <w:jc w:val="both"/>
        <w:rPr>
          <w:rFonts w:ascii="Times New Roman" w:hAnsi="Times New Roman" w:cs="Times New Roman"/>
          <w:b/>
          <w:bCs/>
        </w:rPr>
      </w:pPr>
      <w:r>
        <w:rPr>
          <w:rFonts w:ascii="Times New Roman" w:hAnsi="Times New Roman" w:cs="Times New Roman"/>
          <w:b/>
          <w:bCs/>
        </w:rPr>
        <w:t>Prasības precei un piegādei:</w:t>
      </w:r>
    </w:p>
    <w:p w14:paraId="71478FC0"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1. Prece jāpiegādā atsevišķu daļu veidā, saskaņā ar pasūtītāja pilnvarotās personas pasūtījumu, uz pasūtītāja objektiem:</w:t>
      </w:r>
    </w:p>
    <w:p w14:paraId="61629BA7"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 xml:space="preserve">litrāžas piegādes: </w:t>
      </w:r>
    </w:p>
    <w:p w14:paraId="1EFA4CE2" w14:textId="77777777" w:rsidR="001A1178" w:rsidRDefault="001A1178" w:rsidP="001A1178">
      <w:pPr>
        <w:spacing w:after="0" w:line="240" w:lineRule="auto"/>
        <w:ind w:left="1440"/>
        <w:jc w:val="both"/>
        <w:rPr>
          <w:rFonts w:ascii="Times New Roman" w:hAnsi="Times New Roman" w:cs="Times New Roman"/>
        </w:rPr>
      </w:pPr>
      <w:r>
        <w:rPr>
          <w:rFonts w:ascii="Times New Roman" w:hAnsi="Times New Roman" w:cs="Times New Roman"/>
        </w:rPr>
        <w:t>1. Rīgā, Kleistu ielā 28;</w:t>
      </w:r>
    </w:p>
    <w:p w14:paraId="03642D35" w14:textId="77777777" w:rsidR="001A1178" w:rsidRDefault="001A1178" w:rsidP="001A1178">
      <w:pPr>
        <w:spacing w:after="0" w:line="240" w:lineRule="auto"/>
        <w:ind w:left="1440"/>
        <w:jc w:val="both"/>
        <w:rPr>
          <w:rFonts w:ascii="Times New Roman" w:hAnsi="Times New Roman" w:cs="Times New Roman"/>
        </w:rPr>
      </w:pPr>
      <w:r>
        <w:rPr>
          <w:rFonts w:ascii="Times New Roman" w:hAnsi="Times New Roman" w:cs="Times New Roman"/>
        </w:rPr>
        <w:t>2. Rīgā, Vestienas ielā 35;</w:t>
      </w:r>
    </w:p>
    <w:p w14:paraId="3526F916"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t>10 l piegādes:</w:t>
      </w:r>
    </w:p>
    <w:p w14:paraId="332E88A0" w14:textId="77777777" w:rsidR="001A1178" w:rsidRDefault="001A1178" w:rsidP="001A1178">
      <w:pPr>
        <w:spacing w:after="0" w:line="240" w:lineRule="auto"/>
        <w:ind w:left="1440"/>
        <w:jc w:val="both"/>
        <w:rPr>
          <w:rFonts w:ascii="Times New Roman" w:hAnsi="Times New Roman" w:cs="Times New Roman"/>
        </w:rPr>
      </w:pPr>
      <w:r>
        <w:rPr>
          <w:rFonts w:ascii="Times New Roman" w:hAnsi="Times New Roman" w:cs="Times New Roman"/>
        </w:rPr>
        <w:t>1. Rīgā, Vestienas ielā 35;</w:t>
      </w:r>
    </w:p>
    <w:p w14:paraId="1B3C2E7B" w14:textId="77777777" w:rsidR="001A1178" w:rsidRDefault="001A1178" w:rsidP="001A1178">
      <w:pPr>
        <w:spacing w:after="0" w:line="240" w:lineRule="auto"/>
        <w:ind w:left="1440"/>
        <w:jc w:val="both"/>
        <w:rPr>
          <w:rFonts w:ascii="Times New Roman" w:hAnsi="Times New Roman" w:cs="Times New Roman"/>
        </w:rPr>
      </w:pPr>
      <w:r>
        <w:rPr>
          <w:rFonts w:ascii="Times New Roman" w:hAnsi="Times New Roman" w:cs="Times New Roman"/>
        </w:rPr>
        <w:t>2. Rīgā, Jelgavas ielā 37;</w:t>
      </w:r>
    </w:p>
    <w:p w14:paraId="6ECFDBAE" w14:textId="77777777" w:rsidR="001A1178" w:rsidRDefault="001A1178" w:rsidP="001A1178">
      <w:pPr>
        <w:spacing w:after="0" w:line="240" w:lineRule="auto"/>
        <w:ind w:left="1440"/>
        <w:jc w:val="both"/>
        <w:rPr>
          <w:rFonts w:ascii="Times New Roman" w:hAnsi="Times New Roman" w:cs="Times New Roman"/>
        </w:rPr>
      </w:pPr>
      <w:r>
        <w:rPr>
          <w:rFonts w:ascii="Times New Roman" w:hAnsi="Times New Roman" w:cs="Times New Roman"/>
        </w:rPr>
        <w:t>3. Rīgā, Ganību dambī 32.</w:t>
      </w:r>
    </w:p>
    <w:p w14:paraId="372B887D" w14:textId="77777777" w:rsidR="001A1178" w:rsidRDefault="001A1178" w:rsidP="001A1178">
      <w:pPr>
        <w:spacing w:after="0" w:line="240" w:lineRule="auto"/>
        <w:ind w:firstLine="720"/>
        <w:jc w:val="both"/>
        <w:rPr>
          <w:rFonts w:ascii="Times New Roman" w:hAnsi="Times New Roman" w:cs="Times New Roman"/>
        </w:rPr>
      </w:pPr>
      <w:r>
        <w:rPr>
          <w:rFonts w:ascii="Times New Roman" w:hAnsi="Times New Roman" w:cs="Times New Roman"/>
        </w:rPr>
        <w:lastRenderedPageBreak/>
        <w:t>2. Pasūtītāja pilnvarotā persona var norādīt citas piegādes vietas Rīgas pilsētas administratīvajā teritorijā, iepriekš to saskaņojot ar piegādātāju.</w:t>
      </w:r>
    </w:p>
    <w:p w14:paraId="15160A98" w14:textId="290F6CA1" w:rsidR="007E35D8" w:rsidRPr="00A375A3" w:rsidRDefault="001A1178" w:rsidP="00A375A3">
      <w:pPr>
        <w:spacing w:after="0" w:line="240" w:lineRule="auto"/>
        <w:ind w:firstLine="720"/>
        <w:jc w:val="both"/>
        <w:rPr>
          <w:rFonts w:ascii="Times New Roman" w:hAnsi="Times New Roman" w:cs="Times New Roman"/>
        </w:rPr>
      </w:pPr>
      <w:r>
        <w:rPr>
          <w:rFonts w:ascii="Times New Roman" w:hAnsi="Times New Roman" w:cs="Times New Roman"/>
        </w:rPr>
        <w:t>3. Prece</w:t>
      </w:r>
      <w:r w:rsidR="00A375A3">
        <w:rPr>
          <w:rFonts w:ascii="Times New Roman" w:hAnsi="Times New Roman" w:cs="Times New Roman"/>
        </w:rPr>
        <w:t>s provizoriskais daudzums</w:t>
      </w:r>
      <w:r>
        <w:rPr>
          <w:rFonts w:ascii="Times New Roman" w:hAnsi="Times New Roman" w:cs="Times New Roman"/>
        </w:rPr>
        <w:t>:</w:t>
      </w:r>
    </w:p>
    <w:tbl>
      <w:tblPr>
        <w:tblStyle w:val="TableGrid"/>
        <w:tblW w:w="5978" w:type="pct"/>
        <w:jc w:val="center"/>
        <w:tblLayout w:type="fixed"/>
        <w:tblLook w:val="04A0" w:firstRow="1" w:lastRow="0" w:firstColumn="1" w:lastColumn="0" w:noHBand="0" w:noVBand="1"/>
      </w:tblPr>
      <w:tblGrid>
        <w:gridCol w:w="312"/>
        <w:gridCol w:w="1668"/>
        <w:gridCol w:w="2837"/>
        <w:gridCol w:w="1460"/>
        <w:gridCol w:w="1418"/>
        <w:gridCol w:w="2224"/>
      </w:tblGrid>
      <w:tr w:rsidR="00515BF1" w:rsidRPr="0078276F" w14:paraId="1C270116" w14:textId="36710680" w:rsidTr="00515BF1">
        <w:trPr>
          <w:trHeight w:val="2150"/>
          <w:jc w:val="center"/>
        </w:trPr>
        <w:tc>
          <w:tcPr>
            <w:tcW w:w="998" w:type="pct"/>
            <w:gridSpan w:val="2"/>
            <w:vAlign w:val="center"/>
            <w:hideMark/>
          </w:tcPr>
          <w:p w14:paraId="09A11BA6" w14:textId="77777777" w:rsidR="00515BF1" w:rsidRPr="0078276F" w:rsidRDefault="00515BF1" w:rsidP="00F4537B">
            <w:pPr>
              <w:jc w:val="center"/>
              <w:rPr>
                <w:rFonts w:ascii="Times New Roman" w:hAnsi="Times New Roman" w:cs="Times New Roman"/>
                <w:b/>
                <w:bCs/>
                <w:sz w:val="20"/>
                <w:szCs w:val="20"/>
              </w:rPr>
            </w:pPr>
            <w:r>
              <w:rPr>
                <w:rFonts w:ascii="Times New Roman" w:hAnsi="Times New Roman" w:cs="Times New Roman"/>
                <w:b/>
                <w:bCs/>
                <w:sz w:val="20"/>
                <w:szCs w:val="20"/>
              </w:rPr>
              <w:t>Prece</w:t>
            </w:r>
          </w:p>
        </w:tc>
        <w:tc>
          <w:tcPr>
            <w:tcW w:w="1430" w:type="pct"/>
            <w:vAlign w:val="center"/>
            <w:hideMark/>
          </w:tcPr>
          <w:p w14:paraId="04AE6C27" w14:textId="77777777" w:rsidR="00515BF1" w:rsidRPr="0078276F" w:rsidRDefault="00515BF1" w:rsidP="00F4537B">
            <w:pPr>
              <w:jc w:val="center"/>
              <w:rPr>
                <w:rFonts w:ascii="Times New Roman" w:hAnsi="Times New Roman" w:cs="Times New Roman"/>
                <w:b/>
                <w:bCs/>
                <w:sz w:val="20"/>
                <w:szCs w:val="20"/>
              </w:rPr>
            </w:pPr>
            <w:r>
              <w:rPr>
                <w:rFonts w:ascii="Times New Roman" w:hAnsi="Times New Roman" w:cs="Times New Roman"/>
                <w:b/>
                <w:bCs/>
                <w:sz w:val="20"/>
                <w:szCs w:val="20"/>
              </w:rPr>
              <w:t>Atestācija un specifikācija</w:t>
            </w:r>
          </w:p>
        </w:tc>
        <w:tc>
          <w:tcPr>
            <w:tcW w:w="736" w:type="pct"/>
            <w:vAlign w:val="center"/>
            <w:hideMark/>
          </w:tcPr>
          <w:p w14:paraId="3277B42A" w14:textId="77777777" w:rsidR="00515BF1" w:rsidRPr="0078276F" w:rsidRDefault="00515BF1" w:rsidP="00F4537B">
            <w:pPr>
              <w:jc w:val="center"/>
              <w:rPr>
                <w:rFonts w:ascii="Times New Roman" w:hAnsi="Times New Roman" w:cs="Times New Roman"/>
                <w:b/>
                <w:bCs/>
                <w:sz w:val="20"/>
                <w:szCs w:val="20"/>
              </w:rPr>
            </w:pPr>
            <w:r w:rsidRPr="0078276F">
              <w:rPr>
                <w:rFonts w:ascii="Times New Roman" w:hAnsi="Times New Roman" w:cs="Times New Roman"/>
                <w:b/>
                <w:bCs/>
                <w:sz w:val="20"/>
                <w:szCs w:val="20"/>
              </w:rPr>
              <w:t>T</w:t>
            </w:r>
            <w:r>
              <w:rPr>
                <w:rFonts w:ascii="Times New Roman" w:hAnsi="Times New Roman" w:cs="Times New Roman"/>
                <w:b/>
                <w:bCs/>
                <w:sz w:val="20"/>
                <w:szCs w:val="20"/>
              </w:rPr>
              <w:t>ilpums</w:t>
            </w:r>
          </w:p>
        </w:tc>
        <w:tc>
          <w:tcPr>
            <w:tcW w:w="715" w:type="pct"/>
            <w:vAlign w:val="center"/>
            <w:hideMark/>
          </w:tcPr>
          <w:p w14:paraId="3547783D" w14:textId="77777777" w:rsidR="00515BF1" w:rsidRPr="0078276F" w:rsidRDefault="00515BF1" w:rsidP="00F4537B">
            <w:pPr>
              <w:jc w:val="center"/>
              <w:rPr>
                <w:rFonts w:ascii="Times New Roman" w:hAnsi="Times New Roman" w:cs="Times New Roman"/>
                <w:b/>
                <w:bCs/>
                <w:sz w:val="20"/>
                <w:szCs w:val="20"/>
              </w:rPr>
            </w:pPr>
            <w:r w:rsidRPr="0078276F">
              <w:rPr>
                <w:rFonts w:ascii="Times New Roman" w:hAnsi="Times New Roman" w:cs="Times New Roman"/>
                <w:b/>
                <w:bCs/>
                <w:sz w:val="20"/>
                <w:szCs w:val="20"/>
              </w:rPr>
              <w:t>M</w:t>
            </w:r>
            <w:r>
              <w:rPr>
                <w:rFonts w:ascii="Times New Roman" w:hAnsi="Times New Roman" w:cs="Times New Roman"/>
                <w:b/>
                <w:bCs/>
                <w:sz w:val="20"/>
                <w:szCs w:val="20"/>
              </w:rPr>
              <w:t>ērvienība</w:t>
            </w:r>
          </w:p>
        </w:tc>
        <w:tc>
          <w:tcPr>
            <w:tcW w:w="1121" w:type="pct"/>
          </w:tcPr>
          <w:p w14:paraId="03C3E009" w14:textId="77777777" w:rsidR="00515BF1" w:rsidRDefault="00515BF1" w:rsidP="00515BF1">
            <w:pPr>
              <w:jc w:val="center"/>
              <w:rPr>
                <w:rFonts w:ascii="Times New Roman" w:hAnsi="Times New Roman" w:cs="Times New Roman"/>
                <w:b/>
                <w:bCs/>
                <w:sz w:val="24"/>
                <w:szCs w:val="24"/>
              </w:rPr>
            </w:pPr>
            <w:r>
              <w:rPr>
                <w:rFonts w:ascii="Times New Roman" w:hAnsi="Times New Roman" w:cs="Times New Roman"/>
                <w:b/>
                <w:bCs/>
                <w:sz w:val="24"/>
                <w:szCs w:val="24"/>
              </w:rPr>
              <w:t>PROVIZORISKAIS PIEGĀDES APJOMS DIVIEM GADIEM</w:t>
            </w:r>
          </w:p>
          <w:p w14:paraId="29133092" w14:textId="77777777" w:rsidR="00515BF1" w:rsidRPr="0078276F" w:rsidRDefault="00515BF1" w:rsidP="00F4537B">
            <w:pPr>
              <w:jc w:val="center"/>
              <w:rPr>
                <w:rFonts w:ascii="Times New Roman" w:hAnsi="Times New Roman" w:cs="Times New Roman"/>
                <w:b/>
                <w:bCs/>
                <w:sz w:val="20"/>
                <w:szCs w:val="20"/>
              </w:rPr>
            </w:pPr>
          </w:p>
        </w:tc>
      </w:tr>
      <w:tr w:rsidR="00515BF1" w:rsidRPr="0078276F" w14:paraId="7F684225" w14:textId="603B233C" w:rsidTr="00986F87">
        <w:trPr>
          <w:trHeight w:val="2151"/>
          <w:jc w:val="center"/>
        </w:trPr>
        <w:tc>
          <w:tcPr>
            <w:tcW w:w="157" w:type="pct"/>
            <w:vAlign w:val="center"/>
            <w:hideMark/>
          </w:tcPr>
          <w:p w14:paraId="1F616F34" w14:textId="77777777" w:rsidR="00515BF1" w:rsidRPr="0078276F" w:rsidRDefault="00515BF1" w:rsidP="00515BF1">
            <w:pPr>
              <w:spacing w:line="300" w:lineRule="auto"/>
              <w:jc w:val="center"/>
              <w:rPr>
                <w:rFonts w:ascii="Times New Roman" w:hAnsi="Times New Roman" w:cs="Times New Roman"/>
                <w:sz w:val="20"/>
                <w:szCs w:val="20"/>
              </w:rPr>
            </w:pPr>
            <w:r w:rsidRPr="0078276F">
              <w:rPr>
                <w:rFonts w:ascii="Times New Roman" w:hAnsi="Times New Roman" w:cs="Times New Roman"/>
                <w:sz w:val="20"/>
                <w:szCs w:val="20"/>
              </w:rPr>
              <w:t>1</w:t>
            </w:r>
          </w:p>
        </w:tc>
        <w:tc>
          <w:tcPr>
            <w:tcW w:w="841" w:type="pct"/>
            <w:vAlign w:val="center"/>
            <w:hideMark/>
          </w:tcPr>
          <w:p w14:paraId="77F3D8EE" w14:textId="77777777" w:rsidR="00515BF1" w:rsidRPr="0078276F" w:rsidRDefault="00515BF1" w:rsidP="00515BF1">
            <w:pPr>
              <w:spacing w:line="300" w:lineRule="auto"/>
              <w:jc w:val="center"/>
              <w:rPr>
                <w:rFonts w:ascii="Times New Roman" w:hAnsi="Times New Roman" w:cs="Times New Roman"/>
                <w:sz w:val="20"/>
                <w:szCs w:val="20"/>
              </w:rPr>
            </w:pPr>
            <w:r w:rsidRPr="0078276F">
              <w:rPr>
                <w:rFonts w:ascii="Times New Roman" w:hAnsi="Times New Roman" w:cs="Times New Roman"/>
                <w:sz w:val="20"/>
                <w:szCs w:val="20"/>
              </w:rPr>
              <w:t>AdBlue®</w:t>
            </w:r>
          </w:p>
        </w:tc>
        <w:tc>
          <w:tcPr>
            <w:tcW w:w="1430" w:type="pct"/>
            <w:vMerge w:val="restart"/>
            <w:vAlign w:val="center"/>
            <w:hideMark/>
          </w:tcPr>
          <w:p w14:paraId="60D627C2" w14:textId="77777777" w:rsidR="00515BF1" w:rsidRPr="0078276F" w:rsidRDefault="00515BF1" w:rsidP="00515BF1">
            <w:pPr>
              <w:spacing w:line="300" w:lineRule="auto"/>
              <w:jc w:val="center"/>
              <w:rPr>
                <w:rFonts w:ascii="Times New Roman" w:hAnsi="Times New Roman" w:cs="Times New Roman"/>
                <w:sz w:val="20"/>
                <w:szCs w:val="20"/>
              </w:rPr>
            </w:pPr>
            <w:r w:rsidRPr="0078276F">
              <w:rPr>
                <w:rFonts w:ascii="Times New Roman" w:hAnsi="Times New Roman" w:cs="Times New Roman"/>
                <w:sz w:val="20"/>
                <w:szCs w:val="20"/>
              </w:rPr>
              <w:t>Karbamīda šķīdums deminiralizētā/dejonizētā ūdenī, kas paredzēts slāpekļa oksīdu (NOx) samazināšanai izplūdes gāzēs, izmantojams  Euro 4; Euro 5; Euro 6 iekšdedzes dīzeļdzinējos SCR sistēmā (selektīvā izplūdes gāzu attīrīšanas sistēma); Atbilstība DIN 70 070; ISO 22241 -1/ -2/ -3/ -4; VDA (Verband der Automobilindustrie) izsniegts sertifikāts.</w:t>
            </w:r>
          </w:p>
        </w:tc>
        <w:tc>
          <w:tcPr>
            <w:tcW w:w="736" w:type="pct"/>
            <w:vAlign w:val="center"/>
            <w:hideMark/>
          </w:tcPr>
          <w:p w14:paraId="12C01CB7" w14:textId="77777777" w:rsidR="00515BF1" w:rsidRPr="0078276F" w:rsidRDefault="00515BF1" w:rsidP="00515BF1">
            <w:pPr>
              <w:spacing w:line="300" w:lineRule="auto"/>
              <w:jc w:val="center"/>
              <w:rPr>
                <w:rFonts w:ascii="Times New Roman" w:hAnsi="Times New Roman" w:cs="Times New Roman"/>
                <w:sz w:val="20"/>
                <w:szCs w:val="20"/>
              </w:rPr>
            </w:pPr>
            <w:r w:rsidRPr="0078276F">
              <w:rPr>
                <w:rFonts w:ascii="Times New Roman" w:hAnsi="Times New Roman" w:cs="Times New Roman"/>
                <w:sz w:val="20"/>
                <w:szCs w:val="20"/>
              </w:rPr>
              <w:t>1000 litri</w:t>
            </w:r>
          </w:p>
        </w:tc>
        <w:tc>
          <w:tcPr>
            <w:tcW w:w="715" w:type="pct"/>
            <w:vAlign w:val="center"/>
            <w:hideMark/>
          </w:tcPr>
          <w:p w14:paraId="6F1A46C9" w14:textId="0567CEB8" w:rsidR="00515BF1" w:rsidRPr="0078276F" w:rsidRDefault="00515BF1" w:rsidP="00515BF1">
            <w:pPr>
              <w:spacing w:line="300" w:lineRule="auto"/>
              <w:jc w:val="center"/>
              <w:rPr>
                <w:rFonts w:ascii="Times New Roman" w:hAnsi="Times New Roman" w:cs="Times New Roman"/>
                <w:sz w:val="20"/>
                <w:szCs w:val="20"/>
              </w:rPr>
            </w:pPr>
            <w:r>
              <w:rPr>
                <w:rFonts w:ascii="Times New Roman" w:hAnsi="Times New Roman" w:cs="Times New Roman"/>
                <w:sz w:val="20"/>
                <w:szCs w:val="20"/>
              </w:rPr>
              <w:t>L</w:t>
            </w:r>
          </w:p>
        </w:tc>
        <w:tc>
          <w:tcPr>
            <w:tcW w:w="1121" w:type="pct"/>
            <w:vAlign w:val="center"/>
          </w:tcPr>
          <w:p w14:paraId="57C3989A" w14:textId="5B23D54C" w:rsidR="00515BF1" w:rsidRDefault="00515BF1" w:rsidP="00515BF1">
            <w:pPr>
              <w:spacing w:line="300" w:lineRule="auto"/>
              <w:jc w:val="center"/>
              <w:rPr>
                <w:rFonts w:ascii="Times New Roman" w:hAnsi="Times New Roman" w:cs="Times New Roman"/>
                <w:sz w:val="20"/>
                <w:szCs w:val="20"/>
              </w:rPr>
            </w:pPr>
            <w:r w:rsidRPr="004150CC">
              <w:rPr>
                <w:rFonts w:ascii="Times New Roman" w:hAnsi="Times New Roman" w:cs="Times New Roman"/>
                <w:noProof/>
                <w:sz w:val="24"/>
                <w:szCs w:val="24"/>
              </w:rPr>
              <w:t>700 000</w:t>
            </w:r>
          </w:p>
        </w:tc>
      </w:tr>
      <w:tr w:rsidR="00515BF1" w:rsidRPr="0078276F" w14:paraId="7C1D92DD" w14:textId="05C223B1" w:rsidTr="00986F87">
        <w:trPr>
          <w:trHeight w:val="2151"/>
          <w:jc w:val="center"/>
        </w:trPr>
        <w:tc>
          <w:tcPr>
            <w:tcW w:w="157" w:type="pct"/>
            <w:vAlign w:val="center"/>
            <w:hideMark/>
          </w:tcPr>
          <w:p w14:paraId="5DBE7A7A" w14:textId="77777777" w:rsidR="00515BF1" w:rsidRPr="0078276F" w:rsidRDefault="00515BF1" w:rsidP="00515BF1">
            <w:pPr>
              <w:spacing w:line="300" w:lineRule="auto"/>
              <w:jc w:val="center"/>
              <w:rPr>
                <w:rFonts w:ascii="Times New Roman" w:hAnsi="Times New Roman" w:cs="Times New Roman"/>
                <w:sz w:val="20"/>
                <w:szCs w:val="20"/>
              </w:rPr>
            </w:pPr>
            <w:r w:rsidRPr="0078276F">
              <w:rPr>
                <w:rFonts w:ascii="Times New Roman" w:hAnsi="Times New Roman" w:cs="Times New Roman"/>
                <w:sz w:val="20"/>
                <w:szCs w:val="20"/>
              </w:rPr>
              <w:t>2</w:t>
            </w:r>
          </w:p>
        </w:tc>
        <w:tc>
          <w:tcPr>
            <w:tcW w:w="841" w:type="pct"/>
            <w:vAlign w:val="center"/>
            <w:hideMark/>
          </w:tcPr>
          <w:p w14:paraId="6F6D9008" w14:textId="77777777" w:rsidR="00515BF1" w:rsidRPr="0078276F" w:rsidRDefault="00515BF1" w:rsidP="00515BF1">
            <w:pPr>
              <w:spacing w:line="300" w:lineRule="auto"/>
              <w:jc w:val="center"/>
              <w:rPr>
                <w:rFonts w:ascii="Times New Roman" w:hAnsi="Times New Roman" w:cs="Times New Roman"/>
                <w:sz w:val="20"/>
                <w:szCs w:val="20"/>
              </w:rPr>
            </w:pPr>
            <w:r w:rsidRPr="0078276F">
              <w:rPr>
                <w:rFonts w:ascii="Times New Roman" w:hAnsi="Times New Roman" w:cs="Times New Roman"/>
                <w:sz w:val="20"/>
                <w:szCs w:val="20"/>
              </w:rPr>
              <w:t>AdBlue®</w:t>
            </w:r>
          </w:p>
        </w:tc>
        <w:tc>
          <w:tcPr>
            <w:tcW w:w="1430" w:type="pct"/>
            <w:vMerge/>
            <w:vAlign w:val="center"/>
            <w:hideMark/>
          </w:tcPr>
          <w:p w14:paraId="593B6A75" w14:textId="77777777" w:rsidR="00515BF1" w:rsidRPr="0078276F" w:rsidRDefault="00515BF1" w:rsidP="00515BF1">
            <w:pPr>
              <w:spacing w:line="300" w:lineRule="auto"/>
              <w:jc w:val="center"/>
              <w:rPr>
                <w:rFonts w:ascii="Times New Roman" w:hAnsi="Times New Roman" w:cs="Times New Roman"/>
                <w:sz w:val="20"/>
                <w:szCs w:val="20"/>
              </w:rPr>
            </w:pPr>
          </w:p>
        </w:tc>
        <w:tc>
          <w:tcPr>
            <w:tcW w:w="736" w:type="pct"/>
            <w:vAlign w:val="center"/>
            <w:hideMark/>
          </w:tcPr>
          <w:p w14:paraId="576FE58A" w14:textId="77777777" w:rsidR="00515BF1" w:rsidRPr="0078276F" w:rsidRDefault="00515BF1" w:rsidP="00515BF1">
            <w:pPr>
              <w:spacing w:line="300" w:lineRule="auto"/>
              <w:jc w:val="center"/>
              <w:rPr>
                <w:rFonts w:ascii="Times New Roman" w:hAnsi="Times New Roman" w:cs="Times New Roman"/>
                <w:sz w:val="20"/>
                <w:szCs w:val="20"/>
              </w:rPr>
            </w:pPr>
            <w:r w:rsidRPr="0078276F">
              <w:rPr>
                <w:rFonts w:ascii="Times New Roman" w:hAnsi="Times New Roman" w:cs="Times New Roman"/>
                <w:sz w:val="20"/>
                <w:szCs w:val="20"/>
              </w:rPr>
              <w:t>10 litri</w:t>
            </w:r>
          </w:p>
        </w:tc>
        <w:tc>
          <w:tcPr>
            <w:tcW w:w="715" w:type="pct"/>
            <w:vAlign w:val="center"/>
            <w:hideMark/>
          </w:tcPr>
          <w:p w14:paraId="7AC5D391" w14:textId="5A1A5D18" w:rsidR="00515BF1" w:rsidRPr="0078276F" w:rsidRDefault="00515BF1" w:rsidP="00515BF1">
            <w:pPr>
              <w:spacing w:line="300" w:lineRule="auto"/>
              <w:jc w:val="center"/>
              <w:rPr>
                <w:rFonts w:ascii="Times New Roman" w:hAnsi="Times New Roman" w:cs="Times New Roman"/>
                <w:sz w:val="20"/>
                <w:szCs w:val="20"/>
              </w:rPr>
            </w:pPr>
            <w:r>
              <w:rPr>
                <w:rFonts w:ascii="Times New Roman" w:hAnsi="Times New Roman" w:cs="Times New Roman"/>
                <w:sz w:val="20"/>
                <w:szCs w:val="20"/>
              </w:rPr>
              <w:t>L</w:t>
            </w:r>
          </w:p>
        </w:tc>
        <w:tc>
          <w:tcPr>
            <w:tcW w:w="1121" w:type="pct"/>
            <w:vAlign w:val="center"/>
          </w:tcPr>
          <w:p w14:paraId="03DFE551" w14:textId="08BA9E74" w:rsidR="00515BF1" w:rsidRDefault="00515BF1" w:rsidP="00515BF1">
            <w:pPr>
              <w:spacing w:line="300" w:lineRule="auto"/>
              <w:jc w:val="center"/>
              <w:rPr>
                <w:rFonts w:ascii="Times New Roman" w:hAnsi="Times New Roman" w:cs="Times New Roman"/>
                <w:sz w:val="20"/>
                <w:szCs w:val="20"/>
              </w:rPr>
            </w:pPr>
            <w:r>
              <w:rPr>
                <w:rFonts w:ascii="Times New Roman" w:hAnsi="Times New Roman" w:cs="Times New Roman"/>
                <w:sz w:val="20"/>
                <w:szCs w:val="20"/>
              </w:rPr>
              <w:t>4000</w:t>
            </w:r>
          </w:p>
        </w:tc>
      </w:tr>
    </w:tbl>
    <w:p w14:paraId="20726B29" w14:textId="77777777" w:rsidR="0075767C" w:rsidRPr="008D51D0" w:rsidRDefault="0075767C" w:rsidP="0075767C">
      <w:pPr>
        <w:spacing w:after="0" w:line="240" w:lineRule="auto"/>
        <w:ind w:firstLine="720"/>
        <w:jc w:val="both"/>
        <w:rPr>
          <w:rFonts w:ascii="Times New Roman" w:hAnsi="Times New Roman" w:cs="Times New Roman"/>
        </w:rPr>
      </w:pPr>
      <w:r>
        <w:rPr>
          <w:rFonts w:ascii="Times New Roman" w:hAnsi="Times New Roman" w:cs="Times New Roman"/>
        </w:rPr>
        <w:t>4. Piegādājot lielā apjoma preci (mērāmo litros), piegādātājs to var piegādāt savā atsevišķā lielgabarīta iepakojumā, tarā (mucās) vai uzpildot pasūtītāja iepakojumā, tarā (mucās).</w:t>
      </w:r>
    </w:p>
    <w:p w14:paraId="6A1382AA" w14:textId="77777777" w:rsidR="001F0747" w:rsidRDefault="001F0747"/>
    <w:sectPr w:rsidR="001F07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5D8"/>
    <w:rsid w:val="00017F03"/>
    <w:rsid w:val="00160285"/>
    <w:rsid w:val="001A1178"/>
    <w:rsid w:val="001F0747"/>
    <w:rsid w:val="00414168"/>
    <w:rsid w:val="004D7157"/>
    <w:rsid w:val="00515BF1"/>
    <w:rsid w:val="005C47D9"/>
    <w:rsid w:val="00716B47"/>
    <w:rsid w:val="0075767C"/>
    <w:rsid w:val="007E35D8"/>
    <w:rsid w:val="008243E7"/>
    <w:rsid w:val="00973DF8"/>
    <w:rsid w:val="00A375A3"/>
    <w:rsid w:val="00EB748D"/>
    <w:rsid w:val="00EC260C"/>
    <w:rsid w:val="00FE5D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0BF7"/>
  <w15:chartTrackingRefBased/>
  <w15:docId w15:val="{976F30A6-3B60-43F7-A3D6-68D39E7A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644112">
      <w:bodyDiv w:val="1"/>
      <w:marLeft w:val="0"/>
      <w:marRight w:val="0"/>
      <w:marTop w:val="0"/>
      <w:marBottom w:val="0"/>
      <w:divBdr>
        <w:top w:val="none" w:sz="0" w:space="0" w:color="auto"/>
        <w:left w:val="none" w:sz="0" w:space="0" w:color="auto"/>
        <w:bottom w:val="none" w:sz="0" w:space="0" w:color="auto"/>
        <w:right w:val="none" w:sz="0" w:space="0" w:color="auto"/>
      </w:divBdr>
    </w:div>
    <w:div w:id="17002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2597</Words>
  <Characters>1481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Bortņika</dc:creator>
  <cp:keywords/>
  <dc:description/>
  <cp:lastModifiedBy>Sandra Čakša</cp:lastModifiedBy>
  <cp:revision>3</cp:revision>
  <dcterms:created xsi:type="dcterms:W3CDTF">2025-04-23T11:49:00Z</dcterms:created>
  <dcterms:modified xsi:type="dcterms:W3CDTF">2025-04-23T13:40:00Z</dcterms:modified>
</cp:coreProperties>
</file>