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474C26" w:rsidRDefault="00B67B48" w:rsidP="00610471">
      <w:pPr>
        <w:rPr>
          <w:lang w:val="en-GB"/>
        </w:rPr>
      </w:pPr>
    </w:p>
    <w:p w14:paraId="46A3C670" w14:textId="77777777" w:rsidR="007F3584" w:rsidRDefault="007F3584" w:rsidP="00610471">
      <w:pPr>
        <w:pStyle w:val="Default"/>
        <w:tabs>
          <w:tab w:val="left" w:pos="5387"/>
        </w:tabs>
        <w:jc w:val="both"/>
        <w:rPr>
          <w:iCs/>
          <w:lang w:val="en-GB"/>
        </w:rPr>
      </w:pPr>
    </w:p>
    <w:p w14:paraId="2E122FCE" w14:textId="77777777" w:rsidR="001F54EF" w:rsidRPr="00474C26" w:rsidRDefault="001F54EF" w:rsidP="00610471">
      <w:pPr>
        <w:pStyle w:val="Default"/>
        <w:tabs>
          <w:tab w:val="left" w:pos="5387"/>
        </w:tabs>
        <w:jc w:val="both"/>
        <w:rPr>
          <w:iCs/>
          <w:lang w:val="en-GB"/>
        </w:rPr>
      </w:pPr>
    </w:p>
    <w:p w14:paraId="5BDD3E68" w14:textId="77777777" w:rsidR="00B74FDD" w:rsidRPr="00474C26" w:rsidRDefault="00B74FDD" w:rsidP="00610471">
      <w:pPr>
        <w:pStyle w:val="Default"/>
        <w:tabs>
          <w:tab w:val="left" w:pos="5387"/>
        </w:tabs>
        <w:ind w:right="4528"/>
        <w:jc w:val="both"/>
        <w:rPr>
          <w:iCs/>
          <w:lang w:val="en-GB"/>
        </w:rPr>
      </w:pPr>
      <w:r w:rsidRPr="00474C26">
        <w:rPr>
          <w:lang w:val="en-GB" w:bidi="en-GB"/>
        </w:rPr>
        <w:t>Regarding the requirements of the procurement procedure “Supply of buses” (ID No. RS 2026/17)</w:t>
      </w:r>
    </w:p>
    <w:p w14:paraId="60CCE50F" w14:textId="77777777" w:rsidR="007F3584" w:rsidRPr="00474C26" w:rsidRDefault="007F3584" w:rsidP="00610471">
      <w:pPr>
        <w:rPr>
          <w:i/>
          <w:lang w:val="en-GB"/>
        </w:rPr>
      </w:pPr>
    </w:p>
    <w:p w14:paraId="2F7C4F3C" w14:textId="3823CEC7" w:rsidR="007F3584" w:rsidRPr="00474C26" w:rsidRDefault="007F3584" w:rsidP="00610471">
      <w:pPr>
        <w:tabs>
          <w:tab w:val="right" w:pos="9355"/>
        </w:tabs>
        <w:ind w:firstLine="426"/>
        <w:jc w:val="both"/>
        <w:rPr>
          <w:lang w:val="en-GB"/>
        </w:rPr>
      </w:pPr>
      <w:r w:rsidRPr="00474C26">
        <w:rPr>
          <w:lang w:val="en-GB" w:bidi="en-GB"/>
        </w:rPr>
        <w:t>Riga Municipality Limited Liability Company (SIA) Rīgas satiksme (hereinafter – the “Contracting Authority”) Procurement Commission has received a request from a potential tenderer to provide answers to questions regarding the requirements of the procurement procedure “Supply of Buses” (ID No. RS 2026/17) (hereinafter – the “procurement procedure”).</w:t>
      </w:r>
    </w:p>
    <w:p w14:paraId="0CD7B366" w14:textId="77777777" w:rsidR="00BA4FA0" w:rsidRPr="00474C26" w:rsidRDefault="00BA4FA0" w:rsidP="00610471">
      <w:pPr>
        <w:jc w:val="both"/>
        <w:rPr>
          <w:lang w:val="en-GB"/>
        </w:rPr>
      </w:pPr>
    </w:p>
    <w:p w14:paraId="07003976" w14:textId="77777777" w:rsidR="00BA4FA0" w:rsidRPr="00474C26" w:rsidRDefault="00BA4FA0" w:rsidP="007C6455">
      <w:pPr>
        <w:pBdr>
          <w:bottom w:val="single" w:sz="4" w:space="1" w:color="auto"/>
        </w:pBdr>
        <w:rPr>
          <w:b/>
          <w:bCs/>
          <w:lang w:val="en-GB"/>
        </w:rPr>
      </w:pPr>
      <w:r w:rsidRPr="00474C26">
        <w:rPr>
          <w:b/>
          <w:lang w:val="en-GB" w:bidi="en-GB"/>
        </w:rPr>
        <w:t>To 10.06.2026 No. 2.7.9</w:t>
      </w:r>
    </w:p>
    <w:p w14:paraId="7EC5D819" w14:textId="77777777" w:rsidR="00BA4FA0" w:rsidRPr="00474C26" w:rsidRDefault="00BA4FA0" w:rsidP="00610471">
      <w:pPr>
        <w:jc w:val="both"/>
        <w:rPr>
          <w:lang w:val="en-GB"/>
        </w:rPr>
      </w:pPr>
    </w:p>
    <w:p w14:paraId="6A4F2C6D" w14:textId="77777777" w:rsidR="007F3584" w:rsidRPr="00474C26" w:rsidRDefault="007F3584" w:rsidP="00610471">
      <w:pPr>
        <w:jc w:val="both"/>
        <w:rPr>
          <w:b/>
          <w:bCs/>
          <w:lang w:val="en-GB"/>
        </w:rPr>
      </w:pPr>
      <w:r w:rsidRPr="00474C26">
        <w:rPr>
          <w:b/>
          <w:lang w:val="en-GB" w:bidi="en-GB"/>
        </w:rPr>
        <w:t>Question 1:</w:t>
      </w:r>
    </w:p>
    <w:p w14:paraId="6A160A53" w14:textId="626DC6F9" w:rsidR="004518EC" w:rsidRPr="00474C26" w:rsidRDefault="004518EC" w:rsidP="004518EC">
      <w:pPr>
        <w:ind w:firstLine="720"/>
        <w:jc w:val="both"/>
        <w:rPr>
          <w:lang w:val="en-GB"/>
        </w:rPr>
      </w:pPr>
      <w:r w:rsidRPr="00474C26">
        <w:rPr>
          <w:lang w:val="en-GB" w:bidi="en-GB"/>
        </w:rPr>
        <w:t xml:space="preserve"> Section B.1.4 (Emergency Exits) of the technical specifications stipulates that emergency exits designed as windows must be equipped with a glass-breaking device, such as a “Safe-T-Punch” or an equivalent solution, and that the glass-breaking device must be permanently attached to the window in a manner that prevents its removal or unauthorised use and reduces the risk of vandalism. </w:t>
      </w:r>
    </w:p>
    <w:p w14:paraId="6A970371" w14:textId="77777777" w:rsidR="004518EC" w:rsidRPr="00474C26" w:rsidRDefault="004518EC" w:rsidP="004518EC">
      <w:pPr>
        <w:ind w:firstLine="720"/>
        <w:jc w:val="both"/>
        <w:rPr>
          <w:lang w:val="en-GB"/>
        </w:rPr>
      </w:pPr>
      <w:r w:rsidRPr="00474C26">
        <w:rPr>
          <w:lang w:val="en-GB" w:bidi="en-GB"/>
        </w:rPr>
        <w:t xml:space="preserve">In modern public transport practice, this requirement is often met by using an emergency hammer, where the hammer is secured near the window with a fixed safety cable. The cable mechanism prevents the hammer from being removed while still allowing it to be used in an emergency. This is a widely used and recognised solution that complies with the requirements of UN/ECE Regulation No. 107 regarding emergency exits. Another option involves an alarm system that activates if the hammer is removed; while this would be inconsequential in the event of an accident, it would deter unauthorised removal and, should it occur, prompt a timely response. </w:t>
      </w:r>
    </w:p>
    <w:p w14:paraId="4E58D146" w14:textId="3E6BF877" w:rsidR="009136B5" w:rsidRPr="00474C26" w:rsidRDefault="004518EC" w:rsidP="004518EC">
      <w:pPr>
        <w:ind w:firstLine="720"/>
        <w:jc w:val="both"/>
        <w:rPr>
          <w:lang w:val="en-GB"/>
        </w:rPr>
      </w:pPr>
      <w:r w:rsidRPr="00474C26">
        <w:rPr>
          <w:lang w:val="en-GB" w:bidi="en-GB"/>
        </w:rPr>
        <w:t>We ask the Contracting Authority to confirm that the emergency hammer solution, in which the hammer is permanently attached next to the window with a safety cable that prevents the hammer from being removed and reduces the risk of vandalism, is considered to comply with the requirement specified in Section B.1.4 and qualifies as a “Safe-T-Punch equivalent solution” within the meaning of Section B.1.4.</w:t>
      </w:r>
    </w:p>
    <w:p w14:paraId="3A519E39" w14:textId="77777777" w:rsidR="004518EC" w:rsidRPr="00474C26" w:rsidRDefault="004518EC" w:rsidP="004518EC">
      <w:pPr>
        <w:ind w:firstLine="720"/>
        <w:jc w:val="both"/>
        <w:rPr>
          <w:lang w:val="en-GB"/>
        </w:rPr>
      </w:pPr>
    </w:p>
    <w:p w14:paraId="54BCF287" w14:textId="504FCE1B" w:rsidR="007F3584" w:rsidRPr="00474C26" w:rsidRDefault="00A466A6" w:rsidP="00610471">
      <w:pPr>
        <w:jc w:val="both"/>
        <w:rPr>
          <w:b/>
          <w:bCs/>
          <w:lang w:val="en-GB"/>
        </w:rPr>
      </w:pPr>
      <w:r w:rsidRPr="00474C26">
        <w:rPr>
          <w:b/>
          <w:lang w:val="en-GB" w:bidi="en-GB"/>
        </w:rPr>
        <w:t>Answer 1:</w:t>
      </w:r>
    </w:p>
    <w:p w14:paraId="0FB4510B" w14:textId="77777777" w:rsidR="005A3D7A" w:rsidRPr="00474C26" w:rsidRDefault="005A3D7A" w:rsidP="005A3D7A">
      <w:pPr>
        <w:ind w:firstLine="720"/>
        <w:jc w:val="both"/>
        <w:rPr>
          <w:lang w:val="en-GB"/>
        </w:rPr>
      </w:pPr>
      <w:r w:rsidRPr="00474C26">
        <w:rPr>
          <w:lang w:val="en-GB" w:bidi="en-GB"/>
        </w:rPr>
        <w:t>The purpose of the requirement in Section B.1.4 of the technical specifications is to ensure a solution that minimises the risk of removal, misuse, and vandalism of the glass-breaking device.</w:t>
      </w:r>
    </w:p>
    <w:p w14:paraId="57F88C97" w14:textId="77777777" w:rsidR="005A3D7A" w:rsidRPr="00474C26" w:rsidRDefault="005A3D7A" w:rsidP="005A3D7A">
      <w:pPr>
        <w:ind w:firstLine="720"/>
        <w:jc w:val="both"/>
        <w:rPr>
          <w:lang w:val="en-GB"/>
        </w:rPr>
      </w:pPr>
      <w:r w:rsidRPr="00474C26">
        <w:rPr>
          <w:lang w:val="en-GB" w:bidi="en-GB"/>
        </w:rPr>
        <w:t>The Contracting Authorities take into account that emergency hammer solutions with a safety cable are widely used and comply with the requirements of the laws and regulations. However, such solutions are not considered equivalent to glass-breaking devices that are permanently integrated into or directly attached to the window structure.</w:t>
      </w:r>
    </w:p>
    <w:p w14:paraId="6A9E7B2F" w14:textId="77777777" w:rsidR="005A3D7A" w:rsidRPr="00474C26" w:rsidRDefault="005A3D7A" w:rsidP="005A3D7A">
      <w:pPr>
        <w:ind w:firstLine="720"/>
        <w:jc w:val="both"/>
        <w:rPr>
          <w:lang w:val="en-GB"/>
        </w:rPr>
      </w:pPr>
      <w:r w:rsidRPr="00474C26">
        <w:rPr>
          <w:lang w:val="en-GB" w:bidi="en-GB"/>
        </w:rPr>
        <w:t>Accordingly, the Contracting Authority provides for a modern solution, such as “Safe‑T‑Punch” or an equivalent, where the glass-breaking device is permanently attached to the window glass, preventing its removal.</w:t>
      </w:r>
    </w:p>
    <w:p w14:paraId="43B4889F" w14:textId="0EDA5FEB" w:rsidR="00DE602E" w:rsidRPr="00474C26" w:rsidRDefault="005A3D7A" w:rsidP="005A3D7A">
      <w:pPr>
        <w:ind w:firstLine="720"/>
        <w:jc w:val="both"/>
        <w:rPr>
          <w:lang w:val="en-GB"/>
        </w:rPr>
      </w:pPr>
      <w:r w:rsidRPr="00474C26">
        <w:rPr>
          <w:lang w:val="en-GB" w:bidi="en-GB"/>
        </w:rPr>
        <w:t>Solutions based on removable hammers, even those equipped with safety cables or alarms, are not considered to meet this requirement.</w:t>
      </w:r>
    </w:p>
    <w:p w14:paraId="0D62A04C" w14:textId="77777777" w:rsidR="00103D92" w:rsidRPr="00474C26" w:rsidRDefault="00103D92" w:rsidP="00610471">
      <w:pPr>
        <w:pStyle w:val="Footer"/>
        <w:rPr>
          <w:lang w:val="en-GB"/>
        </w:rPr>
      </w:pPr>
    </w:p>
    <w:p w14:paraId="3A458798" w14:textId="77777777" w:rsidR="00103D92" w:rsidRPr="00474C26" w:rsidRDefault="00103D92" w:rsidP="00610471">
      <w:pPr>
        <w:pStyle w:val="Footer"/>
        <w:rPr>
          <w:lang w:val="en-GB"/>
        </w:rPr>
      </w:pPr>
    </w:p>
    <w:p w14:paraId="3717480B" w14:textId="122B78A7" w:rsidR="004E2CA9" w:rsidRPr="00474C26" w:rsidRDefault="004E2CA9" w:rsidP="004E2CA9">
      <w:pPr>
        <w:jc w:val="both"/>
        <w:rPr>
          <w:b/>
          <w:bCs/>
          <w:lang w:val="en-GB"/>
        </w:rPr>
      </w:pPr>
      <w:r w:rsidRPr="00474C26">
        <w:rPr>
          <w:b/>
          <w:lang w:val="en-GB" w:bidi="en-GB"/>
        </w:rPr>
        <w:t>Question 2:</w:t>
      </w:r>
    </w:p>
    <w:p w14:paraId="18B5C1D9" w14:textId="77777777" w:rsidR="005A47C7" w:rsidRPr="00474C26" w:rsidRDefault="005A47C7" w:rsidP="005A47C7">
      <w:pPr>
        <w:ind w:firstLine="720"/>
        <w:jc w:val="both"/>
        <w:rPr>
          <w:lang w:val="en-GB"/>
        </w:rPr>
      </w:pPr>
      <w:r w:rsidRPr="00474C26">
        <w:rPr>
          <w:lang w:val="en-GB" w:bidi="en-GB"/>
        </w:rPr>
        <w:t xml:space="preserve">Section B.1.5.2 (Drive and Control) of the technical specifications stipulates, among other things, that “the display of data on important operating modes and the adjustment of door control device parameters, such as opening time, noise suppression, etc., must be performed using a computer either directly at the control device or centrally for all connected devices from an on-board or diagnostic computer.” </w:t>
      </w:r>
    </w:p>
    <w:p w14:paraId="51129AD2" w14:textId="0101912D" w:rsidR="005A47C7" w:rsidRPr="00474C26" w:rsidRDefault="005A47C7" w:rsidP="005A47C7">
      <w:pPr>
        <w:ind w:firstLine="720"/>
        <w:jc w:val="both"/>
        <w:rPr>
          <w:lang w:val="en-GB"/>
        </w:rPr>
      </w:pPr>
      <w:r w:rsidRPr="00474C26">
        <w:rPr>
          <w:lang w:val="en-GB" w:bidi="en-GB"/>
        </w:rPr>
        <w:t xml:space="preserve">This requirement stipulates that the operating parameters of door control devices (opening time, noise suppression, etc.) must also be adjustable by the Buyer. The door operating parameters (in particular, movement speeds, accelerations, and decelerations, the anti-pinch function, etc.) are calibrated as part of the manufacturer’s design and type approval procedures to meet the relevant safety requirements. Allowing the Buyer to adjust these parameters independently of the manufacturer would conflict with the vehicle’s type approval conditions and the manufacturer’s responsibility for safety. Manufacturers do not provide for or permit such an approach. Any adjustments (if necessary at all) are made only under the supervision of the manufacturer or an authorised service representative. </w:t>
      </w:r>
    </w:p>
    <w:p w14:paraId="04006B37" w14:textId="51CA537D" w:rsidR="005A47C7" w:rsidRPr="00474C26" w:rsidRDefault="005A47C7" w:rsidP="005A47C7">
      <w:pPr>
        <w:ind w:firstLine="720"/>
        <w:jc w:val="both"/>
        <w:rPr>
          <w:lang w:val="en-GB"/>
        </w:rPr>
      </w:pPr>
      <w:r w:rsidRPr="00474C26">
        <w:rPr>
          <w:lang w:val="en-GB" w:bidi="en-GB"/>
        </w:rPr>
        <w:t>We ask the Contracting Authority to clarify Section B.1.5.2 by stipulating that the Buyer’s ability to access and adjust the operational parameters of door control devices must be disabled, and that the functionality for making adjustments must be replaced with access limited to diagnostics and data retrieval only, while parameter adjustments are not performed.</w:t>
      </w:r>
    </w:p>
    <w:p w14:paraId="69C4865B" w14:textId="77777777" w:rsidR="005A47C7" w:rsidRPr="00474C26" w:rsidRDefault="005A47C7" w:rsidP="005A47C7">
      <w:pPr>
        <w:ind w:firstLine="720"/>
        <w:jc w:val="both"/>
        <w:rPr>
          <w:lang w:val="en-GB"/>
        </w:rPr>
      </w:pPr>
    </w:p>
    <w:p w14:paraId="3C7E3D0A" w14:textId="74AEEC06" w:rsidR="004E2CA9" w:rsidRPr="00474C26" w:rsidRDefault="004E2CA9" w:rsidP="004E2CA9">
      <w:pPr>
        <w:jc w:val="both"/>
        <w:rPr>
          <w:b/>
          <w:bCs/>
          <w:lang w:val="en-GB"/>
        </w:rPr>
      </w:pPr>
      <w:r w:rsidRPr="00474C26">
        <w:rPr>
          <w:b/>
          <w:lang w:val="en-GB" w:bidi="en-GB"/>
        </w:rPr>
        <w:t>Answer 2:</w:t>
      </w:r>
    </w:p>
    <w:p w14:paraId="740AEEF7" w14:textId="76EBFBD1" w:rsidR="00204A09" w:rsidRPr="00474C26" w:rsidRDefault="00204A09" w:rsidP="00204A09">
      <w:pPr>
        <w:ind w:firstLine="720"/>
        <w:jc w:val="both"/>
        <w:rPr>
          <w:lang w:val="en-GB"/>
        </w:rPr>
      </w:pPr>
      <w:r w:rsidRPr="00474C26">
        <w:rPr>
          <w:lang w:val="en-GB" w:bidi="en-GB"/>
        </w:rPr>
        <w:t>The Contracting Authority acknowledges that certain door control parameters, particularly those related to safety and vehicle type approval (e.g., movement speeds, accelerations, anti-pinch functions), may be restricted and accessible only under the control of the manufacturer or an authorised service centre.</w:t>
      </w:r>
    </w:p>
    <w:p w14:paraId="627E6121" w14:textId="77777777" w:rsidR="00204A09" w:rsidRPr="00474C26" w:rsidRDefault="00204A09" w:rsidP="00204A09">
      <w:pPr>
        <w:ind w:firstLine="720"/>
        <w:jc w:val="both"/>
        <w:rPr>
          <w:lang w:val="en-GB"/>
        </w:rPr>
      </w:pPr>
      <w:r w:rsidRPr="00474C26">
        <w:rPr>
          <w:lang w:val="en-GB" w:bidi="en-GB"/>
        </w:rPr>
        <w:t>At the same time, the purpose of the Contracting Authority’s requirements is to ensure that the Contracting Authority, as an authorised service partner, has sufficient access to the door control system to perform diagnostics, maintenance, and repairs, as well as, if necessary, to adjust operational parameters that are not restricted by safety or type-approval requirements.</w:t>
      </w:r>
    </w:p>
    <w:p w14:paraId="2561224E" w14:textId="77777777" w:rsidR="00204A09" w:rsidRPr="00474C26" w:rsidRDefault="00204A09" w:rsidP="00204A09">
      <w:pPr>
        <w:ind w:firstLine="720"/>
        <w:jc w:val="both"/>
        <w:rPr>
          <w:lang w:val="en-GB"/>
        </w:rPr>
      </w:pPr>
      <w:r w:rsidRPr="00474C26">
        <w:rPr>
          <w:lang w:val="en-GB" w:bidi="en-GB"/>
        </w:rPr>
        <w:t>Accordingly, solutions in which access is limited to read-only mode are not permitted if this prevents the full maintenance and operation of the door system.</w:t>
      </w:r>
    </w:p>
    <w:p w14:paraId="46DA404F" w14:textId="77777777" w:rsidR="004E2CA9" w:rsidRPr="00474C26" w:rsidRDefault="004E2CA9" w:rsidP="004E2CA9">
      <w:pPr>
        <w:jc w:val="both"/>
        <w:rPr>
          <w:b/>
          <w:bCs/>
          <w:lang w:val="en-GB"/>
        </w:rPr>
      </w:pPr>
    </w:p>
    <w:p w14:paraId="3DE1ED9E" w14:textId="77777777" w:rsidR="004E2CA9" w:rsidRPr="00474C26" w:rsidRDefault="004E2CA9" w:rsidP="004E2CA9">
      <w:pPr>
        <w:pStyle w:val="Footer"/>
        <w:rPr>
          <w:lang w:val="en-GB"/>
        </w:rPr>
      </w:pPr>
    </w:p>
    <w:p w14:paraId="1F6594DA" w14:textId="77777777" w:rsidR="004E2CA9" w:rsidRPr="00474C26" w:rsidRDefault="004E2CA9" w:rsidP="004E2CA9">
      <w:pPr>
        <w:pStyle w:val="Footer"/>
        <w:rPr>
          <w:lang w:val="en-GB"/>
        </w:rPr>
      </w:pPr>
    </w:p>
    <w:p w14:paraId="0D377164" w14:textId="5546D6B1" w:rsidR="004E2CA9" w:rsidRPr="00474C26" w:rsidRDefault="004E2CA9" w:rsidP="004E2CA9">
      <w:pPr>
        <w:jc w:val="both"/>
        <w:rPr>
          <w:b/>
          <w:bCs/>
          <w:lang w:val="en-GB"/>
        </w:rPr>
      </w:pPr>
      <w:r w:rsidRPr="00474C26">
        <w:rPr>
          <w:b/>
          <w:lang w:val="en-GB" w:bidi="en-GB"/>
        </w:rPr>
        <w:t>Question 3:</w:t>
      </w:r>
    </w:p>
    <w:p w14:paraId="20EB01D3" w14:textId="77777777" w:rsidR="005A47C7" w:rsidRPr="00474C26" w:rsidRDefault="005A47C7" w:rsidP="005A47C7">
      <w:pPr>
        <w:ind w:firstLine="720"/>
        <w:jc w:val="both"/>
        <w:rPr>
          <w:lang w:val="en-GB"/>
        </w:rPr>
      </w:pPr>
      <w:r w:rsidRPr="00474C26">
        <w:rPr>
          <w:lang w:val="en-GB" w:bidi="en-GB"/>
        </w:rPr>
        <w:t xml:space="preserve">Section B.2.4.2 (Lifting Mechanism) of the technical specifications stipulates that the vehicle must be equipped with a body-lift system integrated with the air suspension and electronic height control system (ECAS or equivalent). It is further specified that the system must be capable of temporarily increasing the vehicle’s ground clearance in raised mode to ensure the safe overcoming of obstacles (such as urban infrastructure elements and road unevenness). </w:t>
      </w:r>
    </w:p>
    <w:p w14:paraId="72B1C1B5" w14:textId="77777777" w:rsidR="005A47C7" w:rsidRPr="00474C26" w:rsidRDefault="005A47C7" w:rsidP="005A47C7">
      <w:pPr>
        <w:ind w:firstLine="720"/>
        <w:jc w:val="both"/>
        <w:rPr>
          <w:lang w:val="en-GB"/>
        </w:rPr>
      </w:pPr>
      <w:r w:rsidRPr="00474C26">
        <w:rPr>
          <w:lang w:val="en-GB" w:bidi="en-GB"/>
        </w:rPr>
        <w:t xml:space="preserve">From a technical standpoint, the body-lift mechanism increases the height of the bus body relative to its chassis and suspension system, but does not change the vehicle’s ground clearance – that is, the distance from the lowest fixed point to the road surface. Ground clearance is a structural parameter of the vehicle determined by the chassis design, suspension geometry, and wheel dimensions, and is not directly affected by the body-lift mechanism. </w:t>
      </w:r>
    </w:p>
    <w:p w14:paraId="30736220" w14:textId="28613697" w:rsidR="004E2CA9" w:rsidRPr="00474C26" w:rsidRDefault="005A47C7" w:rsidP="005A47C7">
      <w:pPr>
        <w:ind w:firstLine="720"/>
        <w:jc w:val="both"/>
        <w:rPr>
          <w:lang w:val="en-GB"/>
        </w:rPr>
      </w:pPr>
      <w:r w:rsidRPr="00474C26">
        <w:rPr>
          <w:lang w:val="en-GB" w:bidi="en-GB"/>
        </w:rPr>
        <w:t>Thus, the wording of Section B.2.4.2 regarding the increase in ground clearance in the raised position does not technically correspond to the actual operation of the lifting mechanism. We request that the Contracting Authority amend Section B.2.4.2 to specify which part of the vehicle is intended to be lifted – that is, the increase in body height relative to the suspension.</w:t>
      </w:r>
    </w:p>
    <w:p w14:paraId="559BC870" w14:textId="77777777" w:rsidR="005A47C7" w:rsidRPr="00474C26" w:rsidRDefault="005A47C7" w:rsidP="005A47C7">
      <w:pPr>
        <w:ind w:firstLine="720"/>
        <w:jc w:val="both"/>
        <w:rPr>
          <w:lang w:val="en-GB"/>
        </w:rPr>
      </w:pPr>
    </w:p>
    <w:p w14:paraId="5588424F" w14:textId="3CFC8893" w:rsidR="004E2CA9" w:rsidRPr="00474C26" w:rsidRDefault="004E2CA9" w:rsidP="004E2CA9">
      <w:pPr>
        <w:jc w:val="both"/>
        <w:rPr>
          <w:b/>
          <w:bCs/>
          <w:lang w:val="en-GB"/>
        </w:rPr>
      </w:pPr>
      <w:r w:rsidRPr="00474C26">
        <w:rPr>
          <w:b/>
          <w:lang w:val="en-GB" w:bidi="en-GB"/>
        </w:rPr>
        <w:lastRenderedPageBreak/>
        <w:t>Answer 3:</w:t>
      </w:r>
    </w:p>
    <w:p w14:paraId="4560A544" w14:textId="77777777" w:rsidR="00BD187E" w:rsidRPr="00474C26" w:rsidRDefault="00BD187E" w:rsidP="00BD187E">
      <w:pPr>
        <w:pStyle w:val="NormalWeb"/>
        <w:spacing w:before="0" w:beforeAutospacing="0" w:after="0" w:afterAutospacing="0"/>
        <w:ind w:firstLine="720"/>
        <w:jc w:val="both"/>
        <w:rPr>
          <w:lang w:val="en-GB"/>
        </w:rPr>
      </w:pPr>
      <w:r w:rsidRPr="00474C26">
        <w:rPr>
          <w:lang w:val="en-GB" w:bidi="en-GB"/>
        </w:rPr>
        <w:t>The Contracting Authority informs that, in order to evaluate the matter, it requires additional time; therefore, the deadline for providing a response to the question is extended to 27 June 2026.</w:t>
      </w:r>
    </w:p>
    <w:p w14:paraId="1FE5F428" w14:textId="77777777" w:rsidR="004E2CA9" w:rsidRPr="00474C26" w:rsidRDefault="004E2CA9" w:rsidP="004E2CA9">
      <w:pPr>
        <w:jc w:val="both"/>
        <w:rPr>
          <w:b/>
          <w:bCs/>
          <w:lang w:val="en-GB"/>
        </w:rPr>
      </w:pPr>
    </w:p>
    <w:p w14:paraId="53D458A1" w14:textId="77777777" w:rsidR="004E2CA9" w:rsidRPr="00474C26" w:rsidRDefault="004E2CA9" w:rsidP="004E2CA9">
      <w:pPr>
        <w:pStyle w:val="Footer"/>
        <w:rPr>
          <w:lang w:val="en-GB"/>
        </w:rPr>
      </w:pPr>
    </w:p>
    <w:p w14:paraId="1458F7E0" w14:textId="77777777" w:rsidR="004E2CA9" w:rsidRPr="00474C26" w:rsidRDefault="004E2CA9" w:rsidP="004E2CA9">
      <w:pPr>
        <w:pStyle w:val="Footer"/>
        <w:rPr>
          <w:lang w:val="en-GB"/>
        </w:rPr>
      </w:pPr>
    </w:p>
    <w:p w14:paraId="3C83582A" w14:textId="7029D1EF" w:rsidR="004E2CA9" w:rsidRPr="00474C26" w:rsidRDefault="004E2CA9" w:rsidP="004E2CA9">
      <w:pPr>
        <w:jc w:val="both"/>
        <w:rPr>
          <w:b/>
          <w:bCs/>
          <w:lang w:val="en-GB"/>
        </w:rPr>
      </w:pPr>
      <w:r w:rsidRPr="00474C26">
        <w:rPr>
          <w:b/>
          <w:lang w:val="en-GB" w:bidi="en-GB"/>
        </w:rPr>
        <w:t>Question 4:</w:t>
      </w:r>
    </w:p>
    <w:p w14:paraId="090A217E" w14:textId="77777777" w:rsidR="005A47C7" w:rsidRPr="00474C26" w:rsidRDefault="005A47C7" w:rsidP="005A47C7">
      <w:pPr>
        <w:ind w:firstLine="720"/>
        <w:jc w:val="both"/>
        <w:rPr>
          <w:lang w:val="en-GB"/>
        </w:rPr>
      </w:pPr>
      <w:r w:rsidRPr="00474C26">
        <w:rPr>
          <w:lang w:val="en-GB" w:bidi="en-GB"/>
        </w:rPr>
        <w:t xml:space="preserve">Section B.7.4.2 (Fast Charging at Terminals) of the technical specifications stipulates that the nominal voltage of the charging rail system must be at least 750 VDC in accordance with EN 50163, and the maximum charging current must be at least 600 ADC. </w:t>
      </w:r>
    </w:p>
    <w:p w14:paraId="64B3A701" w14:textId="77777777" w:rsidR="005A47C7" w:rsidRPr="00474C26" w:rsidRDefault="005A47C7" w:rsidP="005A47C7">
      <w:pPr>
        <w:ind w:firstLine="720"/>
        <w:jc w:val="both"/>
        <w:rPr>
          <w:lang w:val="en-GB"/>
        </w:rPr>
      </w:pPr>
      <w:r w:rsidRPr="00474C26">
        <w:rPr>
          <w:lang w:val="en-GB" w:bidi="en-GB"/>
        </w:rPr>
        <w:t xml:space="preserve">Modern electric bus manufacturers offer charging rail systems with various maximum current parameters depending on the bus’s electrical architecture, traction battery capacity, and the selected charging strategy. Many European manufacturers offer charging rail systems with a maximum current of 450 ADC as standard, which fully support the fast charging of M3-category articulated electric buses at terminals under urban operation conditions. A specific 600 ADC threshold is not a mandatory safety or functional requirement. </w:t>
      </w:r>
    </w:p>
    <w:p w14:paraId="692875F2" w14:textId="5B1AAF19" w:rsidR="004E2CA9" w:rsidRPr="00474C26" w:rsidRDefault="005A47C7" w:rsidP="005A47C7">
      <w:pPr>
        <w:ind w:firstLine="720"/>
        <w:jc w:val="both"/>
        <w:rPr>
          <w:lang w:val="en-GB"/>
        </w:rPr>
      </w:pPr>
      <w:r w:rsidRPr="00474C26">
        <w:rPr>
          <w:lang w:val="en-GB" w:bidi="en-GB"/>
        </w:rPr>
        <w:t>The 600 ADC nominal current requirement in this context appears to be a parameter specific to a particular manufacturer’s technical solution, which potentially restricts competition by excluding manufacturers with standard 450 ADC systems, even though, functionally, both options provide equivalent operational results. We ask the Contracting Authority to explain what specific functional or operational need justifies the 600 ADC threshold (rather than, for example, 450 ADC), and to consider revising this parameter.</w:t>
      </w:r>
    </w:p>
    <w:p w14:paraId="2E13EA0A" w14:textId="77777777" w:rsidR="005A47C7" w:rsidRPr="00474C26" w:rsidRDefault="005A47C7" w:rsidP="005A47C7">
      <w:pPr>
        <w:ind w:firstLine="720"/>
        <w:jc w:val="both"/>
        <w:rPr>
          <w:lang w:val="en-GB"/>
        </w:rPr>
      </w:pPr>
    </w:p>
    <w:p w14:paraId="5041AE56" w14:textId="15FE11D1" w:rsidR="004E2CA9" w:rsidRPr="00474C26" w:rsidRDefault="004E2CA9" w:rsidP="004E2CA9">
      <w:pPr>
        <w:jc w:val="both"/>
        <w:rPr>
          <w:b/>
          <w:bCs/>
          <w:lang w:val="en-GB"/>
        </w:rPr>
      </w:pPr>
      <w:r w:rsidRPr="00474C26">
        <w:rPr>
          <w:b/>
          <w:lang w:val="en-GB" w:bidi="en-GB"/>
        </w:rPr>
        <w:t>Answer 4:</w:t>
      </w:r>
    </w:p>
    <w:p w14:paraId="7EBFB9E7" w14:textId="77777777" w:rsidR="00065140" w:rsidRPr="00474C26" w:rsidRDefault="00065140" w:rsidP="00065140">
      <w:pPr>
        <w:ind w:firstLine="720"/>
        <w:jc w:val="both"/>
        <w:rPr>
          <w:lang w:val="en-GB"/>
        </w:rPr>
      </w:pPr>
      <w:r w:rsidRPr="00474C26">
        <w:rPr>
          <w:lang w:val="en-GB" w:bidi="en-GB"/>
        </w:rPr>
        <w:t>The Contracting Authority notes that the actual charging capacity during operation depends on both voltage and current, and that the charging voltage may be lower than the nominal value depending on the state of charge of the traction batteries and the conditions of the control system. To ensure sufficient charging power in various operating modes, including at lower voltage levels, the charging current is a critical parameter.</w:t>
      </w:r>
    </w:p>
    <w:p w14:paraId="1C4BD24C" w14:textId="77777777" w:rsidR="00065140" w:rsidRPr="00474C26" w:rsidRDefault="00065140" w:rsidP="00065140">
      <w:pPr>
        <w:ind w:firstLine="720"/>
        <w:jc w:val="both"/>
        <w:rPr>
          <w:lang w:val="en-GB"/>
        </w:rPr>
      </w:pPr>
      <w:r w:rsidRPr="00474C26">
        <w:rPr>
          <w:lang w:val="en-GB" w:bidi="en-GB"/>
        </w:rPr>
        <w:t>In addition, the Contracting Authority notes that the requirement for a higher charging current is also in line with industry standards, such as SAE J3105, which specifies the nominal electric parameters of the charging rail contact system up to 600 A.</w:t>
      </w:r>
    </w:p>
    <w:p w14:paraId="1BC3B8AB" w14:textId="23CF7F5C" w:rsidR="004E2CA9" w:rsidRPr="00474C26" w:rsidRDefault="00065140" w:rsidP="00065140">
      <w:pPr>
        <w:ind w:firstLine="720"/>
        <w:jc w:val="both"/>
        <w:rPr>
          <w:lang w:val="en-GB"/>
        </w:rPr>
      </w:pPr>
      <w:r w:rsidRPr="00474C26">
        <w:rPr>
          <w:lang w:val="en-GB" w:bidi="en-GB"/>
        </w:rPr>
        <w:t>Accordingly, the requirement is not tied to a specific manufacturer’s solution but is based on the technical standards accepted in the industry and the need to ensure sufficient charging performance and compatibility with the future development of fast-charging infrastructure.</w:t>
      </w:r>
    </w:p>
    <w:p w14:paraId="3E90478C" w14:textId="77777777" w:rsidR="004E2CA9" w:rsidRPr="00474C26" w:rsidRDefault="004E2CA9" w:rsidP="004E2CA9">
      <w:pPr>
        <w:pStyle w:val="Footer"/>
        <w:rPr>
          <w:lang w:val="en-GB"/>
        </w:rPr>
      </w:pPr>
    </w:p>
    <w:p w14:paraId="4015A505" w14:textId="77777777" w:rsidR="004E2CA9" w:rsidRPr="00474C26" w:rsidRDefault="004E2CA9" w:rsidP="004E2CA9">
      <w:pPr>
        <w:pStyle w:val="Footer"/>
        <w:rPr>
          <w:lang w:val="en-GB"/>
        </w:rPr>
      </w:pPr>
    </w:p>
    <w:p w14:paraId="6E61F7A4" w14:textId="08C68C42" w:rsidR="004E2CA9" w:rsidRPr="00474C26" w:rsidRDefault="004E2CA9" w:rsidP="004E2CA9">
      <w:pPr>
        <w:jc w:val="both"/>
        <w:rPr>
          <w:b/>
          <w:bCs/>
          <w:lang w:val="en-GB"/>
        </w:rPr>
      </w:pPr>
      <w:r w:rsidRPr="00474C26">
        <w:rPr>
          <w:b/>
          <w:lang w:val="en-GB" w:bidi="en-GB"/>
        </w:rPr>
        <w:t>Question 5:</w:t>
      </w:r>
    </w:p>
    <w:p w14:paraId="214C9A56" w14:textId="77777777" w:rsidR="00410DA6" w:rsidRPr="00474C26" w:rsidRDefault="00410DA6" w:rsidP="00410DA6">
      <w:pPr>
        <w:ind w:firstLine="720"/>
        <w:jc w:val="both"/>
        <w:rPr>
          <w:lang w:val="en-GB"/>
        </w:rPr>
      </w:pPr>
      <w:r w:rsidRPr="00474C26">
        <w:rPr>
          <w:lang w:val="en-GB" w:bidi="en-GB"/>
        </w:rPr>
        <w:t xml:space="preserve">Section B.8.7.1 (Instrument Panel Display) of the technical specifications stipulates, among other things, that the driver’s instrument panel display must provide a real-time display of various data, including the passenger compartment temperature and the driver’s cabin temperature (°C). </w:t>
      </w:r>
    </w:p>
    <w:p w14:paraId="12C99037" w14:textId="77777777" w:rsidR="00410DA6" w:rsidRPr="00474C26" w:rsidRDefault="00410DA6" w:rsidP="00410DA6">
      <w:pPr>
        <w:ind w:firstLine="720"/>
        <w:jc w:val="both"/>
        <w:rPr>
          <w:lang w:val="en-GB"/>
        </w:rPr>
      </w:pPr>
      <w:r w:rsidRPr="00474C26">
        <w:rPr>
          <w:lang w:val="en-GB" w:bidi="en-GB"/>
        </w:rPr>
        <w:t xml:space="preserve">In modern bus design, the actual temperatures of the passenger compartment and the driver’s cabin are already displayed on the HVAC (heating, ventilation, and air conditioning) system control unit display, which is located in the driver’s work area in a directly accessible and clearly visible place. The HVAC control unit is a specialised interface that not only displays the temperature but also allows users to adjust settings, select ventilation modes, and access other climate control functions. </w:t>
      </w:r>
    </w:p>
    <w:p w14:paraId="529E63C4" w14:textId="09E245C0" w:rsidR="004E2CA9" w:rsidRPr="00474C26" w:rsidRDefault="00410DA6" w:rsidP="00410DA6">
      <w:pPr>
        <w:ind w:firstLine="720"/>
        <w:jc w:val="both"/>
        <w:rPr>
          <w:lang w:val="en-GB"/>
        </w:rPr>
      </w:pPr>
      <w:r w:rsidRPr="00474C26">
        <w:rPr>
          <w:lang w:val="en-GB" w:bidi="en-GB"/>
        </w:rPr>
        <w:t xml:space="preserve">The requirement to additionally display the same temperature reading on the instrument panel display results in functional redundancy and additional development effort without any objective operational value. We ask the Contracting Authority to confirm that the display of </w:t>
      </w:r>
      <w:r w:rsidRPr="00474C26">
        <w:rPr>
          <w:lang w:val="en-GB" w:bidi="en-GB"/>
        </w:rPr>
        <w:lastRenderedPageBreak/>
        <w:t>passenger compartment and driver’s cabin temperatures on the HVAC system control unit, which is located within direct reach of the driver’s work area, is considered to comply with the requirement of Section B.8.7.1, and accordingly, the display of these two parameters on the instrument panel is not mandatory.</w:t>
      </w:r>
    </w:p>
    <w:p w14:paraId="05AD814D" w14:textId="77777777" w:rsidR="00410DA6" w:rsidRPr="00474C26" w:rsidRDefault="00410DA6" w:rsidP="00410DA6">
      <w:pPr>
        <w:ind w:firstLine="720"/>
        <w:jc w:val="both"/>
        <w:rPr>
          <w:lang w:val="en-GB"/>
        </w:rPr>
      </w:pPr>
    </w:p>
    <w:p w14:paraId="21662E9F" w14:textId="39BADDCA" w:rsidR="004E2CA9" w:rsidRPr="00474C26" w:rsidRDefault="004E2CA9" w:rsidP="004E2CA9">
      <w:pPr>
        <w:jc w:val="both"/>
        <w:rPr>
          <w:b/>
          <w:bCs/>
          <w:lang w:val="en-GB"/>
        </w:rPr>
      </w:pPr>
      <w:r w:rsidRPr="00474C26">
        <w:rPr>
          <w:b/>
          <w:lang w:val="en-GB" w:bidi="en-GB"/>
        </w:rPr>
        <w:t>Answer 5:</w:t>
      </w:r>
    </w:p>
    <w:p w14:paraId="1AF403EC" w14:textId="77777777" w:rsidR="009B50C5" w:rsidRPr="00474C26" w:rsidRDefault="009B50C5" w:rsidP="009B50C5">
      <w:pPr>
        <w:ind w:firstLine="720"/>
        <w:jc w:val="both"/>
        <w:rPr>
          <w:lang w:val="en-GB"/>
        </w:rPr>
      </w:pPr>
      <w:r w:rsidRPr="00474C26">
        <w:rPr>
          <w:lang w:val="en-GB" w:bidi="en-GB"/>
        </w:rPr>
        <w:t>The Contracting Authority confirms that the display of passenger compartment and driver’s cabin temperatures may also be provided on another display or control panel accessible to the driver, such as the HVAC system control unit, provided that it is located in a position that is directly accessible by and clearly visible to the driver.</w:t>
      </w:r>
    </w:p>
    <w:p w14:paraId="60838896" w14:textId="1E472CB5" w:rsidR="004E2CA9" w:rsidRPr="00474C26" w:rsidRDefault="009B50C5" w:rsidP="009B50C5">
      <w:pPr>
        <w:ind w:firstLine="720"/>
        <w:jc w:val="both"/>
        <w:rPr>
          <w:lang w:val="en-GB"/>
        </w:rPr>
      </w:pPr>
      <w:r w:rsidRPr="00474C26">
        <w:rPr>
          <w:lang w:val="en-GB" w:bidi="en-GB"/>
        </w:rPr>
        <w:t>In such a case, the display of these parameters on the instrument panel is not mandatory, provided that their continuous and easily readable display is ensured at the driver’s work area.</w:t>
      </w:r>
    </w:p>
    <w:p w14:paraId="311BCFF7" w14:textId="77777777" w:rsidR="004E2CA9" w:rsidRPr="00474C26" w:rsidRDefault="004E2CA9" w:rsidP="004E2CA9">
      <w:pPr>
        <w:pStyle w:val="Footer"/>
        <w:rPr>
          <w:lang w:val="en-GB"/>
        </w:rPr>
      </w:pPr>
    </w:p>
    <w:p w14:paraId="1305F8AC" w14:textId="77777777" w:rsidR="004E2CA9" w:rsidRPr="00474C26" w:rsidRDefault="004E2CA9" w:rsidP="004E2CA9">
      <w:pPr>
        <w:pStyle w:val="Footer"/>
        <w:rPr>
          <w:lang w:val="en-GB"/>
        </w:rPr>
      </w:pPr>
    </w:p>
    <w:p w14:paraId="17D606BD" w14:textId="091DE835" w:rsidR="004E2CA9" w:rsidRPr="00474C26" w:rsidRDefault="004E2CA9" w:rsidP="004E2CA9">
      <w:pPr>
        <w:jc w:val="both"/>
        <w:rPr>
          <w:b/>
          <w:bCs/>
          <w:lang w:val="en-GB"/>
        </w:rPr>
      </w:pPr>
      <w:r w:rsidRPr="00474C26">
        <w:rPr>
          <w:b/>
          <w:lang w:val="en-GB" w:bidi="en-GB"/>
        </w:rPr>
        <w:t>Question 6:</w:t>
      </w:r>
    </w:p>
    <w:p w14:paraId="1E961C42" w14:textId="77777777" w:rsidR="00410DA6" w:rsidRPr="00474C26" w:rsidRDefault="00410DA6" w:rsidP="00410DA6">
      <w:pPr>
        <w:ind w:firstLine="720"/>
        <w:jc w:val="both"/>
        <w:rPr>
          <w:lang w:val="en-GB"/>
        </w:rPr>
      </w:pPr>
      <w:r w:rsidRPr="00474C26">
        <w:rPr>
          <w:lang w:val="en-GB" w:bidi="en-GB"/>
        </w:rPr>
        <w:t xml:space="preserve">Section C.1 (Technical Maintenance) of the technical specifications concludes with the requirement that the tenderer submits a periodic maintenance plan in the technical offer, including the scope of work to be performed and maintenance intervals. </w:t>
      </w:r>
    </w:p>
    <w:p w14:paraId="7FC6D73B" w14:textId="77777777" w:rsidR="00410DA6" w:rsidRPr="00474C26" w:rsidRDefault="00410DA6" w:rsidP="00410DA6">
      <w:pPr>
        <w:ind w:firstLine="720"/>
        <w:jc w:val="both"/>
        <w:rPr>
          <w:lang w:val="en-GB"/>
        </w:rPr>
      </w:pPr>
      <w:r w:rsidRPr="00474C26">
        <w:rPr>
          <w:lang w:val="en-GB" w:bidi="en-GB"/>
        </w:rPr>
        <w:t xml:space="preserve">It is unclear from the wording what time or mileage period the maintenance plan should cover. Possible interpretations vary significantly in terms of scope and workload, ranging from the vehicle’s basic warranty period (3 years or 210 000 km for electric buses), up to the vehicle’s designed service life (12 years in accordance with Section A.15) or another term. </w:t>
      </w:r>
    </w:p>
    <w:p w14:paraId="478EC3C3" w14:textId="0A3BE8AD" w:rsidR="004E2CA9" w:rsidRPr="00474C26" w:rsidRDefault="00410DA6" w:rsidP="00410DA6">
      <w:pPr>
        <w:ind w:firstLine="720"/>
        <w:jc w:val="both"/>
        <w:rPr>
          <w:lang w:val="en-GB"/>
        </w:rPr>
      </w:pPr>
      <w:r w:rsidRPr="00474C26">
        <w:rPr>
          <w:lang w:val="en-GB" w:bidi="en-GB"/>
        </w:rPr>
        <w:t>We ask the Contracting Authority to specify the time or mileage period for which the maintenance plan must be prepared – whether the tenderer must submit a complete maintenance plan for the entire design service life (12 years), only for the basic warranty period (3 years / 210 000 km), or for another period specified by the Contracting Authority. This clarification is necessary so that tenderers can prepare maintenance plans that are comparable with one another.</w:t>
      </w:r>
    </w:p>
    <w:p w14:paraId="1735A1F6" w14:textId="77777777" w:rsidR="00410DA6" w:rsidRPr="00474C26" w:rsidRDefault="00410DA6" w:rsidP="00410DA6">
      <w:pPr>
        <w:ind w:firstLine="720"/>
        <w:jc w:val="both"/>
        <w:rPr>
          <w:lang w:val="en-GB"/>
        </w:rPr>
      </w:pPr>
    </w:p>
    <w:p w14:paraId="4AF8DA3E" w14:textId="554B048C" w:rsidR="004E2CA9" w:rsidRPr="00474C26" w:rsidRDefault="004E2CA9" w:rsidP="004E2CA9">
      <w:pPr>
        <w:jc w:val="both"/>
        <w:rPr>
          <w:b/>
          <w:bCs/>
          <w:lang w:val="en-GB"/>
        </w:rPr>
      </w:pPr>
      <w:r w:rsidRPr="00474C26">
        <w:rPr>
          <w:b/>
          <w:lang w:val="en-GB" w:bidi="en-GB"/>
        </w:rPr>
        <w:t>Answer 6:</w:t>
      </w:r>
    </w:p>
    <w:p w14:paraId="714E165F" w14:textId="77777777" w:rsidR="00F563E7" w:rsidRPr="00474C26" w:rsidRDefault="00F563E7" w:rsidP="00F563E7">
      <w:pPr>
        <w:pStyle w:val="NormalWeb"/>
        <w:spacing w:before="0" w:beforeAutospacing="0" w:after="0" w:afterAutospacing="0"/>
        <w:ind w:firstLine="720"/>
        <w:jc w:val="both"/>
        <w:rPr>
          <w:lang w:val="en-GB"/>
        </w:rPr>
      </w:pPr>
      <w:r w:rsidRPr="00474C26">
        <w:rPr>
          <w:lang w:val="en-GB" w:bidi="en-GB"/>
        </w:rPr>
        <w:t>The Contracting Authority informs that, in order to evaluate the matter, it requires additional time; therefore, the deadline for providing a response to the question is extended to 27 June 2026.</w:t>
      </w:r>
    </w:p>
    <w:p w14:paraId="79F24703" w14:textId="77777777" w:rsidR="004E2CA9" w:rsidRPr="00474C26" w:rsidRDefault="004E2CA9" w:rsidP="004E2CA9">
      <w:pPr>
        <w:jc w:val="both"/>
        <w:rPr>
          <w:b/>
          <w:bCs/>
          <w:lang w:val="en-GB"/>
        </w:rPr>
      </w:pPr>
    </w:p>
    <w:p w14:paraId="5E9B323A" w14:textId="77777777" w:rsidR="004E2CA9" w:rsidRPr="00474C26" w:rsidRDefault="004E2CA9" w:rsidP="004E2CA9">
      <w:pPr>
        <w:pStyle w:val="Footer"/>
        <w:rPr>
          <w:lang w:val="en-GB"/>
        </w:rPr>
      </w:pPr>
    </w:p>
    <w:p w14:paraId="02E2C9E5" w14:textId="77777777" w:rsidR="004E2CA9" w:rsidRPr="00474C26" w:rsidRDefault="004E2CA9" w:rsidP="004E2CA9">
      <w:pPr>
        <w:pStyle w:val="Footer"/>
        <w:rPr>
          <w:lang w:val="en-GB"/>
        </w:rPr>
      </w:pPr>
    </w:p>
    <w:p w14:paraId="1B81B6A2" w14:textId="521CE8B0" w:rsidR="004E2CA9" w:rsidRPr="00474C26" w:rsidRDefault="004E2CA9" w:rsidP="004E2CA9">
      <w:pPr>
        <w:jc w:val="both"/>
        <w:rPr>
          <w:b/>
          <w:bCs/>
          <w:lang w:val="en-GB"/>
        </w:rPr>
      </w:pPr>
      <w:r w:rsidRPr="00474C26">
        <w:rPr>
          <w:b/>
          <w:lang w:val="en-GB" w:bidi="en-GB"/>
        </w:rPr>
        <w:t>Question 7:</w:t>
      </w:r>
    </w:p>
    <w:p w14:paraId="26BF560B" w14:textId="77777777" w:rsidR="00410DA6" w:rsidRPr="00474C26" w:rsidRDefault="00410DA6" w:rsidP="00410DA6">
      <w:pPr>
        <w:ind w:firstLine="720"/>
        <w:jc w:val="both"/>
        <w:rPr>
          <w:lang w:val="en-GB"/>
        </w:rPr>
      </w:pPr>
      <w:r w:rsidRPr="00474C26">
        <w:rPr>
          <w:lang w:val="en-GB" w:bidi="en-GB"/>
        </w:rPr>
        <w:t xml:space="preserve">Section C.2.1 (Spare Parts for Periodic Maintenance) of the technical specifications stipulates that the Supplier must provide a set of spare parts intended for the periodic maintenance of all vehicles supplied under the contract during the warranty period, and that the tenderer must provide a detailed list of spare parts and materials in the technical offer, specifying the quantity per vehicle and the total quantity for the supply batch. </w:t>
      </w:r>
    </w:p>
    <w:p w14:paraId="1554BD77" w14:textId="77777777" w:rsidR="00410DA6" w:rsidRPr="00474C26" w:rsidRDefault="00410DA6" w:rsidP="00410DA6">
      <w:pPr>
        <w:ind w:firstLine="720"/>
        <w:jc w:val="both"/>
        <w:rPr>
          <w:lang w:val="en-GB"/>
        </w:rPr>
      </w:pPr>
      <w:r w:rsidRPr="00474C26">
        <w:rPr>
          <w:lang w:val="en-GB" w:bidi="en-GB"/>
        </w:rPr>
        <w:t xml:space="preserve">This wording creates two ambiguities. First, it is unclear exactly which warranty period is meant – whether the vehicle’s basic warranty (3 years or 210 000 km) or another term (for example, 5 years and 350 000 km, if a 5-year warranty is provided, 10 years and 700 000 km as a battery warranty, or another). </w:t>
      </w:r>
    </w:p>
    <w:p w14:paraId="6EF52D0F" w14:textId="77777777" w:rsidR="00410DA6" w:rsidRPr="00474C26" w:rsidRDefault="00410DA6" w:rsidP="00410DA6">
      <w:pPr>
        <w:ind w:firstLine="720"/>
        <w:jc w:val="both"/>
        <w:rPr>
          <w:lang w:val="en-GB"/>
        </w:rPr>
      </w:pPr>
      <w:r w:rsidRPr="00474C26">
        <w:rPr>
          <w:lang w:val="en-GB" w:bidi="en-GB"/>
        </w:rPr>
        <w:t xml:space="preserve">Second, it is unclear how to interpret the scope of the list of “parts subject to natural wear and tear” – should the tenderer specify, for example, a single set of windscreen wiper blades, or should they estimate the total expected quantity for each part over the entire relevant period? </w:t>
      </w:r>
    </w:p>
    <w:p w14:paraId="4ECE8672" w14:textId="77777777" w:rsidR="00410DA6" w:rsidRPr="00474C26" w:rsidRDefault="00410DA6" w:rsidP="00410DA6">
      <w:pPr>
        <w:ind w:firstLine="720"/>
        <w:jc w:val="both"/>
        <w:rPr>
          <w:lang w:val="en-GB"/>
        </w:rPr>
      </w:pPr>
      <w:r w:rsidRPr="00474C26">
        <w:rPr>
          <w:lang w:val="en-GB" w:bidi="en-GB"/>
        </w:rPr>
        <w:t xml:space="preserve">We ask the Contracting Authority to clarify, </w:t>
      </w:r>
    </w:p>
    <w:p w14:paraId="64088FC4" w14:textId="77777777" w:rsidR="00410DA6" w:rsidRPr="00474C26" w:rsidRDefault="00410DA6" w:rsidP="00410DA6">
      <w:pPr>
        <w:ind w:firstLine="720"/>
        <w:jc w:val="both"/>
        <w:rPr>
          <w:lang w:val="en-GB"/>
        </w:rPr>
      </w:pPr>
      <w:r w:rsidRPr="00474C26">
        <w:rPr>
          <w:lang w:val="en-GB" w:bidi="en-GB"/>
        </w:rPr>
        <w:t xml:space="preserve">1) what specific warranty period Section C.2.1 stipulates for the provision of a set of spare parts – the basic warranty period (3 years / 210 000 km) or another specific term, and </w:t>
      </w:r>
    </w:p>
    <w:p w14:paraId="37802F91" w14:textId="77777777" w:rsidR="00410DA6" w:rsidRPr="00474C26" w:rsidRDefault="00410DA6" w:rsidP="00410DA6">
      <w:pPr>
        <w:ind w:firstLine="720"/>
        <w:jc w:val="both"/>
        <w:rPr>
          <w:lang w:val="en-GB"/>
        </w:rPr>
      </w:pPr>
      <w:r w:rsidRPr="00474C26">
        <w:rPr>
          <w:lang w:val="en-GB" w:bidi="en-GB"/>
        </w:rPr>
        <w:lastRenderedPageBreak/>
        <w:t xml:space="preserve">2) whether the list of parts subject to natural wear and tear should specify the quantity per maintenance cycle (for example, one set of wiper blades) or the total quantity expected for the entire relevant period. Both the calculation for Item 3 of the financial offer and the quantity in the spare parts list of the technical offer depend directly on these answers. </w:t>
      </w:r>
    </w:p>
    <w:p w14:paraId="4BAD8D97" w14:textId="77777777" w:rsidR="00410DA6" w:rsidRPr="00474C26" w:rsidRDefault="00410DA6" w:rsidP="00410DA6">
      <w:pPr>
        <w:ind w:firstLine="720"/>
        <w:jc w:val="both"/>
        <w:rPr>
          <w:lang w:val="en-GB"/>
        </w:rPr>
      </w:pPr>
      <w:r w:rsidRPr="00474C26">
        <w:rPr>
          <w:lang w:val="en-GB" w:bidi="en-GB"/>
        </w:rPr>
        <w:t xml:space="preserve">3) the list of parts that are considered wear-and-tear parts for the purposes of this procurement. </w:t>
      </w:r>
    </w:p>
    <w:p w14:paraId="5C1DB15F" w14:textId="77777777" w:rsidR="00410DA6" w:rsidRPr="00474C26" w:rsidRDefault="00410DA6" w:rsidP="00410DA6">
      <w:pPr>
        <w:ind w:firstLine="720"/>
        <w:jc w:val="both"/>
        <w:rPr>
          <w:lang w:val="en-GB"/>
        </w:rPr>
      </w:pPr>
      <w:r w:rsidRPr="00474C26">
        <w:rPr>
          <w:lang w:val="en-GB" w:bidi="en-GB"/>
        </w:rPr>
        <w:t xml:space="preserve">4) whether the answer to these questions (regarding the interpretation of the warranty period and the methodology for determining the quantity of spare parts) also applies to the preparation of the financial offer, as set forth in Annex 4.1 (Part 1 of the procurement subject – electric buses) Item 2 and, accordingly, Annex 4.2 (Part 2 of the procurement subject – diesel buses), Item 2, where the Tenderer specifies the price of the set of spare parts and materials required for a single vehicle and the total price for all vehicles; </w:t>
      </w:r>
    </w:p>
    <w:p w14:paraId="5A4816FA" w14:textId="7A2A6957" w:rsidR="004E2CA9" w:rsidRPr="00474C26" w:rsidRDefault="00410DA6" w:rsidP="00410DA6">
      <w:pPr>
        <w:ind w:firstLine="720"/>
        <w:jc w:val="both"/>
        <w:rPr>
          <w:lang w:val="en-GB"/>
        </w:rPr>
      </w:pPr>
      <w:r w:rsidRPr="00474C26">
        <w:rPr>
          <w:lang w:val="en-GB" w:bidi="en-GB"/>
        </w:rPr>
        <w:t>5) whether the Contracting Authority undertakes to actually purchase the entire quantity of spare parts and materials specified in Item 2 of the tenderer’s financial offer (for 60 vehicles) and, if so, by what specific term the Contracting Authority undertakes to complete this purchase (for example, at the same time as the supply of the vehicles, during the warranty period, or by another specific term). This clarification is necessary in order to objectively determine the prices of spare parts.</w:t>
      </w:r>
    </w:p>
    <w:p w14:paraId="1AA66285" w14:textId="77777777" w:rsidR="004E2CA9" w:rsidRPr="00474C26" w:rsidRDefault="004E2CA9" w:rsidP="004E2CA9">
      <w:pPr>
        <w:ind w:firstLine="720"/>
        <w:jc w:val="both"/>
        <w:rPr>
          <w:lang w:val="en-GB"/>
        </w:rPr>
      </w:pPr>
    </w:p>
    <w:p w14:paraId="7C1E38CB" w14:textId="36A33562" w:rsidR="004E2CA9" w:rsidRPr="00474C26" w:rsidRDefault="004E2CA9" w:rsidP="004E2CA9">
      <w:pPr>
        <w:jc w:val="both"/>
        <w:rPr>
          <w:b/>
          <w:bCs/>
          <w:lang w:val="en-GB"/>
        </w:rPr>
      </w:pPr>
      <w:r w:rsidRPr="00474C26">
        <w:rPr>
          <w:b/>
          <w:lang w:val="en-GB" w:bidi="en-GB"/>
        </w:rPr>
        <w:t>Answer 7:</w:t>
      </w:r>
    </w:p>
    <w:p w14:paraId="44FDDED2" w14:textId="77777777" w:rsidR="00061010" w:rsidRPr="00474C26" w:rsidRDefault="00061010" w:rsidP="00061010">
      <w:pPr>
        <w:pStyle w:val="NormalWeb"/>
        <w:spacing w:before="0" w:beforeAutospacing="0" w:after="0" w:afterAutospacing="0"/>
        <w:ind w:firstLine="720"/>
        <w:jc w:val="both"/>
        <w:rPr>
          <w:lang w:val="en-GB"/>
        </w:rPr>
      </w:pPr>
      <w:r w:rsidRPr="00474C26">
        <w:rPr>
          <w:lang w:val="en-GB" w:bidi="en-GB"/>
        </w:rPr>
        <w:t>The Contracting Authority informs that, in order to evaluate the matter, it requires additional time; therefore, the deadline for providing a response to the question is extended to 27 June 2026.</w:t>
      </w:r>
    </w:p>
    <w:p w14:paraId="742AD2C8" w14:textId="77777777" w:rsidR="004E2CA9" w:rsidRPr="00474C26" w:rsidRDefault="004E2CA9" w:rsidP="004E2CA9">
      <w:pPr>
        <w:jc w:val="both"/>
        <w:rPr>
          <w:b/>
          <w:bCs/>
          <w:lang w:val="en-GB"/>
        </w:rPr>
      </w:pPr>
    </w:p>
    <w:p w14:paraId="29E53633" w14:textId="77777777" w:rsidR="004E2CA9" w:rsidRPr="00474C26" w:rsidRDefault="004E2CA9" w:rsidP="004E2CA9">
      <w:pPr>
        <w:pStyle w:val="Footer"/>
        <w:rPr>
          <w:lang w:val="en-GB"/>
        </w:rPr>
      </w:pPr>
    </w:p>
    <w:p w14:paraId="595CF999" w14:textId="77777777" w:rsidR="004E2CA9" w:rsidRPr="00474C26" w:rsidRDefault="004E2CA9" w:rsidP="004E2CA9">
      <w:pPr>
        <w:pStyle w:val="Footer"/>
        <w:rPr>
          <w:lang w:val="en-GB"/>
        </w:rPr>
      </w:pPr>
    </w:p>
    <w:p w14:paraId="47D66959" w14:textId="7880D0D1" w:rsidR="004E2CA9" w:rsidRPr="00474C26" w:rsidRDefault="004E2CA9" w:rsidP="004E2CA9">
      <w:pPr>
        <w:jc w:val="both"/>
        <w:rPr>
          <w:b/>
          <w:bCs/>
          <w:lang w:val="en-GB"/>
        </w:rPr>
      </w:pPr>
      <w:r w:rsidRPr="00474C26">
        <w:rPr>
          <w:b/>
          <w:lang w:val="en-GB" w:bidi="en-GB"/>
        </w:rPr>
        <w:t>Question 8:</w:t>
      </w:r>
    </w:p>
    <w:p w14:paraId="4E562F6A" w14:textId="77777777" w:rsidR="00A022BD" w:rsidRPr="00474C26" w:rsidRDefault="00A022BD" w:rsidP="00A022BD">
      <w:pPr>
        <w:ind w:firstLine="720"/>
        <w:jc w:val="both"/>
        <w:rPr>
          <w:lang w:val="en-GB"/>
        </w:rPr>
      </w:pPr>
      <w:r w:rsidRPr="00474C26">
        <w:rPr>
          <w:lang w:val="en-GB" w:bidi="en-GB"/>
        </w:rPr>
        <w:t xml:space="preserve">We ask the Contracting Authority to clarify at what specific point, in the Contracting Authority’s view, the procurement contract is considered performed – whether it is the moment of completion of vehicle supply, the end of the warranty period, the completion of the supply of current assets spare parts and materials, the end of the support period for software and diagnostic equipment, or some other specific point in time. </w:t>
      </w:r>
    </w:p>
    <w:p w14:paraId="079461FD" w14:textId="75122223" w:rsidR="004E2CA9" w:rsidRPr="00474C26" w:rsidRDefault="004E2CA9" w:rsidP="004E2CA9">
      <w:pPr>
        <w:ind w:firstLine="720"/>
        <w:jc w:val="both"/>
        <w:rPr>
          <w:lang w:val="en-GB"/>
        </w:rPr>
      </w:pPr>
    </w:p>
    <w:p w14:paraId="627FD48A" w14:textId="77777777" w:rsidR="004E2CA9" w:rsidRPr="00474C26" w:rsidRDefault="004E2CA9" w:rsidP="004E2CA9">
      <w:pPr>
        <w:ind w:firstLine="720"/>
        <w:jc w:val="both"/>
        <w:rPr>
          <w:lang w:val="en-GB"/>
        </w:rPr>
      </w:pPr>
    </w:p>
    <w:p w14:paraId="5D09A3B9" w14:textId="0AF886F4" w:rsidR="004E2CA9" w:rsidRPr="00474C26" w:rsidRDefault="004E2CA9" w:rsidP="004E2CA9">
      <w:pPr>
        <w:jc w:val="both"/>
        <w:rPr>
          <w:b/>
          <w:bCs/>
          <w:lang w:val="en-GB"/>
        </w:rPr>
      </w:pPr>
      <w:r w:rsidRPr="00474C26">
        <w:rPr>
          <w:b/>
          <w:lang w:val="en-GB" w:bidi="en-GB"/>
        </w:rPr>
        <w:t>Answer 8:</w:t>
      </w:r>
    </w:p>
    <w:p w14:paraId="775DDE03" w14:textId="18CAC15A" w:rsidR="00696238" w:rsidRPr="00474C26" w:rsidRDefault="00696238" w:rsidP="00696238">
      <w:pPr>
        <w:ind w:firstLine="720"/>
        <w:jc w:val="both"/>
        <w:rPr>
          <w:lang w:val="en-GB"/>
        </w:rPr>
      </w:pPr>
      <w:r w:rsidRPr="00474C26">
        <w:rPr>
          <w:lang w:val="en-GB" w:bidi="en-GB"/>
        </w:rPr>
        <w:t>The Contracting Authority clarifies that the procurement contract as a whole is considered performed upon the proper performance of all obligations set forth in the procurement contract, including the completion of supply and the performance of related warranty obligations, in accordance with the provisions of the procurement contract.</w:t>
      </w:r>
    </w:p>
    <w:p w14:paraId="2D8B87D9" w14:textId="77777777" w:rsidR="008B574D" w:rsidRPr="00474C26" w:rsidRDefault="008B574D" w:rsidP="00144660">
      <w:pPr>
        <w:pStyle w:val="Footer"/>
        <w:rPr>
          <w:lang w:val="en-GB"/>
        </w:rPr>
      </w:pPr>
    </w:p>
    <w:p w14:paraId="753B73F4" w14:textId="77777777" w:rsidR="004E2CA9" w:rsidRPr="00474C26" w:rsidRDefault="004E2CA9" w:rsidP="004E2CA9">
      <w:pPr>
        <w:pStyle w:val="Footer"/>
        <w:rPr>
          <w:lang w:val="en-GB"/>
        </w:rPr>
      </w:pPr>
    </w:p>
    <w:p w14:paraId="6A9BA2E2" w14:textId="5D01A75F" w:rsidR="004E2CA9" w:rsidRPr="00474C26" w:rsidRDefault="004E2CA9" w:rsidP="004E2CA9">
      <w:pPr>
        <w:jc w:val="both"/>
        <w:rPr>
          <w:b/>
          <w:bCs/>
          <w:lang w:val="en-GB"/>
        </w:rPr>
      </w:pPr>
      <w:r w:rsidRPr="00474C26">
        <w:rPr>
          <w:b/>
          <w:lang w:val="en-GB" w:bidi="en-GB"/>
        </w:rPr>
        <w:t>Question 9:</w:t>
      </w:r>
    </w:p>
    <w:p w14:paraId="6D99BE24" w14:textId="77777777" w:rsidR="00A022BD" w:rsidRPr="00474C26" w:rsidRDefault="00A022BD" w:rsidP="00A022BD">
      <w:pPr>
        <w:ind w:firstLine="720"/>
        <w:jc w:val="both"/>
        <w:rPr>
          <w:lang w:val="en-GB"/>
        </w:rPr>
      </w:pPr>
      <w:r w:rsidRPr="00474C26">
        <w:rPr>
          <w:lang w:val="en-GB" w:bidi="en-GB"/>
        </w:rPr>
        <w:t xml:space="preserve">Section 18.5.2 of the regulations stipulates that, in order to demonstrate compliance with the requirement set forth in Sections 17.1.1 and 17.1.2 (regarding the fact that the battery-powered electric buses supplied and delivered by the Tenderer are suitable for operation in the European Union), the Tenderer must submit a European Union type-approval certificate – a Certificate of Conformity (“CoC”) issued by the manufacturer. </w:t>
      </w:r>
    </w:p>
    <w:p w14:paraId="3E206E21" w14:textId="77777777" w:rsidR="00A022BD" w:rsidRPr="00474C26" w:rsidRDefault="00A022BD" w:rsidP="00A022BD">
      <w:pPr>
        <w:ind w:firstLine="720"/>
        <w:jc w:val="both"/>
        <w:rPr>
          <w:lang w:val="en-GB"/>
        </w:rPr>
      </w:pPr>
      <w:r w:rsidRPr="00474C26">
        <w:rPr>
          <w:lang w:val="en-GB" w:bidi="en-GB"/>
        </w:rPr>
        <w:t xml:space="preserve">This wording creates two ambiguities. First, the CoC is a document specific to a particular vehicle that contains the bus’s vehicle identification number (VIN), the contracting authority’s details, and other specific information related to the particular bus supplied. This raises the question of whether, to comply with Section 18.5.2 of the regulations, a tenderer must submit the CoC in its original form as issued for a specific bus, or whether the tenderer may submit an </w:t>
      </w:r>
      <w:r w:rsidRPr="00474C26">
        <w:rPr>
          <w:lang w:val="en-GB" w:bidi="en-GB"/>
        </w:rPr>
        <w:lastRenderedPageBreak/>
        <w:t xml:space="preserve">anonymised (with identifying information redacted) version to protect commercial information regarding previous customers and specific buses supplied. </w:t>
      </w:r>
    </w:p>
    <w:p w14:paraId="7D2DB5FC" w14:textId="77777777" w:rsidR="00A022BD" w:rsidRPr="00474C26" w:rsidRDefault="00A022BD" w:rsidP="00A022BD">
      <w:pPr>
        <w:ind w:firstLine="720"/>
        <w:jc w:val="both"/>
        <w:rPr>
          <w:lang w:val="en-GB"/>
        </w:rPr>
      </w:pPr>
      <w:r w:rsidRPr="00474C26">
        <w:rPr>
          <w:lang w:val="en-GB" w:bidi="en-GB"/>
        </w:rPr>
        <w:t xml:space="preserve">Second, it is unclear whether, to comply with Section 18.5.2, it is sufficient to submit a single representative CoC (which confirms that the relevant vehicle type has received EC Whole Vehicle Type Approval), or whether the tenderer must submit a CoC for all 60 buses that the tenderer has supplied and that are used to demonstrate compliance with Sections 17.1.1 and 17.1.2. </w:t>
      </w:r>
    </w:p>
    <w:p w14:paraId="5DAB881F" w14:textId="77777777" w:rsidR="00A022BD" w:rsidRPr="00474C26" w:rsidRDefault="00A022BD" w:rsidP="00A022BD">
      <w:pPr>
        <w:ind w:firstLine="720"/>
        <w:jc w:val="both"/>
        <w:rPr>
          <w:lang w:val="en-GB"/>
        </w:rPr>
      </w:pPr>
      <w:r w:rsidRPr="00474C26">
        <w:rPr>
          <w:lang w:val="en-GB" w:bidi="en-GB"/>
        </w:rPr>
        <w:t xml:space="preserve">We ask the Contracting Authority to explain: </w:t>
      </w:r>
    </w:p>
    <w:p w14:paraId="1891E59B" w14:textId="77777777" w:rsidR="00A022BD" w:rsidRPr="00474C26" w:rsidRDefault="00A022BD" w:rsidP="00A022BD">
      <w:pPr>
        <w:ind w:firstLine="720"/>
        <w:jc w:val="both"/>
        <w:rPr>
          <w:lang w:val="en-GB"/>
        </w:rPr>
      </w:pPr>
      <w:r w:rsidRPr="00474C26">
        <w:rPr>
          <w:lang w:val="en-GB" w:bidi="en-GB"/>
        </w:rPr>
        <w:t xml:space="preserve">1) whether, for the purposes of complying with Section 18.5.2, an anonymised CoC (with the VIN and the contracting authority’s identification removed) that retains the technical specifications and type approval data is acceptable, or whether the CoC must be submitted in its original form, and </w:t>
      </w:r>
    </w:p>
    <w:p w14:paraId="302224B4" w14:textId="77777777" w:rsidR="00A022BD" w:rsidRPr="00474C26" w:rsidRDefault="00A022BD" w:rsidP="00A022BD">
      <w:pPr>
        <w:ind w:firstLine="720"/>
        <w:jc w:val="both"/>
        <w:rPr>
          <w:lang w:val="en-GB"/>
        </w:rPr>
      </w:pPr>
      <w:r w:rsidRPr="00474C26">
        <w:rPr>
          <w:lang w:val="en-GB" w:bidi="en-GB"/>
        </w:rPr>
        <w:t xml:space="preserve">2) whether it is sufficient to submit a single representative CoC for the relevant vehicle type, or whether a CoC must be submitted for all 60 buses supplied. </w:t>
      </w:r>
    </w:p>
    <w:p w14:paraId="67C2C6CF" w14:textId="77777777" w:rsidR="004E2CA9" w:rsidRPr="00474C26" w:rsidRDefault="004E2CA9" w:rsidP="004E2CA9">
      <w:pPr>
        <w:ind w:firstLine="720"/>
        <w:jc w:val="both"/>
        <w:rPr>
          <w:lang w:val="en-GB"/>
        </w:rPr>
      </w:pPr>
    </w:p>
    <w:p w14:paraId="3651E504" w14:textId="546441FB" w:rsidR="004E2CA9" w:rsidRPr="00474C26" w:rsidRDefault="004E2CA9" w:rsidP="004E2CA9">
      <w:pPr>
        <w:jc w:val="both"/>
        <w:rPr>
          <w:b/>
          <w:bCs/>
          <w:lang w:val="en-GB"/>
        </w:rPr>
      </w:pPr>
      <w:r w:rsidRPr="00474C26">
        <w:rPr>
          <w:b/>
          <w:lang w:val="en-GB" w:bidi="en-GB"/>
        </w:rPr>
        <w:t>Answer 9:</w:t>
      </w:r>
    </w:p>
    <w:p w14:paraId="7ECBA0EB" w14:textId="6158548A" w:rsidR="004E2CA9" w:rsidRPr="00474C26" w:rsidRDefault="004E2CA9" w:rsidP="004E2CA9">
      <w:pPr>
        <w:ind w:firstLine="720"/>
        <w:jc w:val="both"/>
        <w:rPr>
          <w:lang w:val="en-GB"/>
        </w:rPr>
      </w:pPr>
      <w:r w:rsidRPr="00474C26">
        <w:rPr>
          <w:lang w:val="en-GB" w:bidi="en-GB"/>
        </w:rPr>
        <w:t>The Contracting Authority explains that:</w:t>
      </w:r>
    </w:p>
    <w:p w14:paraId="02D70C07" w14:textId="08D432D1" w:rsidR="006843FA" w:rsidRPr="00474C26" w:rsidRDefault="006843FA" w:rsidP="006843FA">
      <w:pPr>
        <w:ind w:firstLine="720"/>
        <w:jc w:val="both"/>
        <w:rPr>
          <w:lang w:val="en-GB"/>
        </w:rPr>
      </w:pPr>
      <w:r w:rsidRPr="00474C26">
        <w:rPr>
          <w:lang w:val="en-GB" w:bidi="en-GB"/>
        </w:rPr>
        <w:t>1) for the purposes of approving Section 18.5.2 of the Regulations of the procurement procedure, an anonymised CoC is acceptable provided that it retains all relevant technical information and type approval data, which allows the Contracting Authority to verify compliance with the requirements.</w:t>
      </w:r>
    </w:p>
    <w:p w14:paraId="6BD46EEC" w14:textId="1183AB57" w:rsidR="00661D3D" w:rsidRPr="00474C26" w:rsidRDefault="006843FA" w:rsidP="00AC1F3C">
      <w:pPr>
        <w:ind w:firstLine="720"/>
        <w:jc w:val="both"/>
        <w:rPr>
          <w:lang w:val="en-GB"/>
        </w:rPr>
      </w:pPr>
      <w:r w:rsidRPr="00474C26">
        <w:rPr>
          <w:lang w:val="en-GB" w:bidi="en-GB"/>
        </w:rPr>
        <w:t>2) for the purposes of approving Section 18.5.2 of the Regulations of the procurement procedure, it is sufficient to submit one or more representative CoCs for the relevant vehicle type, provided that all vehicles supplied are identical in terms of technical parameters.</w:t>
      </w:r>
    </w:p>
    <w:p w14:paraId="5D1D18AF" w14:textId="77777777" w:rsidR="00661D3D" w:rsidRPr="00474C26" w:rsidRDefault="00661D3D" w:rsidP="004E2CA9">
      <w:pPr>
        <w:pStyle w:val="Footer"/>
        <w:rPr>
          <w:lang w:val="en-GB"/>
        </w:rPr>
      </w:pPr>
    </w:p>
    <w:p w14:paraId="41EBCFD0" w14:textId="77777777" w:rsidR="004E2CA9" w:rsidRPr="00474C26" w:rsidRDefault="004E2CA9" w:rsidP="004E2CA9">
      <w:pPr>
        <w:pStyle w:val="Footer"/>
        <w:rPr>
          <w:lang w:val="en-GB"/>
        </w:rPr>
      </w:pPr>
    </w:p>
    <w:p w14:paraId="24E5B477" w14:textId="25442B8D" w:rsidR="004E2CA9" w:rsidRPr="00474C26" w:rsidRDefault="004E2CA9" w:rsidP="004E2CA9">
      <w:pPr>
        <w:jc w:val="both"/>
        <w:rPr>
          <w:b/>
          <w:bCs/>
          <w:lang w:val="en-GB"/>
        </w:rPr>
      </w:pPr>
      <w:r w:rsidRPr="00474C26">
        <w:rPr>
          <w:b/>
          <w:lang w:val="en-GB" w:bidi="en-GB"/>
        </w:rPr>
        <w:t>Question 10:</w:t>
      </w:r>
    </w:p>
    <w:p w14:paraId="5B13DD06" w14:textId="77777777" w:rsidR="007E5F87" w:rsidRPr="00474C26" w:rsidRDefault="007E5F87" w:rsidP="007E5F87">
      <w:pPr>
        <w:ind w:firstLine="720"/>
        <w:jc w:val="both"/>
        <w:rPr>
          <w:lang w:val="en-GB"/>
        </w:rPr>
      </w:pPr>
      <w:r w:rsidRPr="00474C26">
        <w:rPr>
          <w:lang w:val="en-GB" w:bidi="en-GB"/>
        </w:rPr>
        <w:t xml:space="preserve">In response to Question 3 posed above, the Contracting Authority has clarified that a Tenderer who relies on the economic and financial capacity of another person remains a single tenderer and is not treated as a consortium of suppliers, while the requirement for joint liability serves as a legal mechanism to enable the Contracting Authority to take action against both parties in the event of a breach of contract. At the same time, the Contracting Authority has indicated that it will be entitled to specify the relevant person in the procurement contract, thereby also establishing the issue of joint liability in the contract. It follows from the answer to Part 3 of Question 3 that, if the Tenderer is a supplier and a bus manufacturer is engaged as a subcontractor, the scope of work to be performed by the subcontractor must be specified in accordance with Section 16.2 of the regulations. </w:t>
      </w:r>
    </w:p>
    <w:p w14:paraId="241308A5" w14:textId="77777777" w:rsidR="007E5F87" w:rsidRPr="00474C26" w:rsidRDefault="007E5F87" w:rsidP="007E5F87">
      <w:pPr>
        <w:ind w:firstLine="720"/>
        <w:jc w:val="both"/>
        <w:rPr>
          <w:lang w:val="en-GB"/>
        </w:rPr>
      </w:pPr>
      <w:r w:rsidRPr="00474C26">
        <w:rPr>
          <w:lang w:val="en-GB" w:bidi="en-GB"/>
        </w:rPr>
        <w:t xml:space="preserve">In this context, it is not entirely clear how the Tenderer is expected to confirm, in accordance with the Contracting Authority’s expectations, that it assumes joint liability at the time of submitting the offer, if the Tenderer and the person on whose financial capacity it relies (who is also a subcontractor) do not formally form a consortium of suppliers and, accordingly, do not enter into a consortium agreement. Section 15.4 of the regulations stipulates that the Tenderer must submit a confirmation or agreement on cooperation, but it does not specify whether this document must be a separate document specifically addressing joint liability, or whether the commitment to joint liability may be included in the text of a subcontractor agreement or cooperation agreement. </w:t>
      </w:r>
    </w:p>
    <w:p w14:paraId="5BDDDD30" w14:textId="4750CFF7" w:rsidR="004E2CA9" w:rsidRPr="00474C26" w:rsidRDefault="007E5F87" w:rsidP="007E5F87">
      <w:pPr>
        <w:ind w:firstLine="720"/>
        <w:jc w:val="both"/>
        <w:rPr>
          <w:lang w:val="en-GB"/>
        </w:rPr>
      </w:pPr>
      <w:r w:rsidRPr="00474C26">
        <w:rPr>
          <w:lang w:val="en-GB" w:bidi="en-GB"/>
        </w:rPr>
        <w:t>We ask the Contracting Authority to clarify what specific documents the Tenderer must prepare and submit with the offer to confirm the assumption of joint liability between the Tenderer and the person on whose financial capacity it relies, in the event that a consortium of suppliers is not formed. Would a subcontractor agreement (or cooperation agreement) concluded with the relevant person, the text of which explicitly includes a joint liability clause regarding the performance of the procurement contract, be considered sufficient certification, or does the Contracting Authority expect a confirmation of joint liability that is separate and distinct from the subcontractor agreement (for example, a unilateral confirmation or a tripartite agreement)?</w:t>
      </w:r>
    </w:p>
    <w:p w14:paraId="224F9666" w14:textId="28F3B197" w:rsidR="007E5F87" w:rsidRPr="00474C26" w:rsidRDefault="007E5F87" w:rsidP="007E5F87">
      <w:pPr>
        <w:ind w:firstLine="720"/>
        <w:jc w:val="both"/>
        <w:rPr>
          <w:lang w:val="en-GB"/>
        </w:rPr>
      </w:pPr>
      <w:r w:rsidRPr="00474C26">
        <w:rPr>
          <w:lang w:val="en-GB" w:bidi="en-GB"/>
        </w:rPr>
        <w:lastRenderedPageBreak/>
        <w:t>It is possible (and expected by the Contracting Authority) to impose a time limit on the tenderer and the person on whose financial capacity the tenderer relies, for example, until the completion of vehicle supply or until a specified date after supply (for example, half a year after the supply of the last vehicle). The expected total duration of the procurement contract, including the supply phase and subsequent warranty, spare parts, and software support periods, may reach 12 years (the vehicle’s designed service life), while the battery warranty itself is 10 years. The person on whose financial capacity the Tenderer relies is involved solely in ensuring the Tenderer’s financial stability during the contract performance phase and, in essence, guarantees the performance of the supply with their financial standing, rather than the technical performance of the vehicle or long-term warranty obligations. Failing to limit the period of joint liability would be disproportionate to the nature and scope of this person’s involvement and would create a situation in which the provider of support is held jointly liable for an unreasonably long period for technical obligations that are not within the scope of its liability. We request that the Contracting Authority confirm that it is permissible to include a reasonable time limit in the joint liability undertaking document (for example, until the completion of supply or half a year thereafter); or, if the Contracting Authority insists on an unlimited term, we request an explanation as to the basis for such a requirement under the principle of proportionality.</w:t>
      </w:r>
    </w:p>
    <w:p w14:paraId="4DC4DB7E" w14:textId="77777777" w:rsidR="007E5F87" w:rsidRPr="00474C26" w:rsidRDefault="007E5F87" w:rsidP="007E5F87">
      <w:pPr>
        <w:ind w:firstLine="720"/>
        <w:jc w:val="both"/>
        <w:rPr>
          <w:lang w:val="en-GB"/>
        </w:rPr>
      </w:pPr>
    </w:p>
    <w:p w14:paraId="697B5134" w14:textId="4347933E" w:rsidR="004E2CA9" w:rsidRPr="00474C26" w:rsidRDefault="004E2CA9" w:rsidP="004E2CA9">
      <w:pPr>
        <w:jc w:val="both"/>
        <w:rPr>
          <w:b/>
          <w:bCs/>
          <w:lang w:val="en-GB"/>
        </w:rPr>
      </w:pPr>
      <w:r w:rsidRPr="00474C26">
        <w:rPr>
          <w:b/>
          <w:lang w:val="en-GB" w:bidi="en-GB"/>
        </w:rPr>
        <w:t>Answer 10:</w:t>
      </w:r>
    </w:p>
    <w:p w14:paraId="3AE71EC5" w14:textId="59567E5E" w:rsidR="004E2CA9" w:rsidRPr="00474C26" w:rsidRDefault="004E2CA9" w:rsidP="004E2CA9">
      <w:pPr>
        <w:ind w:firstLine="720"/>
        <w:jc w:val="both"/>
        <w:rPr>
          <w:lang w:val="en-GB"/>
        </w:rPr>
      </w:pPr>
      <w:r w:rsidRPr="00474C26">
        <w:rPr>
          <w:lang w:val="en-GB" w:bidi="en-GB"/>
        </w:rPr>
        <w:t xml:space="preserve">The Contracting Authority clarifies that, in the event that the person on whose capabilities the tenderer relies and the subcontractor are the same person, the Tenderer may submit a statement of cooperation (e.g., a subcontractor agreement) in the offer, which clearly provides for the assumption of joint liability. A separate document is not required if the relevant joint liability clause is included in this subcontractor agreement. </w:t>
      </w:r>
    </w:p>
    <w:p w14:paraId="33987547" w14:textId="79F8B050" w:rsidR="00815ABD" w:rsidRPr="00474C26" w:rsidRDefault="00815ABD" w:rsidP="00815ABD">
      <w:pPr>
        <w:ind w:firstLine="720"/>
        <w:jc w:val="both"/>
        <w:rPr>
          <w:lang w:val="en-GB"/>
        </w:rPr>
      </w:pPr>
      <w:r w:rsidRPr="00474C26">
        <w:rPr>
          <w:lang w:val="en-GB" w:bidi="en-GB"/>
        </w:rPr>
        <w:t>Pursuant to Section 51, Paragraph eight of the Law on the Procurements of Public Service Providers, the regulatory framework does not provide for the possibility of limiting the term of joint liability. Since the Contracting Authority provides for joint liability in accordance with the regulations of the procurement procedure, such liability applies to the entire duration of the procurement contract, not just to a specific phase of its performance.</w:t>
      </w:r>
    </w:p>
    <w:p w14:paraId="02B980AD" w14:textId="77777777" w:rsidR="004E2CA9" w:rsidRPr="00474C26" w:rsidRDefault="004E2CA9" w:rsidP="004E2CA9">
      <w:pPr>
        <w:pStyle w:val="Footer"/>
        <w:rPr>
          <w:lang w:val="en-GB"/>
        </w:rPr>
      </w:pPr>
    </w:p>
    <w:p w14:paraId="218A2F89" w14:textId="77777777" w:rsidR="004E2CA9" w:rsidRPr="00474C26" w:rsidRDefault="004E2CA9" w:rsidP="004E2CA9">
      <w:pPr>
        <w:pStyle w:val="Footer"/>
        <w:rPr>
          <w:lang w:val="en-GB"/>
        </w:rPr>
      </w:pPr>
    </w:p>
    <w:p w14:paraId="4696C900" w14:textId="25FF3B76" w:rsidR="004E2CA9" w:rsidRPr="00474C26" w:rsidRDefault="004E2CA9" w:rsidP="004E2CA9">
      <w:pPr>
        <w:jc w:val="both"/>
        <w:rPr>
          <w:b/>
          <w:bCs/>
          <w:lang w:val="en-GB"/>
        </w:rPr>
      </w:pPr>
      <w:r w:rsidRPr="00474C26">
        <w:rPr>
          <w:b/>
          <w:lang w:val="en-GB" w:bidi="en-GB"/>
        </w:rPr>
        <w:t>Question 11:</w:t>
      </w:r>
    </w:p>
    <w:p w14:paraId="28E9E3B4" w14:textId="77777777" w:rsidR="00CC13EB" w:rsidRPr="00474C26" w:rsidRDefault="00CC13EB" w:rsidP="00CC13EB">
      <w:pPr>
        <w:ind w:firstLine="720"/>
        <w:jc w:val="both"/>
        <w:rPr>
          <w:lang w:val="en-GB"/>
        </w:rPr>
      </w:pPr>
      <w:r w:rsidRPr="00474C26">
        <w:rPr>
          <w:lang w:val="en-GB" w:bidi="en-GB"/>
        </w:rPr>
        <w:t xml:space="preserve">In response to Part 3 of Question 5 above, the Contracting Authority has indicated that, given that the financial offer provides for the purchase of specific sets of instruments and diagnostic equipment (2 sets), it is considered that these sets are transferred to the Contracting Authority’s ownership without any time limit. </w:t>
      </w:r>
    </w:p>
    <w:p w14:paraId="2FD13CBE" w14:textId="77777777" w:rsidR="00CC13EB" w:rsidRPr="00474C26" w:rsidRDefault="00CC13EB" w:rsidP="00CC13EB">
      <w:pPr>
        <w:ind w:firstLine="720"/>
        <w:jc w:val="both"/>
        <w:rPr>
          <w:lang w:val="en-GB"/>
        </w:rPr>
      </w:pPr>
      <w:r w:rsidRPr="00474C26">
        <w:rPr>
          <w:lang w:val="en-GB" w:bidi="en-GB"/>
        </w:rPr>
        <w:t xml:space="preserve">This response, insofar as it relates to the physical instruments and diagnostic equipment hardware themselves, is understandable and acceptable to the Tenderer. However, transfer to ownership without a time limit is not practically feasible with regard to the diagnostic equipment software, the relevant server systems, and their support. The generally accepted practice in the industry is that diagnostic and service software, as well as access to the manufacturer’s authorised system, involves both a one-time purchase fee and periodic subscription, licensing, and support fees (which include software updates, compliance with regulatory changes, cybersecurity updates, access to the manufacturer’s databases, etc.). Setting an indefinite term for such services would mean that the Supplier would have to maintain software and support service payments at its own expense without any time limit, as well as perform maintenance and updates, which would mean that the performance of the contract and the Supplier’s obligations to the Buyer would never end. From a contract law perspective, this is disproportionate and inconsistent with the other requirements of the regulations and the draft contract regarding warranty and service life terms. </w:t>
      </w:r>
    </w:p>
    <w:p w14:paraId="0E607E10" w14:textId="09142263" w:rsidR="004E2CA9" w:rsidRPr="00474C26" w:rsidRDefault="00CC13EB" w:rsidP="00CC13EB">
      <w:pPr>
        <w:ind w:firstLine="720"/>
        <w:jc w:val="both"/>
        <w:rPr>
          <w:lang w:val="en-GB"/>
        </w:rPr>
      </w:pPr>
      <w:r w:rsidRPr="00474C26">
        <w:rPr>
          <w:lang w:val="en-GB" w:bidi="en-GB"/>
        </w:rPr>
        <w:t xml:space="preserve">We ask the Contracting Authority to specify the duration of the diagnostic equipment software, the relevant server systems, and their subscription, licensing, and support services, by setting a specific and reasonable time period (for example, within the vehicle’s basic warranty </w:t>
      </w:r>
      <w:r w:rsidRPr="00474C26">
        <w:rPr>
          <w:lang w:val="en-GB" w:bidi="en-GB"/>
        </w:rPr>
        <w:lastRenderedPageBreak/>
        <w:t>period of 3 years or its designed service life of 12 years, in accordance with Section A.15), so that the Tenderers can prepare mutually comparable and accurately calculated financial offers. At the same time, we ask the Contracting Authority to confirm that the diagnostic equipment hardware itself and the non-subscription-based software will remain the property of the Contracting Authority at no additional cost even after this period, as the Contracting Authority has already indicated in its response to Part 3 of Question 5.</w:t>
      </w:r>
    </w:p>
    <w:p w14:paraId="55187704" w14:textId="77777777" w:rsidR="00CC13EB" w:rsidRPr="00474C26" w:rsidRDefault="00CC13EB" w:rsidP="00CC13EB">
      <w:pPr>
        <w:ind w:firstLine="720"/>
        <w:jc w:val="both"/>
        <w:rPr>
          <w:lang w:val="en-GB"/>
        </w:rPr>
      </w:pPr>
    </w:p>
    <w:p w14:paraId="26D0E9B5" w14:textId="74EDC5C0" w:rsidR="004E2CA9" w:rsidRPr="00474C26" w:rsidRDefault="004E2CA9" w:rsidP="004E2CA9">
      <w:pPr>
        <w:jc w:val="both"/>
        <w:rPr>
          <w:b/>
          <w:bCs/>
          <w:lang w:val="en-GB"/>
        </w:rPr>
      </w:pPr>
      <w:r w:rsidRPr="00474C26">
        <w:rPr>
          <w:b/>
          <w:lang w:val="en-GB" w:bidi="en-GB"/>
        </w:rPr>
        <w:t>Answer 11:</w:t>
      </w:r>
    </w:p>
    <w:p w14:paraId="78D267C6" w14:textId="3A1120EA" w:rsidR="00EA3A6F" w:rsidRPr="00474C26" w:rsidRDefault="00EA3A6F" w:rsidP="00EA3A6F">
      <w:pPr>
        <w:ind w:firstLine="720"/>
        <w:jc w:val="both"/>
        <w:rPr>
          <w:lang w:val="en-GB"/>
        </w:rPr>
      </w:pPr>
      <w:r w:rsidRPr="00474C26">
        <w:rPr>
          <w:lang w:val="en-GB" w:bidi="en-GB"/>
        </w:rPr>
        <w:t>The Contracting Authority once again draws attention to the previously provided explanations regarding the provision of diagnostic equipment and related resources.</w:t>
      </w:r>
    </w:p>
    <w:p w14:paraId="3AE41A5B" w14:textId="77777777" w:rsidR="00EA3A6F" w:rsidRPr="00474C26" w:rsidRDefault="00EA3A6F" w:rsidP="00EA3A6F">
      <w:pPr>
        <w:ind w:firstLine="720"/>
        <w:jc w:val="both"/>
        <w:rPr>
          <w:lang w:val="en-GB"/>
        </w:rPr>
      </w:pPr>
      <w:r w:rsidRPr="00474C26">
        <w:rPr>
          <w:lang w:val="en-GB" w:bidi="en-GB"/>
        </w:rPr>
        <w:t>In accordance with Section E.2, “Warranty Periods,” Clause 2.4 of the technical specifications, the Supplier must ensure access to resources related to warranty performance for at least 10 years or until the end of the traction battery’s warranty period. This also applies to diagnostic software, access to the manufacturer’s databases, and the technical support necessary to ensure warranty performance.</w:t>
      </w:r>
    </w:p>
    <w:p w14:paraId="5BD3DF9C" w14:textId="77777777" w:rsidR="00EA3A6F" w:rsidRPr="00474C26" w:rsidRDefault="00EA3A6F" w:rsidP="00EA3A6F">
      <w:pPr>
        <w:ind w:firstLine="720"/>
        <w:jc w:val="both"/>
        <w:rPr>
          <w:lang w:val="en-GB"/>
        </w:rPr>
      </w:pPr>
      <w:r w:rsidRPr="00474C26">
        <w:rPr>
          <w:lang w:val="en-GB" w:bidi="en-GB"/>
        </w:rPr>
        <w:t>Accordingly, the term for the provision of diagnostic software, access to server systems, licenses, and support services is tied to the aforementioned period and is not defined as unlimited.</w:t>
      </w:r>
    </w:p>
    <w:p w14:paraId="6A36599B" w14:textId="77777777" w:rsidR="00EA3A6F" w:rsidRPr="00474C26" w:rsidRDefault="00EA3A6F" w:rsidP="00EA3A6F">
      <w:pPr>
        <w:ind w:firstLine="720"/>
        <w:jc w:val="both"/>
        <w:rPr>
          <w:lang w:val="en-GB"/>
        </w:rPr>
      </w:pPr>
      <w:r w:rsidRPr="00474C26">
        <w:rPr>
          <w:lang w:val="en-GB" w:bidi="en-GB"/>
        </w:rPr>
        <w:t>At the same time, the Contracting Authority confirms that the special tools and diagnostic hardware are supplied and transferred to the Contracting Authority’s ownership without any time limit. The same applies to software components that are not based on a subscription or licensing model.</w:t>
      </w:r>
    </w:p>
    <w:p w14:paraId="6F1EFEC6" w14:textId="77777777" w:rsidR="004E2CA9" w:rsidRPr="00474C26" w:rsidRDefault="004E2CA9" w:rsidP="004E2CA9">
      <w:pPr>
        <w:jc w:val="both"/>
        <w:rPr>
          <w:b/>
          <w:bCs/>
          <w:lang w:val="en-GB"/>
        </w:rPr>
      </w:pPr>
    </w:p>
    <w:p w14:paraId="1320F43C" w14:textId="77777777" w:rsidR="004E2CA9" w:rsidRPr="00474C26" w:rsidRDefault="004E2CA9" w:rsidP="004E2CA9">
      <w:pPr>
        <w:pStyle w:val="Footer"/>
        <w:rPr>
          <w:lang w:val="en-GB"/>
        </w:rPr>
      </w:pPr>
    </w:p>
    <w:p w14:paraId="72465079" w14:textId="77777777" w:rsidR="004E2CA9" w:rsidRPr="00474C26" w:rsidRDefault="004E2CA9" w:rsidP="004E2CA9">
      <w:pPr>
        <w:pStyle w:val="Footer"/>
        <w:rPr>
          <w:lang w:val="en-GB"/>
        </w:rPr>
      </w:pPr>
    </w:p>
    <w:p w14:paraId="1E3B6E6A" w14:textId="5A1E10DB" w:rsidR="00DB1879" w:rsidRPr="00474C26" w:rsidRDefault="004E2CA9" w:rsidP="00DB1879">
      <w:pPr>
        <w:jc w:val="both"/>
        <w:rPr>
          <w:b/>
          <w:bCs/>
          <w:lang w:val="en-GB"/>
        </w:rPr>
      </w:pPr>
      <w:r w:rsidRPr="00474C26">
        <w:rPr>
          <w:b/>
          <w:lang w:val="en-GB" w:bidi="en-GB"/>
        </w:rPr>
        <w:t>Question 12:</w:t>
      </w:r>
    </w:p>
    <w:p w14:paraId="7797E226" w14:textId="092D8269" w:rsidR="00DB1879" w:rsidRPr="00474C26" w:rsidRDefault="00DB1879" w:rsidP="002529C8">
      <w:pPr>
        <w:ind w:firstLine="720"/>
        <w:jc w:val="both"/>
        <w:rPr>
          <w:lang w:val="en-GB"/>
        </w:rPr>
      </w:pPr>
      <w:r w:rsidRPr="00474C26">
        <w:rPr>
          <w:lang w:val="en-GB" w:bidi="en-GB"/>
        </w:rPr>
        <w:t xml:space="preserve">In response to Part 1 of Question 5 above, the Contracting Authority has clarified that Section C.3 of the technical specifications stipulates that standard workshop equipment is not considered to be special tools, which are generally available on the market and are not specific to a particular vehicle model, and accordingly, they do not need to be included in the Tenderer’s financial offer. </w:t>
      </w:r>
    </w:p>
    <w:p w14:paraId="18CBCCFC" w14:textId="77777777" w:rsidR="00DB1879" w:rsidRPr="00474C26" w:rsidRDefault="00DB1879" w:rsidP="00DB1879">
      <w:pPr>
        <w:ind w:firstLine="720"/>
        <w:jc w:val="both"/>
        <w:rPr>
          <w:lang w:val="en-GB"/>
        </w:rPr>
      </w:pPr>
      <w:r w:rsidRPr="00474C26">
        <w:rPr>
          <w:lang w:val="en-GB" w:bidi="en-GB"/>
        </w:rPr>
        <w:t xml:space="preserve">This response raises an additional practical question related to the performance of the Buyer’s function as an authorised warranty service partner, as provided for in Section E.4. In order for the Buyer to perform warranty and defect repair work on behalf of the Supplier and at the Supplier’s expense, in accordance with the manufacturer’s requirements and warranty provisions, not only model-specific equipment is required, but also a number of so-called universal tools, which are nevertheless essential for performing certain maintenance and repair operations (for example, an air conditioning system recharge unit compatible with the relevant refrigerant, standard-compliant work stands or lifting platforms, calibrated torque indicating wrenches to ensure specific tightening torques, etc.). This equipment is not considered model-specific, but it is certainly necessary for authorisation and for performing warranty work. </w:t>
      </w:r>
    </w:p>
    <w:p w14:paraId="5D8398B7" w14:textId="77777777" w:rsidR="00DB1879" w:rsidRPr="00474C26" w:rsidRDefault="00DB1879" w:rsidP="00DB1879">
      <w:pPr>
        <w:ind w:firstLine="720"/>
        <w:jc w:val="both"/>
        <w:rPr>
          <w:lang w:val="en-GB"/>
        </w:rPr>
      </w:pPr>
      <w:r w:rsidRPr="00474C26">
        <w:rPr>
          <w:lang w:val="en-GB" w:bidi="en-GB"/>
        </w:rPr>
        <w:t xml:space="preserve">If the Contracting Authority does not have such universal equipment that complies with specific standards, it is unclear which party is responsible for its purchase and associated costs. The tenderer does not include the provision of such equipment in the financial offer, since, according to the Contracting Authority’s response, they are not considered special tools, however, without them, the Purchaser will objectively be unable to perform the functions of an authorised service partner as required by Section E.4, as a result of which the Supplier will be unable to ensure the proper performance of its warranty obligations. </w:t>
      </w:r>
    </w:p>
    <w:p w14:paraId="256A9741" w14:textId="1C869506" w:rsidR="00DB1879" w:rsidRPr="00474C26" w:rsidRDefault="00DB1879" w:rsidP="00DB1879">
      <w:pPr>
        <w:ind w:firstLine="720"/>
        <w:jc w:val="both"/>
        <w:rPr>
          <w:lang w:val="en-GB"/>
        </w:rPr>
      </w:pPr>
      <w:r w:rsidRPr="00474C26">
        <w:rPr>
          <w:lang w:val="en-GB" w:bidi="en-GB"/>
        </w:rPr>
        <w:t xml:space="preserve">We ask the Contracting Authority to confirm that, in the event that the warranty and authorised service work for a specific proposed bus model require universal equipment (generally available on the market and not tied to any specific bus manufacturer) that meets specific technical standards (e.g., air conditioning system recharge equipment, stands, calibrated torque indicating wrenches, etc.) and the Contracting Authority does not have such equipment at its disposal, the </w:t>
      </w:r>
      <w:r w:rsidRPr="00474C26">
        <w:rPr>
          <w:lang w:val="en-GB" w:bidi="en-GB"/>
        </w:rPr>
        <w:lastRenderedPageBreak/>
        <w:t>purchase of this equipment is the responsibility of the Contracting Authority, and the Tenderer is not required to include the corresponding costs in its financial offer or authorisation costs.</w:t>
      </w:r>
    </w:p>
    <w:p w14:paraId="7F0C2D2A" w14:textId="7781EA6D" w:rsidR="004E2CA9" w:rsidRPr="00474C26" w:rsidRDefault="004E2CA9" w:rsidP="004E2CA9">
      <w:pPr>
        <w:ind w:firstLine="720"/>
        <w:jc w:val="both"/>
        <w:rPr>
          <w:lang w:val="en-GB"/>
        </w:rPr>
      </w:pPr>
    </w:p>
    <w:p w14:paraId="112D91F5" w14:textId="77777777" w:rsidR="004E2CA9" w:rsidRPr="00474C26" w:rsidRDefault="004E2CA9" w:rsidP="004E2CA9">
      <w:pPr>
        <w:ind w:firstLine="720"/>
        <w:jc w:val="both"/>
        <w:rPr>
          <w:lang w:val="en-GB"/>
        </w:rPr>
      </w:pPr>
    </w:p>
    <w:p w14:paraId="1C45147C" w14:textId="7E9A78F5" w:rsidR="004E2CA9" w:rsidRPr="00474C26" w:rsidRDefault="004E2CA9" w:rsidP="004E2CA9">
      <w:pPr>
        <w:jc w:val="both"/>
        <w:rPr>
          <w:b/>
          <w:bCs/>
          <w:lang w:val="en-GB"/>
        </w:rPr>
      </w:pPr>
      <w:r w:rsidRPr="00474C26">
        <w:rPr>
          <w:b/>
          <w:lang w:val="en-GB" w:bidi="en-GB"/>
        </w:rPr>
        <w:t>Answer 12:</w:t>
      </w:r>
    </w:p>
    <w:p w14:paraId="1DC2EE05" w14:textId="02F9537D" w:rsidR="0077790B" w:rsidRPr="00474C26" w:rsidRDefault="0077790B" w:rsidP="0077790B">
      <w:pPr>
        <w:ind w:firstLine="720"/>
        <w:jc w:val="both"/>
        <w:rPr>
          <w:lang w:val="en-GB"/>
        </w:rPr>
      </w:pPr>
      <w:r w:rsidRPr="00474C26">
        <w:rPr>
          <w:lang w:val="en-GB" w:bidi="en-GB"/>
        </w:rPr>
        <w:t>The Contracting Authority once again draws attention to the fact that, for the purposes of Section C.3 of the technical specifications, only vehicle-model-specific tools and diagnostic equipment are considered to be special tools, whereas standard workshop equipment that is generally available on the market and is not specific to a particular vehicle does not fall into this category.</w:t>
      </w:r>
    </w:p>
    <w:p w14:paraId="5A31F1AF" w14:textId="77777777" w:rsidR="0077790B" w:rsidRPr="00474C26" w:rsidRDefault="0077790B" w:rsidP="0077790B">
      <w:pPr>
        <w:ind w:firstLine="720"/>
        <w:jc w:val="both"/>
        <w:rPr>
          <w:lang w:val="en-GB"/>
        </w:rPr>
      </w:pPr>
      <w:r w:rsidRPr="00474C26">
        <w:rPr>
          <w:lang w:val="en-GB" w:bidi="en-GB"/>
        </w:rPr>
        <w:t>At the same time, the Contracting Authority confirms that, in order to ensure the performance of authorised service functions in accordance with Section E.4 of the technical specifications, the Contracting Authority’s infrastructure and capacity must meet the authorisation requirements set by the Supplier.</w:t>
      </w:r>
    </w:p>
    <w:p w14:paraId="4911A56F" w14:textId="77777777" w:rsidR="0077790B" w:rsidRPr="00474C26" w:rsidRDefault="0077790B" w:rsidP="0077790B">
      <w:pPr>
        <w:ind w:firstLine="720"/>
        <w:jc w:val="both"/>
        <w:rPr>
          <w:lang w:val="en-GB"/>
        </w:rPr>
      </w:pPr>
      <w:r w:rsidRPr="00474C26">
        <w:rPr>
          <w:lang w:val="en-GB" w:bidi="en-GB"/>
        </w:rPr>
        <w:t>Accordingly, the Contracting Authority will ensure compliance with these requirements during the term of the contract, including by providing the necessary standard workshop equipment, if required for the operation of the authorised service.</w:t>
      </w:r>
    </w:p>
    <w:p w14:paraId="3B2E3FD2" w14:textId="45046B84" w:rsidR="004E2CA9" w:rsidRPr="00474C26" w:rsidRDefault="0077790B" w:rsidP="0077790B">
      <w:pPr>
        <w:ind w:firstLine="720"/>
        <w:jc w:val="both"/>
        <w:rPr>
          <w:lang w:val="en-GB"/>
        </w:rPr>
      </w:pPr>
      <w:r w:rsidRPr="00474C26">
        <w:rPr>
          <w:lang w:val="en-GB" w:bidi="en-GB"/>
        </w:rPr>
        <w:t>The tenderer is not required to include such general (universal) equipment in the financial offer, unless it is specifically designated as a special tool required for a particular vehicle model.</w:t>
      </w:r>
    </w:p>
    <w:p w14:paraId="785340E4" w14:textId="77777777" w:rsidR="004E2CA9" w:rsidRPr="00474C26" w:rsidRDefault="004E2CA9" w:rsidP="004E2CA9">
      <w:pPr>
        <w:pStyle w:val="Footer"/>
        <w:rPr>
          <w:lang w:val="en-GB"/>
        </w:rPr>
      </w:pPr>
    </w:p>
    <w:p w14:paraId="2CED505C" w14:textId="77777777" w:rsidR="004E2CA9" w:rsidRPr="00474C26" w:rsidRDefault="004E2CA9" w:rsidP="004E2CA9">
      <w:pPr>
        <w:pStyle w:val="Footer"/>
        <w:rPr>
          <w:lang w:val="en-GB"/>
        </w:rPr>
      </w:pPr>
    </w:p>
    <w:p w14:paraId="046A4CA9" w14:textId="0A0032B4" w:rsidR="001E3CBE" w:rsidRPr="00474C26" w:rsidRDefault="004E2CA9" w:rsidP="001E3CBE">
      <w:pPr>
        <w:jc w:val="both"/>
        <w:rPr>
          <w:b/>
          <w:bCs/>
          <w:lang w:val="en-GB"/>
        </w:rPr>
      </w:pPr>
      <w:r w:rsidRPr="00474C26">
        <w:rPr>
          <w:b/>
          <w:lang w:val="en-GB" w:bidi="en-GB"/>
        </w:rPr>
        <w:t>Question 13:</w:t>
      </w:r>
    </w:p>
    <w:p w14:paraId="7D0BB107" w14:textId="77777777" w:rsidR="001E3CBE" w:rsidRPr="00474C26" w:rsidRDefault="001E3CBE" w:rsidP="001E3CBE">
      <w:pPr>
        <w:ind w:firstLine="720"/>
        <w:jc w:val="both"/>
        <w:rPr>
          <w:lang w:val="en-GB"/>
        </w:rPr>
      </w:pPr>
      <w:r w:rsidRPr="00474C26">
        <w:rPr>
          <w:lang w:val="en-GB" w:bidi="en-GB"/>
        </w:rPr>
        <w:t xml:space="preserve">Section A.1 (Vehicle Type) of the technical specifications concludes with the requirement that the tenderer must submit a 3D visualisation of the vehicle and four-view drawings to scale in the technical offer. </w:t>
      </w:r>
    </w:p>
    <w:p w14:paraId="44935E3E" w14:textId="77777777" w:rsidR="001E3CBE" w:rsidRPr="00474C26" w:rsidRDefault="001E3CBE" w:rsidP="001E3CBE">
      <w:pPr>
        <w:ind w:firstLine="720"/>
        <w:jc w:val="both"/>
        <w:rPr>
          <w:lang w:val="en-GB"/>
        </w:rPr>
      </w:pPr>
      <w:r w:rsidRPr="00474C26">
        <w:rPr>
          <w:lang w:val="en-GB" w:bidi="en-GB"/>
        </w:rPr>
        <w:t xml:space="preserve">The meaning of the term “3D visualisation” is not unambiguously clear from the wording. Possible interpretations differ significantly in terms of content and the amount of preparation work required. </w:t>
      </w:r>
    </w:p>
    <w:p w14:paraId="12696FD1" w14:textId="64933E5F" w:rsidR="004E2CA9" w:rsidRPr="00474C26" w:rsidRDefault="001E3CBE" w:rsidP="001E3CBE">
      <w:pPr>
        <w:ind w:firstLine="720"/>
        <w:jc w:val="both"/>
        <w:rPr>
          <w:lang w:val="en-GB"/>
        </w:rPr>
      </w:pPr>
      <w:r w:rsidRPr="00474C26">
        <w:rPr>
          <w:lang w:val="en-GB" w:bidi="en-GB"/>
        </w:rPr>
        <w:t>We ask the Contracting Authority to specify the exact format and content of the “3D visualisation” that it expects to receive in the technical offer. Preferably with a sample for reference. This clarification is necessary so that tenderers can prepare elements of their technical offers that are comparable with one another.</w:t>
      </w:r>
    </w:p>
    <w:p w14:paraId="34E061E2" w14:textId="77777777" w:rsidR="001E3CBE" w:rsidRPr="00474C26" w:rsidRDefault="001E3CBE" w:rsidP="001E3CBE">
      <w:pPr>
        <w:ind w:firstLine="720"/>
        <w:jc w:val="both"/>
        <w:rPr>
          <w:lang w:val="en-GB"/>
        </w:rPr>
      </w:pPr>
    </w:p>
    <w:p w14:paraId="71F3564D" w14:textId="54C471BB" w:rsidR="004E2CA9" w:rsidRPr="00474C26" w:rsidRDefault="004E2CA9" w:rsidP="004E2CA9">
      <w:pPr>
        <w:jc w:val="both"/>
        <w:rPr>
          <w:b/>
          <w:bCs/>
          <w:lang w:val="en-GB"/>
        </w:rPr>
      </w:pPr>
      <w:r w:rsidRPr="00474C26">
        <w:rPr>
          <w:b/>
          <w:lang w:val="en-GB" w:bidi="en-GB"/>
        </w:rPr>
        <w:t>Answer 13:</w:t>
      </w:r>
    </w:p>
    <w:p w14:paraId="43E87A57" w14:textId="77777777" w:rsidR="004D238D" w:rsidRPr="00474C26" w:rsidRDefault="004D238D" w:rsidP="00902434">
      <w:pPr>
        <w:ind w:firstLine="720"/>
        <w:jc w:val="both"/>
        <w:rPr>
          <w:lang w:val="en-GB"/>
        </w:rPr>
      </w:pPr>
      <w:r w:rsidRPr="00474C26">
        <w:rPr>
          <w:lang w:val="en-GB" w:bidi="en-GB"/>
        </w:rPr>
        <w:t>“3D visualisation”, as defined in Section A.1 of the technical specifications, refers to a visual rendering of the vehicle in a perspective (three-dimensional) view that provides a general overview of the vehicle’s exterior design, proportions, and main features.</w:t>
      </w:r>
    </w:p>
    <w:p w14:paraId="48AA42A2" w14:textId="77777777" w:rsidR="004D238D" w:rsidRPr="00474C26" w:rsidRDefault="004D238D" w:rsidP="00902434">
      <w:pPr>
        <w:ind w:firstLine="720"/>
        <w:jc w:val="both"/>
        <w:rPr>
          <w:lang w:val="en-GB"/>
        </w:rPr>
      </w:pPr>
      <w:r w:rsidRPr="00474C26">
        <w:rPr>
          <w:lang w:val="en-GB" w:bidi="en-GB"/>
        </w:rPr>
        <w:t>This requirement may be met with a static graphic image (rendering) from one or more angles (e.g., front side view, rear side view, etc.).</w:t>
      </w:r>
    </w:p>
    <w:p w14:paraId="5E4E6BF4" w14:textId="77777777" w:rsidR="004E2CA9" w:rsidRPr="00474C26" w:rsidRDefault="004E2CA9" w:rsidP="004E2CA9">
      <w:pPr>
        <w:jc w:val="both"/>
        <w:rPr>
          <w:b/>
          <w:bCs/>
          <w:lang w:val="en-GB"/>
        </w:rPr>
      </w:pPr>
    </w:p>
    <w:p w14:paraId="019067AE" w14:textId="77777777" w:rsidR="004E2CA9" w:rsidRPr="00474C26" w:rsidRDefault="004E2CA9" w:rsidP="004E2CA9">
      <w:pPr>
        <w:pStyle w:val="Footer"/>
        <w:rPr>
          <w:lang w:val="en-GB"/>
        </w:rPr>
      </w:pPr>
    </w:p>
    <w:p w14:paraId="1BE6313D" w14:textId="77777777" w:rsidR="004E2CA9" w:rsidRPr="00474C26" w:rsidRDefault="004E2CA9" w:rsidP="004E2CA9">
      <w:pPr>
        <w:pStyle w:val="Footer"/>
        <w:rPr>
          <w:lang w:val="en-GB"/>
        </w:rPr>
      </w:pPr>
    </w:p>
    <w:p w14:paraId="28E65A5C" w14:textId="0F4BEFFF" w:rsidR="004E2CA9" w:rsidRPr="00474C26" w:rsidRDefault="004E2CA9" w:rsidP="004E2CA9">
      <w:pPr>
        <w:jc w:val="both"/>
        <w:rPr>
          <w:b/>
          <w:bCs/>
          <w:lang w:val="en-GB"/>
        </w:rPr>
      </w:pPr>
      <w:r w:rsidRPr="00474C26">
        <w:rPr>
          <w:b/>
          <w:lang w:val="en-GB" w:bidi="en-GB"/>
        </w:rPr>
        <w:t>Question 14:</w:t>
      </w:r>
    </w:p>
    <w:p w14:paraId="607E6BBA" w14:textId="77777777" w:rsidR="001E3CBE" w:rsidRPr="00474C26" w:rsidRDefault="001E3CBE" w:rsidP="001E3CBE">
      <w:pPr>
        <w:ind w:firstLine="720"/>
        <w:jc w:val="both"/>
        <w:rPr>
          <w:lang w:val="en-GB"/>
        </w:rPr>
      </w:pPr>
      <w:r w:rsidRPr="00474C26">
        <w:rPr>
          <w:lang w:val="en-GB" w:bidi="en-GB"/>
        </w:rPr>
        <w:t>Section A.1 of the technical specifications provides that the tenderer must submit a 3D visualisation of the vehicle and four-view drawings to scale in the technical offer. In addition, Section A.2.1 (Dimensions) requires that the tenderer must submit a drawing of the vehicle’s dimensions as part of the technical offer.</w:t>
      </w:r>
    </w:p>
    <w:p w14:paraId="6CF7ACA3" w14:textId="77777777" w:rsidR="001E3CBE" w:rsidRPr="00474C26" w:rsidRDefault="001E3CBE" w:rsidP="001E3CBE">
      <w:pPr>
        <w:ind w:firstLine="720"/>
        <w:jc w:val="both"/>
        <w:rPr>
          <w:lang w:val="en-GB"/>
        </w:rPr>
      </w:pPr>
      <w:r w:rsidRPr="00474C26">
        <w:rPr>
          <w:lang w:val="en-GB" w:bidi="en-GB"/>
        </w:rPr>
        <w:t>It is unclear from the wording what the difference is between the “four-view drawing to scale” required in Section A.1 and the “drawing of the dimensions” required in Section A.2.1.</w:t>
      </w:r>
    </w:p>
    <w:p w14:paraId="390B969E" w14:textId="74A6E2E5" w:rsidR="004E2CA9" w:rsidRPr="00474C26" w:rsidRDefault="001E3CBE" w:rsidP="001E3CBE">
      <w:pPr>
        <w:ind w:firstLine="720"/>
        <w:jc w:val="both"/>
        <w:rPr>
          <w:lang w:val="en-GB"/>
        </w:rPr>
      </w:pPr>
      <w:r w:rsidRPr="00474C26">
        <w:rPr>
          <w:lang w:val="en-GB" w:bidi="en-GB"/>
        </w:rPr>
        <w:t xml:space="preserve">We ask the Contracting Authority to clarify the difference between the “four-view drawing to scale” mentioned in Section A.1 and the “drawing of the dimensions” mentioned in Section </w:t>
      </w:r>
      <w:r w:rsidRPr="00474C26">
        <w:rPr>
          <w:lang w:val="en-GB" w:bidi="en-GB"/>
        </w:rPr>
        <w:lastRenderedPageBreak/>
        <w:t>A.2.1 – are these two separate documents with different content, or a single document that simultaneously confirms compliance with the requirements of both sections acceptable?</w:t>
      </w:r>
    </w:p>
    <w:p w14:paraId="4118C13B" w14:textId="77777777" w:rsidR="001E3CBE" w:rsidRPr="00474C26" w:rsidRDefault="001E3CBE" w:rsidP="001E3CBE">
      <w:pPr>
        <w:ind w:firstLine="720"/>
        <w:jc w:val="both"/>
        <w:rPr>
          <w:lang w:val="en-GB"/>
        </w:rPr>
      </w:pPr>
    </w:p>
    <w:p w14:paraId="0C9E0F22" w14:textId="6F42D40A" w:rsidR="004E2CA9" w:rsidRPr="00474C26" w:rsidRDefault="004E2CA9" w:rsidP="004E2CA9">
      <w:pPr>
        <w:jc w:val="both"/>
        <w:rPr>
          <w:b/>
          <w:bCs/>
          <w:lang w:val="en-GB"/>
        </w:rPr>
      </w:pPr>
      <w:r w:rsidRPr="00474C26">
        <w:rPr>
          <w:b/>
          <w:lang w:val="en-GB" w:bidi="en-GB"/>
        </w:rPr>
        <w:t>Answer 14:</w:t>
      </w:r>
    </w:p>
    <w:p w14:paraId="01BAC466" w14:textId="77777777" w:rsidR="0036505C" w:rsidRPr="00474C26" w:rsidRDefault="0036505C" w:rsidP="0036505C">
      <w:pPr>
        <w:ind w:firstLine="720"/>
        <w:jc w:val="both"/>
        <w:rPr>
          <w:lang w:val="en-GB"/>
        </w:rPr>
      </w:pPr>
      <w:r w:rsidRPr="00474C26">
        <w:rPr>
          <w:lang w:val="en-GB" w:bidi="en-GB"/>
        </w:rPr>
        <w:t>The four-view drawing referred to in Section A.1 of the technical specifications and the drawing of dimensions referred to in Section A.2.1 are, in essence, interrelated.</w:t>
      </w:r>
    </w:p>
    <w:p w14:paraId="750D2C08" w14:textId="77777777" w:rsidR="0036505C" w:rsidRPr="00474C26" w:rsidRDefault="0036505C" w:rsidP="0036505C">
      <w:pPr>
        <w:ind w:firstLine="720"/>
        <w:jc w:val="both"/>
        <w:rPr>
          <w:lang w:val="en-GB"/>
        </w:rPr>
      </w:pPr>
      <w:r w:rsidRPr="00474C26">
        <w:rPr>
          <w:lang w:val="en-GB" w:bidi="en-GB"/>
        </w:rPr>
        <w:t>The purpose of the four-view drawing is to provide a visual and geometric representation of the vehicle (front view, rear view, side view, and top view) to scale, while the purpose of the drawing of the vehicle’s overall dimensions is to specify the vehicle’s main dimensions.</w:t>
      </w:r>
    </w:p>
    <w:p w14:paraId="155F2AD8" w14:textId="77777777" w:rsidR="0036505C" w:rsidRPr="00474C26" w:rsidRDefault="0036505C" w:rsidP="0036505C">
      <w:pPr>
        <w:ind w:firstLine="720"/>
        <w:jc w:val="both"/>
        <w:rPr>
          <w:lang w:val="en-GB"/>
        </w:rPr>
      </w:pPr>
      <w:r w:rsidRPr="00474C26">
        <w:rPr>
          <w:lang w:val="en-GB" w:bidi="en-GB"/>
        </w:rPr>
        <w:t>The Contracting Authority allows both requirements to be met by a single drawing, provided that it is drawn to scale, includes all four views, and contains all relevant vehicle dimensions and measurements in accordance with Section A.2.1.</w:t>
      </w:r>
    </w:p>
    <w:p w14:paraId="5D964C56" w14:textId="7EFB554A" w:rsidR="004E2CA9" w:rsidRPr="00474C26" w:rsidRDefault="0036505C" w:rsidP="0036505C">
      <w:pPr>
        <w:ind w:firstLine="720"/>
        <w:jc w:val="both"/>
        <w:rPr>
          <w:lang w:val="en-GB"/>
        </w:rPr>
      </w:pPr>
      <w:r w:rsidRPr="00474C26">
        <w:rPr>
          <w:lang w:val="en-GB" w:bidi="en-GB"/>
        </w:rPr>
        <w:t>Submission of separate documents is not required if all necessary information is included in a single drawing.</w:t>
      </w:r>
    </w:p>
    <w:p w14:paraId="69FB588E" w14:textId="77777777" w:rsidR="004E2CA9" w:rsidRPr="00474C26" w:rsidRDefault="004E2CA9" w:rsidP="004E2CA9">
      <w:pPr>
        <w:pStyle w:val="Footer"/>
        <w:rPr>
          <w:lang w:val="en-GB"/>
        </w:rPr>
      </w:pPr>
    </w:p>
    <w:p w14:paraId="5932A1E6" w14:textId="77777777" w:rsidR="00C95873" w:rsidRPr="00474C26" w:rsidRDefault="00C95873" w:rsidP="004E2CA9">
      <w:pPr>
        <w:pStyle w:val="Footer"/>
        <w:rPr>
          <w:lang w:val="en-GB"/>
        </w:rPr>
      </w:pPr>
    </w:p>
    <w:p w14:paraId="6A812D34" w14:textId="77777777" w:rsidR="004E2CA9" w:rsidRPr="00474C26" w:rsidRDefault="004E2CA9" w:rsidP="004E2CA9">
      <w:pPr>
        <w:pStyle w:val="Footer"/>
        <w:rPr>
          <w:lang w:val="en-GB"/>
        </w:rPr>
      </w:pPr>
    </w:p>
    <w:p w14:paraId="4EE1C28A" w14:textId="3501FA12" w:rsidR="001E3CBE" w:rsidRPr="00474C26" w:rsidRDefault="004E2CA9" w:rsidP="001E3CBE">
      <w:pPr>
        <w:jc w:val="both"/>
        <w:rPr>
          <w:b/>
          <w:bCs/>
          <w:lang w:val="en-GB"/>
        </w:rPr>
      </w:pPr>
      <w:r w:rsidRPr="00474C26">
        <w:rPr>
          <w:b/>
          <w:lang w:val="en-GB" w:bidi="en-GB"/>
        </w:rPr>
        <w:t>Question 15:</w:t>
      </w:r>
    </w:p>
    <w:p w14:paraId="69F0E97B" w14:textId="77777777" w:rsidR="001E3CBE" w:rsidRPr="00474C26" w:rsidRDefault="001E3CBE" w:rsidP="001E3CBE">
      <w:pPr>
        <w:ind w:firstLine="720"/>
        <w:jc w:val="both"/>
        <w:rPr>
          <w:lang w:val="en-GB"/>
        </w:rPr>
      </w:pPr>
      <w:r w:rsidRPr="00474C26">
        <w:rPr>
          <w:lang w:val="en-GB" w:bidi="en-GB"/>
        </w:rPr>
        <w:t xml:space="preserve">Section B.1.1.5 (Equipment Compartments, Covers) of the technical specifications stipulates, among other things, that the battery housing must be protected against acid exposure by “constructing it from layers of the highest-quality special material”. </w:t>
      </w:r>
    </w:p>
    <w:p w14:paraId="5A3A0CD7" w14:textId="77777777" w:rsidR="001E3CBE" w:rsidRPr="00474C26" w:rsidRDefault="001E3CBE" w:rsidP="001E3CBE">
      <w:pPr>
        <w:ind w:firstLine="720"/>
        <w:jc w:val="both"/>
        <w:rPr>
          <w:lang w:val="en-GB"/>
        </w:rPr>
      </w:pPr>
      <w:r w:rsidRPr="00474C26">
        <w:rPr>
          <w:lang w:val="en-GB" w:bidi="en-GB"/>
        </w:rPr>
        <w:t xml:space="preserve">This wording describes a specific design solution – an acid-resistant protective layer consisting of several layers of special materials. Category M3 articulated buses manufactured in Europe use modern battery compartment solutions that comply with applicable safety and material requirements, but do not always include such a specific layered acid-resistant protective layer. Modern low-voltage batteries are often sealed (AGM, gel, lithium-ion, or equivalents), and their design inherently eliminates the risk of acid leakage, making an additional protective layer structurally and functionally unnecessary. </w:t>
      </w:r>
    </w:p>
    <w:p w14:paraId="35A2513D" w14:textId="000B894C" w:rsidR="004E2CA9" w:rsidRPr="00474C26" w:rsidRDefault="001E3CBE" w:rsidP="001E3CBE">
      <w:pPr>
        <w:ind w:firstLine="720"/>
        <w:jc w:val="both"/>
        <w:rPr>
          <w:lang w:val="en-GB"/>
        </w:rPr>
      </w:pPr>
      <w:r w:rsidRPr="00474C26">
        <w:rPr>
          <w:lang w:val="en-GB" w:bidi="en-GB"/>
        </w:rPr>
        <w:t>This wording appears to describe a specific manufacturer’s technical solution, which potentially restricts competition by excluding manufacturers whose standard solutions are objectively unable to meet this requirement. We request that the Contracting Authority replace this specific design requirement with a functional requirement, i.e., the battery compartment must ensure protection of the passenger compartment and driver’s cabin against the risk of exposure to acid or other electrolytes in accordance with the vehicle’s type approval and the applicable UN/ECE Regulation and safety standards. This functional requirement safeguards the Contracting Authority’s security interests while allowing all European bus manufacturers to participate, regardless of the specific design solution.</w:t>
      </w:r>
    </w:p>
    <w:p w14:paraId="58A5A10A" w14:textId="77777777" w:rsidR="001E3CBE" w:rsidRPr="00474C26" w:rsidRDefault="001E3CBE" w:rsidP="001E3CBE">
      <w:pPr>
        <w:ind w:firstLine="720"/>
        <w:jc w:val="both"/>
        <w:rPr>
          <w:lang w:val="en-GB"/>
        </w:rPr>
      </w:pPr>
    </w:p>
    <w:p w14:paraId="2F136BF9" w14:textId="70A7042F" w:rsidR="004E2CA9" w:rsidRPr="00474C26" w:rsidRDefault="004E2CA9" w:rsidP="004E2CA9">
      <w:pPr>
        <w:jc w:val="both"/>
        <w:rPr>
          <w:b/>
          <w:bCs/>
          <w:lang w:val="en-GB"/>
        </w:rPr>
      </w:pPr>
      <w:r w:rsidRPr="00474C26">
        <w:rPr>
          <w:b/>
          <w:lang w:val="en-GB" w:bidi="en-GB"/>
        </w:rPr>
        <w:t>Answer 15:</w:t>
      </w:r>
    </w:p>
    <w:p w14:paraId="745432E3" w14:textId="77777777" w:rsidR="00C95873" w:rsidRPr="00474C26" w:rsidRDefault="00C95873" w:rsidP="00C95873">
      <w:pPr>
        <w:pStyle w:val="NormalWeb"/>
        <w:spacing w:before="0" w:beforeAutospacing="0" w:after="0" w:afterAutospacing="0"/>
        <w:ind w:firstLine="720"/>
        <w:jc w:val="both"/>
        <w:rPr>
          <w:lang w:val="en-GB"/>
        </w:rPr>
      </w:pPr>
      <w:r w:rsidRPr="00474C26">
        <w:rPr>
          <w:lang w:val="en-GB" w:bidi="en-GB"/>
        </w:rPr>
        <w:t>The Contracting Authority informs that, in order to evaluate the matter, it requires additional time; therefore, the deadline for providing a response to the question is extended to 27 June 2026.</w:t>
      </w:r>
    </w:p>
    <w:p w14:paraId="10A5F075" w14:textId="77777777" w:rsidR="004E2CA9" w:rsidRPr="00474C26" w:rsidRDefault="004E2CA9" w:rsidP="004E2CA9">
      <w:pPr>
        <w:jc w:val="both"/>
        <w:rPr>
          <w:b/>
          <w:bCs/>
          <w:lang w:val="en-GB"/>
        </w:rPr>
      </w:pPr>
    </w:p>
    <w:p w14:paraId="4906653C" w14:textId="77777777" w:rsidR="004E2CA9" w:rsidRPr="00474C26" w:rsidRDefault="004E2CA9" w:rsidP="004E2CA9">
      <w:pPr>
        <w:pStyle w:val="Footer"/>
        <w:rPr>
          <w:lang w:val="en-GB"/>
        </w:rPr>
      </w:pPr>
    </w:p>
    <w:p w14:paraId="1566997F" w14:textId="77777777" w:rsidR="004E2CA9" w:rsidRPr="00474C26" w:rsidRDefault="004E2CA9" w:rsidP="004E2CA9">
      <w:pPr>
        <w:pStyle w:val="Footer"/>
        <w:rPr>
          <w:lang w:val="en-GB"/>
        </w:rPr>
      </w:pPr>
    </w:p>
    <w:p w14:paraId="0E213373" w14:textId="5258734A" w:rsidR="004E2CA9" w:rsidRPr="00474C26" w:rsidRDefault="004E2CA9" w:rsidP="004E2CA9">
      <w:pPr>
        <w:jc w:val="both"/>
        <w:rPr>
          <w:b/>
          <w:bCs/>
          <w:lang w:val="en-GB"/>
        </w:rPr>
      </w:pPr>
      <w:r w:rsidRPr="00474C26">
        <w:rPr>
          <w:b/>
          <w:lang w:val="en-GB" w:bidi="en-GB"/>
        </w:rPr>
        <w:t>Question 16:</w:t>
      </w:r>
    </w:p>
    <w:p w14:paraId="114D4914" w14:textId="5476B866" w:rsidR="004E2CA9" w:rsidRPr="00474C26" w:rsidRDefault="003D5198" w:rsidP="004E2CA9">
      <w:pPr>
        <w:ind w:firstLine="720"/>
        <w:jc w:val="both"/>
        <w:rPr>
          <w:lang w:val="en-GB"/>
        </w:rPr>
      </w:pPr>
      <w:r w:rsidRPr="00474C26">
        <w:rPr>
          <w:lang w:val="en-GB" w:bidi="en-GB"/>
        </w:rPr>
        <w:t>Given the volume of the procurement documentation, its technical complexity, and the number of questions submitted, the answers to which directly affect the content of the offer, we request that the Contracting Authority extend the term for submitting offers, which is currently set for 1 July 2026 at 10.00, by 15 calendar days.</w:t>
      </w:r>
    </w:p>
    <w:p w14:paraId="35E45FB1" w14:textId="77777777" w:rsidR="003D5198" w:rsidRPr="00474C26" w:rsidRDefault="003D5198" w:rsidP="004E2CA9">
      <w:pPr>
        <w:ind w:firstLine="720"/>
        <w:jc w:val="both"/>
        <w:rPr>
          <w:lang w:val="en-GB"/>
        </w:rPr>
      </w:pPr>
    </w:p>
    <w:p w14:paraId="5CF9344B" w14:textId="264BAD3C" w:rsidR="004E2CA9" w:rsidRPr="00474C26" w:rsidRDefault="004E2CA9" w:rsidP="004E2CA9">
      <w:pPr>
        <w:jc w:val="both"/>
        <w:rPr>
          <w:b/>
          <w:bCs/>
          <w:lang w:val="en-GB"/>
        </w:rPr>
      </w:pPr>
      <w:r w:rsidRPr="00474C26">
        <w:rPr>
          <w:b/>
          <w:lang w:val="en-GB" w:bidi="en-GB"/>
        </w:rPr>
        <w:t>Answer 16:</w:t>
      </w:r>
    </w:p>
    <w:p w14:paraId="5F580BA5" w14:textId="14453988" w:rsidR="004E2CA9" w:rsidRPr="00474C26" w:rsidRDefault="003D5198" w:rsidP="004E2CA9">
      <w:pPr>
        <w:ind w:firstLine="720"/>
        <w:jc w:val="both"/>
        <w:rPr>
          <w:lang w:val="en-GB"/>
        </w:rPr>
      </w:pPr>
      <w:r w:rsidRPr="00474C26">
        <w:rPr>
          <w:lang w:val="en-GB" w:bidi="en-GB"/>
        </w:rPr>
        <w:lastRenderedPageBreak/>
        <w:t>Answer provided on 16 June 2026 – the term for submitting offers has been extended until 4 August 2026 at 10.00.</w:t>
      </w:r>
    </w:p>
    <w:p w14:paraId="4FC39015" w14:textId="77777777" w:rsidR="004E2CA9" w:rsidRPr="00474C26" w:rsidRDefault="004E2CA9" w:rsidP="004E2CA9">
      <w:pPr>
        <w:jc w:val="both"/>
        <w:rPr>
          <w:b/>
          <w:bCs/>
          <w:lang w:val="en-GB"/>
        </w:rPr>
      </w:pPr>
    </w:p>
    <w:p w14:paraId="0818499A" w14:textId="77777777" w:rsidR="007C6455" w:rsidRPr="00474C26" w:rsidRDefault="007C6455" w:rsidP="007C6455">
      <w:pPr>
        <w:rPr>
          <w:b/>
          <w:bCs/>
          <w:lang w:val="en-GB"/>
        </w:rPr>
      </w:pPr>
    </w:p>
    <w:p w14:paraId="04CDD1BB" w14:textId="77777777" w:rsidR="007C6455" w:rsidRPr="00474C26" w:rsidRDefault="007C6455" w:rsidP="007C6455">
      <w:pPr>
        <w:rPr>
          <w:b/>
          <w:bCs/>
          <w:lang w:val="en-GB"/>
        </w:rPr>
      </w:pPr>
    </w:p>
    <w:p w14:paraId="2DE4A911" w14:textId="77777777" w:rsidR="007C6455" w:rsidRPr="00474C26" w:rsidRDefault="007C6455" w:rsidP="007C6455">
      <w:pPr>
        <w:rPr>
          <w:b/>
          <w:bCs/>
          <w:lang w:val="en-GB"/>
        </w:rPr>
      </w:pPr>
    </w:p>
    <w:p w14:paraId="179C119D" w14:textId="36697E1F" w:rsidR="00576BE8" w:rsidRPr="00474C26" w:rsidRDefault="00576BE8" w:rsidP="007C6455">
      <w:pPr>
        <w:pBdr>
          <w:bottom w:val="single" w:sz="4" w:space="1" w:color="auto"/>
        </w:pBdr>
        <w:rPr>
          <w:b/>
          <w:bCs/>
          <w:lang w:val="en-GB"/>
        </w:rPr>
      </w:pPr>
      <w:r w:rsidRPr="00474C26">
        <w:rPr>
          <w:b/>
          <w:lang w:val="en-GB" w:bidi="en-GB"/>
        </w:rPr>
        <w:t>To 12.06.2026 No. 2.7.10</w:t>
      </w:r>
    </w:p>
    <w:p w14:paraId="3B5A7089" w14:textId="77777777" w:rsidR="00576BE8" w:rsidRPr="00474C26" w:rsidRDefault="00576BE8" w:rsidP="004E2CA9">
      <w:pPr>
        <w:jc w:val="both"/>
        <w:rPr>
          <w:b/>
          <w:bCs/>
          <w:lang w:val="en-GB"/>
        </w:rPr>
      </w:pPr>
    </w:p>
    <w:p w14:paraId="111C1C52" w14:textId="3301C2D3" w:rsidR="00ED0BEE" w:rsidRPr="00474C26" w:rsidRDefault="00ED0BEE" w:rsidP="00ED0BEE">
      <w:pPr>
        <w:jc w:val="both"/>
        <w:rPr>
          <w:b/>
          <w:bCs/>
          <w:lang w:val="en-GB"/>
        </w:rPr>
      </w:pPr>
      <w:r w:rsidRPr="00474C26">
        <w:rPr>
          <w:b/>
          <w:lang w:val="en-GB" w:bidi="en-GB"/>
        </w:rPr>
        <w:t>Question 1:</w:t>
      </w:r>
    </w:p>
    <w:p w14:paraId="37A94871" w14:textId="77777777" w:rsidR="009F0015" w:rsidRPr="00474C26" w:rsidRDefault="009F0015" w:rsidP="009F0015">
      <w:pPr>
        <w:pStyle w:val="Footer"/>
        <w:jc w:val="both"/>
        <w:rPr>
          <w:lang w:val="en-GB"/>
        </w:rPr>
      </w:pPr>
      <w:r w:rsidRPr="00474C26">
        <w:rPr>
          <w:lang w:val="en-GB" w:bidi="en-GB"/>
        </w:rPr>
        <w:t xml:space="preserve">Section B.2.4.3 (Tilting System – Kneeling) of the technical specifications stipulates that the body must be capable of tilting to the right, reducing the boarding height to no more than 270 mm relative to the road surface, in accordance with the requirements of UN/ECE Regulation No. 107. </w:t>
      </w:r>
    </w:p>
    <w:p w14:paraId="744CE7D2" w14:textId="77777777" w:rsidR="009F0015" w:rsidRPr="00474C26" w:rsidRDefault="009F0015" w:rsidP="009F0015">
      <w:pPr>
        <w:pStyle w:val="Footer"/>
        <w:jc w:val="both"/>
        <w:rPr>
          <w:lang w:val="en-GB"/>
        </w:rPr>
      </w:pPr>
      <w:r w:rsidRPr="00474C26">
        <w:rPr>
          <w:lang w:val="en-GB" w:bidi="en-GB"/>
        </w:rPr>
        <w:t xml:space="preserve">We would like to draw the Contracting Authority’s attention to the fact that this requirement differs significantly from the version that was discussed during the meeting on the technical specification. The consultation version specified an entry height of “approximately 250 mm” (with the qualifying term “approximately”), whereas in the final version of the regulations, this requirement has been changed to “not exceeding 270 mm” (with a specific, inflexible maximum limit). Thus, the requirement set by the Contracting Authority itself has already shifted by 20 mm between the consultation version and the final version, which in itself indicates that the figure in question is not based on a specific technical or safety requirement but is a parameter chosen by the Contracting Authority. </w:t>
      </w:r>
    </w:p>
    <w:p w14:paraId="45665C26" w14:textId="77777777" w:rsidR="009F0015" w:rsidRPr="00474C26" w:rsidRDefault="009F0015" w:rsidP="009F0015">
      <w:pPr>
        <w:pStyle w:val="Footer"/>
        <w:jc w:val="both"/>
        <w:rPr>
          <w:lang w:val="en-GB"/>
        </w:rPr>
      </w:pPr>
      <w:r w:rsidRPr="00474C26">
        <w:rPr>
          <w:lang w:val="en-GB" w:bidi="en-GB"/>
        </w:rPr>
        <w:t xml:space="preserve">The standard designs of M3/I-class articulated buses from several European manufacturers provide an entry height of 270 mm at the first door when the vehicle is in a tilted position, while at the second, third, and fourth doors, this height is approximately 290 mm due to design considerations. In practice, the 20 mm difference between 270 mm and 290 mm under operating conditions in Riga (height of platform edges, condition of infrastructure, convenience of passenger boarding/disembarking) does not have a significant impact on passenger comfort or accessibility for people with mobility impairments. </w:t>
      </w:r>
    </w:p>
    <w:p w14:paraId="1C7B58FC" w14:textId="02E9F733" w:rsidR="004E2CA9" w:rsidRPr="00474C26" w:rsidRDefault="009F0015" w:rsidP="009F0015">
      <w:pPr>
        <w:pStyle w:val="Footer"/>
        <w:jc w:val="both"/>
        <w:rPr>
          <w:lang w:val="en-GB"/>
        </w:rPr>
      </w:pPr>
      <w:r w:rsidRPr="00474C26">
        <w:rPr>
          <w:lang w:val="en-GB" w:bidi="en-GB"/>
        </w:rPr>
        <w:t>Do we correctly understand that, in the Contracting Authority’s view, a 20 mm difference between the proposed and required boarding height at the tilting position (for example, 290 mm at doors 2–4, as opposed to the required 270 mm) is not considered a technically or functionally significant difference under operational conditions in the city of Riga? If this is the case, we ask the Contracting Authority to consider the possibility of phrasing the requirement in Section B.2.4.3 in a more flexible manner – for example, “reducing the step height to approximately 270 mm” or “not exceeding 290 mm or 300 mm,” which preserves the Contracting Authority’s accessibility objective, while not restricting competition among European manufacturers, whose standard designs differ by this 20-mm margin.</w:t>
      </w:r>
    </w:p>
    <w:p w14:paraId="7CFB0A2D" w14:textId="77777777" w:rsidR="00ED0BEE" w:rsidRPr="00474C26" w:rsidRDefault="00ED0BEE" w:rsidP="004E2CA9">
      <w:pPr>
        <w:pStyle w:val="Footer"/>
        <w:rPr>
          <w:lang w:val="en-GB"/>
        </w:rPr>
      </w:pPr>
    </w:p>
    <w:p w14:paraId="615DA53C" w14:textId="659BED65" w:rsidR="00ED0BEE" w:rsidRPr="00474C26" w:rsidRDefault="00ED0BEE" w:rsidP="00ED0BEE">
      <w:pPr>
        <w:jc w:val="both"/>
        <w:rPr>
          <w:b/>
          <w:bCs/>
          <w:lang w:val="en-GB"/>
        </w:rPr>
      </w:pPr>
      <w:r w:rsidRPr="00474C26">
        <w:rPr>
          <w:b/>
          <w:lang w:val="en-GB" w:bidi="en-GB"/>
        </w:rPr>
        <w:t>Answer 1:</w:t>
      </w:r>
    </w:p>
    <w:p w14:paraId="25749921" w14:textId="77777777" w:rsidR="00346998" w:rsidRPr="00474C26" w:rsidRDefault="00346998" w:rsidP="00346998">
      <w:pPr>
        <w:pStyle w:val="Footer"/>
        <w:ind w:firstLine="720"/>
        <w:jc w:val="both"/>
        <w:rPr>
          <w:lang w:val="en-GB"/>
        </w:rPr>
      </w:pPr>
      <w:r w:rsidRPr="00474C26">
        <w:rPr>
          <w:lang w:val="en-GB" w:bidi="en-GB"/>
        </w:rPr>
        <w:t>The requirements of Annex 8 to UN/ECE Regulation No. 107 regarding accommodation and accessibility for passengers with reduced mobility stipulate that, for M3 Class I vehicles, the boarding height requirements may be met in one of two ways: either the height of the first step (boarding step) at at least one door must not exceed 250 mm, or, alternatively, the boarding height must not exceed 270 mm for two door openings – one for entrance and one for exit.</w:t>
      </w:r>
    </w:p>
    <w:p w14:paraId="052340FD" w14:textId="77777777" w:rsidR="00346998" w:rsidRPr="00474C26" w:rsidRDefault="00346998" w:rsidP="00346998">
      <w:pPr>
        <w:pStyle w:val="Footer"/>
        <w:ind w:firstLine="720"/>
        <w:jc w:val="both"/>
        <w:rPr>
          <w:lang w:val="en-GB"/>
        </w:rPr>
      </w:pPr>
      <w:r w:rsidRPr="00474C26">
        <w:rPr>
          <w:lang w:val="en-GB" w:bidi="en-GB"/>
        </w:rPr>
        <w:t>Compliance with these requirements in low-floor vehicles, in accordance with the provisions of Regulation No. 107, is ensured through the use of a kneeling system as a technical solution that is both intended and permitted by regulatory standards.</w:t>
      </w:r>
    </w:p>
    <w:p w14:paraId="3480CDA7" w14:textId="77777777" w:rsidR="00346998" w:rsidRPr="00474C26" w:rsidRDefault="00346998" w:rsidP="00346998">
      <w:pPr>
        <w:pStyle w:val="Footer"/>
        <w:ind w:firstLine="720"/>
        <w:jc w:val="both"/>
        <w:rPr>
          <w:lang w:val="en-GB"/>
        </w:rPr>
      </w:pPr>
      <w:r w:rsidRPr="00474C26">
        <w:rPr>
          <w:lang w:val="en-GB" w:bidi="en-GB"/>
        </w:rPr>
        <w:t>Consequently, the proposed vehicle must ensure compliance with the aforementioned requirements.</w:t>
      </w:r>
    </w:p>
    <w:p w14:paraId="4A28D764" w14:textId="77777777" w:rsidR="00346998" w:rsidRPr="00474C26" w:rsidRDefault="00346998" w:rsidP="00346998">
      <w:pPr>
        <w:pStyle w:val="Footer"/>
        <w:ind w:firstLine="720"/>
        <w:rPr>
          <w:lang w:val="en-GB"/>
        </w:rPr>
      </w:pPr>
    </w:p>
    <w:p w14:paraId="5F07D891" w14:textId="77777777" w:rsidR="00346998" w:rsidRPr="00474C26" w:rsidRDefault="00346998" w:rsidP="00346998">
      <w:pPr>
        <w:pStyle w:val="Footer"/>
        <w:ind w:firstLine="720"/>
        <w:rPr>
          <w:lang w:val="en-GB"/>
        </w:rPr>
      </w:pPr>
    </w:p>
    <w:p w14:paraId="43118FD7" w14:textId="77777777" w:rsidR="004E2CA9" w:rsidRPr="00474C26" w:rsidRDefault="004E2CA9" w:rsidP="004E2CA9">
      <w:pPr>
        <w:pStyle w:val="Footer"/>
        <w:rPr>
          <w:lang w:val="en-GB"/>
        </w:rPr>
      </w:pPr>
    </w:p>
    <w:p w14:paraId="64BF41DC" w14:textId="0D401A47" w:rsidR="00ED0BEE" w:rsidRPr="00474C26" w:rsidRDefault="00B0763E" w:rsidP="00ED0BEE">
      <w:pPr>
        <w:jc w:val="both"/>
        <w:rPr>
          <w:b/>
          <w:bCs/>
          <w:lang w:val="en-GB"/>
        </w:rPr>
      </w:pPr>
      <w:r w:rsidRPr="00474C26">
        <w:rPr>
          <w:b/>
          <w:lang w:val="en-GB" w:bidi="en-GB"/>
        </w:rPr>
        <w:lastRenderedPageBreak/>
        <w:t>Question 2:</w:t>
      </w:r>
    </w:p>
    <w:p w14:paraId="16A28B97" w14:textId="77777777" w:rsidR="009F0015" w:rsidRPr="00474C26" w:rsidRDefault="009F0015" w:rsidP="009F0015">
      <w:pPr>
        <w:pStyle w:val="Footer"/>
        <w:jc w:val="both"/>
        <w:rPr>
          <w:lang w:val="en-GB"/>
        </w:rPr>
      </w:pPr>
      <w:r w:rsidRPr="00474C26">
        <w:rPr>
          <w:lang w:val="en-GB" w:bidi="en-GB"/>
        </w:rPr>
        <w:t xml:space="preserve">Clause 6.4 of the draft procurement contract (contract version for Part 1 of the procurement subject and, accordingly, the corresponding clause in the draft contract for Part 2 of the procurement subject) provides that, in the event of failure to comply with the supply term for spare parts necessary for warranty repairs and the term for submitting technical solutions for warranty defects, as well as in the event of failure to meet the terms for warranty repairs, the Contracting Authority has the right to demand from the Supplier a contractual penalty in the amount of 0.03% of the price of the relevant Bus for each day of delay, but not exceeding 10% of the price of the Bus. </w:t>
      </w:r>
    </w:p>
    <w:p w14:paraId="74D1D474" w14:textId="77777777" w:rsidR="009F0015" w:rsidRPr="00474C26" w:rsidRDefault="009F0015" w:rsidP="009F0015">
      <w:pPr>
        <w:pStyle w:val="Footer"/>
        <w:jc w:val="both"/>
        <w:rPr>
          <w:lang w:val="en-GB"/>
        </w:rPr>
      </w:pPr>
      <w:r w:rsidRPr="00474C26">
        <w:rPr>
          <w:lang w:val="en-GB" w:bidi="en-GB"/>
        </w:rPr>
        <w:t xml:space="preserve">At the same time, Category A, Section 13 of the technical specifications sets the minimum period for the vehicle’s basic warranty at 3 years or 210 000 km (whichever comes first), while Section 27.2 (and, accordingly, Section 28.2), Subsection 2.3 of the regulations provides for additional points for a warranty period that exceeds the minimum (for example, 4 years – 3 additional points). Thus, the Tenderer may voluntarily offer an extended warranty period (for example, 5 years) that is longer than the minimum 3-year warranty period required in the regulations. </w:t>
      </w:r>
    </w:p>
    <w:p w14:paraId="184E7668" w14:textId="30D0539D" w:rsidR="00ED0BEE" w:rsidRPr="00474C26" w:rsidRDefault="009F0015" w:rsidP="009F0015">
      <w:pPr>
        <w:pStyle w:val="Footer"/>
        <w:jc w:val="both"/>
        <w:rPr>
          <w:lang w:val="en-GB"/>
        </w:rPr>
      </w:pPr>
      <w:r w:rsidRPr="00474C26">
        <w:rPr>
          <w:lang w:val="en-GB" w:bidi="en-GB"/>
        </w:rPr>
        <w:t>Are we correct in understanding that the aforementioned contractual penalty of 0.03% for each day of delay regarding the warranty repair period, failure to meet the terms for the supply of spare parts, and failure to meet the deadline for submitting technical solutions applies only to the basic warranty period specified in Category A, Section 13 of the technical specifications (3 years or 210 000 km) and does not apply to the extended warranty period voluntarily offered by the Tenderer (for example, the 4</w:t>
      </w:r>
      <w:r w:rsidRPr="00474C26">
        <w:rPr>
          <w:vertAlign w:val="superscript"/>
          <w:lang w:val="en-GB" w:bidi="en-GB"/>
        </w:rPr>
        <w:t>th</w:t>
      </w:r>
      <w:r w:rsidRPr="00474C26">
        <w:rPr>
          <w:lang w:val="en-GB" w:bidi="en-GB"/>
        </w:rPr>
        <w:t xml:space="preserve"> or 5</w:t>
      </w:r>
      <w:r w:rsidRPr="00474C26">
        <w:rPr>
          <w:vertAlign w:val="superscript"/>
          <w:lang w:val="en-GB" w:bidi="en-GB"/>
        </w:rPr>
        <w:t>th</w:t>
      </w:r>
      <w:r w:rsidRPr="00474C26">
        <w:rPr>
          <w:lang w:val="en-GB" w:bidi="en-GB"/>
        </w:rPr>
        <w:t xml:space="preserve"> year of the warranty), during which the Tenderer performs warranty obligations as a voluntary additional service beyond the minimum requirements specified in the regulations?</w:t>
      </w:r>
    </w:p>
    <w:p w14:paraId="15213353" w14:textId="77777777" w:rsidR="00ED0BEE" w:rsidRPr="00474C26" w:rsidRDefault="00ED0BEE" w:rsidP="00ED0BEE">
      <w:pPr>
        <w:pStyle w:val="Footer"/>
        <w:rPr>
          <w:lang w:val="en-GB"/>
        </w:rPr>
      </w:pPr>
    </w:p>
    <w:p w14:paraId="7D9B9C43" w14:textId="77777777" w:rsidR="00CF3E02" w:rsidRPr="00474C26" w:rsidRDefault="00CF3E02" w:rsidP="00ED0BEE">
      <w:pPr>
        <w:pStyle w:val="Footer"/>
        <w:rPr>
          <w:lang w:val="en-GB"/>
        </w:rPr>
      </w:pPr>
    </w:p>
    <w:p w14:paraId="404507A0" w14:textId="77777777" w:rsidR="00CF3E02" w:rsidRPr="00474C26" w:rsidRDefault="00CF3E02" w:rsidP="00ED0BEE">
      <w:pPr>
        <w:pStyle w:val="Footer"/>
        <w:rPr>
          <w:lang w:val="en-GB"/>
        </w:rPr>
      </w:pPr>
    </w:p>
    <w:p w14:paraId="1267B0BF" w14:textId="77777777" w:rsidR="00CF3E02" w:rsidRPr="00474C26" w:rsidRDefault="00CF3E02" w:rsidP="00ED0BEE">
      <w:pPr>
        <w:pStyle w:val="Footer"/>
        <w:rPr>
          <w:lang w:val="en-GB"/>
        </w:rPr>
      </w:pPr>
    </w:p>
    <w:p w14:paraId="50C8A71E" w14:textId="7F070C32" w:rsidR="00805AE0" w:rsidRPr="00474C26" w:rsidRDefault="00B0763E" w:rsidP="00805AE0">
      <w:pPr>
        <w:jc w:val="both"/>
        <w:rPr>
          <w:b/>
          <w:bCs/>
          <w:lang w:val="en-GB"/>
        </w:rPr>
      </w:pPr>
      <w:r w:rsidRPr="00474C26">
        <w:rPr>
          <w:b/>
          <w:lang w:val="en-GB" w:bidi="en-GB"/>
        </w:rPr>
        <w:t>Answer 2:</w:t>
      </w:r>
    </w:p>
    <w:p w14:paraId="6EF2B6FE" w14:textId="77777777" w:rsidR="00106F86" w:rsidRPr="00474C26" w:rsidRDefault="00805AE0" w:rsidP="00106F86">
      <w:pPr>
        <w:ind w:firstLine="720"/>
        <w:jc w:val="both"/>
        <w:rPr>
          <w:lang w:val="en-GB"/>
        </w:rPr>
      </w:pPr>
      <w:r w:rsidRPr="00474C26">
        <w:rPr>
          <w:lang w:val="en-GB" w:bidi="en-GB"/>
        </w:rPr>
        <w:t>No, this assumption is incorrect. The contractual penalty for failure to perform the warranty obligations applies throughout the entire warranty period offered by the Tenderer in its offer, not just during the period specified in the minimum technical specifications.</w:t>
      </w:r>
    </w:p>
    <w:p w14:paraId="602EB0F3" w14:textId="6651E608" w:rsidR="00805AE0" w:rsidRPr="00474C26" w:rsidRDefault="00805AE0" w:rsidP="00106F86">
      <w:pPr>
        <w:ind w:firstLine="720"/>
        <w:jc w:val="both"/>
        <w:rPr>
          <w:b/>
          <w:bCs/>
          <w:lang w:val="en-GB"/>
        </w:rPr>
      </w:pPr>
      <w:r w:rsidRPr="00474C26">
        <w:rPr>
          <w:lang w:val="en-GB" w:bidi="en-GB"/>
        </w:rPr>
        <w:t>Accordingly, by offering an extended warranty, the Tenderer also assumes the associated obligations and liability for the entire duration of the proposed warranty period.</w:t>
      </w:r>
    </w:p>
    <w:p w14:paraId="555EB217" w14:textId="77777777" w:rsidR="00ED0BEE" w:rsidRPr="00474C26" w:rsidRDefault="00ED0BEE" w:rsidP="00ED0BEE">
      <w:pPr>
        <w:pStyle w:val="Footer"/>
        <w:rPr>
          <w:lang w:val="en-GB"/>
        </w:rPr>
      </w:pPr>
    </w:p>
    <w:p w14:paraId="2CE30089" w14:textId="77777777" w:rsidR="00ED0BEE" w:rsidRPr="00474C26" w:rsidRDefault="00ED0BEE" w:rsidP="00ED0BEE">
      <w:pPr>
        <w:pStyle w:val="Footer"/>
        <w:rPr>
          <w:lang w:val="en-GB"/>
        </w:rPr>
      </w:pPr>
    </w:p>
    <w:p w14:paraId="1B985BFE" w14:textId="77777777" w:rsidR="00ED0BEE" w:rsidRPr="00474C26" w:rsidRDefault="00ED0BEE" w:rsidP="00ED0BEE">
      <w:pPr>
        <w:pStyle w:val="Footer"/>
        <w:rPr>
          <w:lang w:val="en-GB"/>
        </w:rPr>
      </w:pPr>
    </w:p>
    <w:p w14:paraId="2762AA62" w14:textId="3B649C05" w:rsidR="00ED0BEE" w:rsidRPr="00474C26" w:rsidRDefault="00B0763E" w:rsidP="00ED0BEE">
      <w:pPr>
        <w:jc w:val="both"/>
        <w:rPr>
          <w:b/>
          <w:bCs/>
          <w:lang w:val="en-GB"/>
        </w:rPr>
      </w:pPr>
      <w:r w:rsidRPr="00474C26">
        <w:rPr>
          <w:b/>
          <w:lang w:val="en-GB" w:bidi="en-GB"/>
        </w:rPr>
        <w:t>Question 3:</w:t>
      </w:r>
    </w:p>
    <w:p w14:paraId="1871D08A" w14:textId="77777777" w:rsidR="009F0015" w:rsidRPr="00474C26" w:rsidRDefault="009F0015" w:rsidP="009F0015">
      <w:pPr>
        <w:pStyle w:val="Footer"/>
        <w:jc w:val="both"/>
        <w:rPr>
          <w:lang w:val="en-GB"/>
        </w:rPr>
      </w:pPr>
      <w:r w:rsidRPr="00474C26">
        <w:rPr>
          <w:lang w:val="en-GB" w:bidi="en-GB"/>
        </w:rPr>
        <w:t xml:space="preserve">Clauses 15.2 and 15.3 of the regulations stipulate a minimum annual turnover requirement for the last three completed financial years, i.e., 2023, 2024, and 2025. For the bus manufacturing industry, 2023 was objectively a challenging post-pandemic recovery period and was simultaneously affected by both supply-side and demand-side factors that were external and did not reflect the financial stability of any specific tenderer. </w:t>
      </w:r>
    </w:p>
    <w:p w14:paraId="615A0FF4" w14:textId="77777777" w:rsidR="009F0015" w:rsidRPr="00474C26" w:rsidRDefault="009F0015" w:rsidP="009F0015">
      <w:pPr>
        <w:pStyle w:val="Footer"/>
        <w:jc w:val="both"/>
        <w:rPr>
          <w:lang w:val="en-GB"/>
        </w:rPr>
      </w:pPr>
      <w:r w:rsidRPr="00474C26">
        <w:rPr>
          <w:lang w:val="en-GB" w:bidi="en-GB"/>
        </w:rPr>
        <w:t xml:space="preserve">On the supply side (bus manufacturers), the industry was affected by supply chain disruptions, a shortage of semiconductor chips, and rising raw material prices. On the demand side (passenger carriers), the market was affected by a decline in passenger traffic during the pandemic and post-pandemic periods, a decrease in ticket revenue, carriers’ financial constraints, and caution regarding uncertainty about future demand. For these reasons, many carriers postponed procurement for the renewal and expansion of their bus fleets, which directly reduced bus manufacturers’ order volumes for 2023 and, consequently, their revenue – regardless of each manufacturer’s own business operations and financial capabilities. </w:t>
      </w:r>
    </w:p>
    <w:p w14:paraId="5722EAF7" w14:textId="77777777" w:rsidR="009F0015" w:rsidRPr="00474C26" w:rsidRDefault="009F0015" w:rsidP="009F0015">
      <w:pPr>
        <w:pStyle w:val="Footer"/>
        <w:jc w:val="both"/>
        <w:rPr>
          <w:lang w:val="en-GB"/>
        </w:rPr>
      </w:pPr>
      <w:r w:rsidRPr="00474C26">
        <w:rPr>
          <w:lang w:val="en-GB" w:bidi="en-GB"/>
        </w:rPr>
        <w:t xml:space="preserve">We also note that the regulations themselves already consider a two-year period to be adequate – Clause 18.3 requires tenders to submit financial statements only for the last two completed financial years. </w:t>
      </w:r>
    </w:p>
    <w:p w14:paraId="0F2F4872" w14:textId="719CF213" w:rsidR="00ED0BEE" w:rsidRPr="00474C26" w:rsidRDefault="009F0015" w:rsidP="009F0015">
      <w:pPr>
        <w:pStyle w:val="Footer"/>
        <w:jc w:val="both"/>
        <w:rPr>
          <w:lang w:val="en-GB"/>
        </w:rPr>
      </w:pPr>
      <w:r w:rsidRPr="00474C26">
        <w:rPr>
          <w:lang w:val="en-GB" w:bidi="en-GB"/>
        </w:rPr>
        <w:lastRenderedPageBreak/>
        <w:t>We request that the Contracting Authority reduce the period for demonstrating turnover specified in Clauses 15.2 and 15.3 from 3 years to 2 years (2024 and 2025), aligning it with the period already specified in Clause 18.3 of the regulations and exempting the evaluation from the impact of the atypical industry conditions in 2023, which affected both manufacturers and passenger carriers equally.</w:t>
      </w:r>
    </w:p>
    <w:p w14:paraId="23FB04E6" w14:textId="77777777" w:rsidR="00ED0BEE" w:rsidRPr="00474C26" w:rsidRDefault="00ED0BEE" w:rsidP="00ED0BEE">
      <w:pPr>
        <w:pStyle w:val="Footer"/>
        <w:rPr>
          <w:lang w:val="en-GB"/>
        </w:rPr>
      </w:pPr>
    </w:p>
    <w:p w14:paraId="6FF7A9F8" w14:textId="5DA362CC" w:rsidR="00ED0BEE" w:rsidRPr="00474C26" w:rsidRDefault="00B0763E" w:rsidP="00ED0BEE">
      <w:pPr>
        <w:jc w:val="both"/>
        <w:rPr>
          <w:b/>
          <w:bCs/>
          <w:lang w:val="en-GB"/>
        </w:rPr>
      </w:pPr>
      <w:r w:rsidRPr="00474C26">
        <w:rPr>
          <w:b/>
          <w:lang w:val="en-GB" w:bidi="en-GB"/>
        </w:rPr>
        <w:t>Answer 3:</w:t>
      </w:r>
    </w:p>
    <w:p w14:paraId="0E2EDD8F" w14:textId="6505E3C2" w:rsidR="00CF4B2E" w:rsidRPr="00474C26" w:rsidRDefault="00CF4B2E" w:rsidP="00CF4B2E">
      <w:pPr>
        <w:ind w:right="-8" w:firstLine="720"/>
        <w:jc w:val="both"/>
        <w:rPr>
          <w:lang w:val="en-GB"/>
        </w:rPr>
      </w:pPr>
      <w:r w:rsidRPr="00474C26">
        <w:rPr>
          <w:lang w:val="en-GB" w:bidi="en-GB"/>
        </w:rPr>
        <w:t xml:space="preserve">The requirement regarding turnover over the three most recent financial years is proportionate and appropriate to the subject of the procurement, as it allows for a comprehensive assessment of the Tenderer’s financial stability over a longer period and mitigates the impact of short-term fluctuations. </w:t>
      </w:r>
    </w:p>
    <w:p w14:paraId="606B823B" w14:textId="39ECECFB" w:rsidR="00510FEC" w:rsidRPr="00474C26" w:rsidRDefault="00510FEC" w:rsidP="00510FEC">
      <w:pPr>
        <w:ind w:right="-8" w:firstLine="720"/>
        <w:jc w:val="both"/>
        <w:rPr>
          <w:lang w:val="en-GB"/>
        </w:rPr>
      </w:pPr>
      <w:r w:rsidRPr="00474C26">
        <w:rPr>
          <w:lang w:val="en-GB" w:bidi="en-GB"/>
        </w:rPr>
        <w:t>The Contracting Authority hereby informs that, in accordance with Clause 15.4 of the procurement procedure regulations, a Tenderer may rely on the capabilities of other entities to demonstrate its qualifications, including with respect to financial and economic indicators, thereby ensuring that Tenderers who do not themselves meet all the specified requirements may also participate in the procurement procedure.</w:t>
      </w:r>
    </w:p>
    <w:p w14:paraId="04E4D04F" w14:textId="42371F31" w:rsidR="0046004B" w:rsidRPr="00474C26" w:rsidRDefault="0046004B" w:rsidP="00510FEC">
      <w:pPr>
        <w:ind w:right="-8" w:firstLine="720"/>
        <w:jc w:val="both"/>
        <w:rPr>
          <w:lang w:val="en-GB"/>
        </w:rPr>
      </w:pPr>
      <w:r w:rsidRPr="00474C26">
        <w:rPr>
          <w:lang w:val="en-GB" w:bidi="en-GB"/>
        </w:rPr>
        <w:t>Regarding the requirement in Clause 18.3 of the regulations, we clarify that the condition regarding the submission of financial statements for the last two years is intended to reduce the bureaucratic burden in the offer submission process, as the financial statements also include data for the previous year. Consequently, the Contracting Authority will also be able to verify the turnover for the last three years based on the financial statements for the last two years.</w:t>
      </w:r>
    </w:p>
    <w:p w14:paraId="5457E43E" w14:textId="5F9D0D8D" w:rsidR="00C61C78" w:rsidRPr="00474C26" w:rsidRDefault="00C61C78" w:rsidP="00C61C78">
      <w:pPr>
        <w:ind w:right="-8" w:firstLine="720"/>
        <w:jc w:val="both"/>
        <w:rPr>
          <w:lang w:val="en-GB"/>
        </w:rPr>
      </w:pPr>
      <w:r w:rsidRPr="00474C26">
        <w:rPr>
          <w:lang w:val="en-GB" w:bidi="en-GB"/>
        </w:rPr>
        <w:t>Given the foregoing, the Contracting Authority does not plan to amend the relevant requirements.</w:t>
      </w:r>
    </w:p>
    <w:p w14:paraId="4F5F545C" w14:textId="77777777" w:rsidR="00ED0BEE" w:rsidRPr="00474C26" w:rsidRDefault="00ED0BEE" w:rsidP="00ED0BEE">
      <w:pPr>
        <w:pStyle w:val="Footer"/>
        <w:rPr>
          <w:lang w:val="en-GB"/>
        </w:rPr>
      </w:pPr>
    </w:p>
    <w:p w14:paraId="293E0823" w14:textId="0FF81F0B" w:rsidR="00F77D9C" w:rsidRPr="00474C26" w:rsidRDefault="00F77D9C">
      <w:pPr>
        <w:rPr>
          <w:lang w:val="en-GB"/>
        </w:rPr>
      </w:pPr>
      <w:r w:rsidRPr="00474C26">
        <w:rPr>
          <w:lang w:val="en-GB" w:bidi="en-GB"/>
        </w:rPr>
        <w:br w:type="page"/>
      </w:r>
    </w:p>
    <w:p w14:paraId="4A872E79" w14:textId="6091AEB0" w:rsidR="00822B7D" w:rsidRPr="00474C26" w:rsidRDefault="00E359E7" w:rsidP="00E359E7">
      <w:pPr>
        <w:pBdr>
          <w:bottom w:val="single" w:sz="4" w:space="1" w:color="auto"/>
        </w:pBdr>
        <w:rPr>
          <w:b/>
          <w:bCs/>
          <w:lang w:val="en-GB"/>
        </w:rPr>
      </w:pPr>
      <w:r w:rsidRPr="00474C26">
        <w:rPr>
          <w:b/>
          <w:lang w:val="en-GB" w:bidi="en-GB"/>
        </w:rPr>
        <w:lastRenderedPageBreak/>
        <w:t>To 04.06.2026 No. 2.7.8</w:t>
      </w:r>
    </w:p>
    <w:p w14:paraId="0E9D8B4D" w14:textId="77777777" w:rsidR="002654E2" w:rsidRPr="00474C26" w:rsidRDefault="002654E2" w:rsidP="002F2E35">
      <w:pPr>
        <w:ind w:right="-8" w:firstLine="720"/>
        <w:jc w:val="both"/>
        <w:rPr>
          <w:lang w:val="en-GB"/>
        </w:rPr>
      </w:pPr>
    </w:p>
    <w:p w14:paraId="7CC09693" w14:textId="059DB7B7" w:rsidR="00E359E7" w:rsidRPr="00474C26" w:rsidRDefault="00F77D9C" w:rsidP="002F2E35">
      <w:pPr>
        <w:ind w:right="-8" w:firstLine="720"/>
        <w:jc w:val="both"/>
        <w:rPr>
          <w:lang w:val="en-GB"/>
        </w:rPr>
      </w:pPr>
      <w:r w:rsidRPr="00474C26">
        <w:rPr>
          <w:lang w:val="en-GB" w:bidi="en-GB"/>
        </w:rPr>
        <w:t>We would also like to inform you that the Contracting Authority hereby provides answers to the following questions dated 4 June 2026, for which the term for submitting answers was extended until 19 June 2026:</w:t>
      </w:r>
    </w:p>
    <w:p w14:paraId="1C89C018" w14:textId="77777777" w:rsidR="00B60493" w:rsidRPr="00474C26" w:rsidRDefault="00B60493" w:rsidP="00B60493">
      <w:pPr>
        <w:jc w:val="both"/>
        <w:outlineLvl w:val="0"/>
        <w:rPr>
          <w:lang w:val="en-GB"/>
        </w:rPr>
      </w:pPr>
    </w:p>
    <w:p w14:paraId="05A09D3E" w14:textId="280AC6D7" w:rsidR="003936CD" w:rsidRPr="00474C26" w:rsidRDefault="003936CD" w:rsidP="003936CD">
      <w:pPr>
        <w:jc w:val="both"/>
        <w:rPr>
          <w:b/>
          <w:bCs/>
          <w:lang w:val="en-GB"/>
        </w:rPr>
      </w:pPr>
      <w:r w:rsidRPr="00474C26">
        <w:rPr>
          <w:b/>
          <w:lang w:val="en-GB" w:bidi="en-GB"/>
        </w:rPr>
        <w:t>Question 9/Answer 9:</w:t>
      </w:r>
    </w:p>
    <w:p w14:paraId="09C55A67" w14:textId="217631C0" w:rsidR="003D01A7" w:rsidRPr="00474C26" w:rsidRDefault="003D01A7" w:rsidP="003D01A7">
      <w:pPr>
        <w:ind w:firstLine="720"/>
        <w:jc w:val="both"/>
        <w:rPr>
          <w:lang w:val="en-GB"/>
        </w:rPr>
      </w:pPr>
      <w:r w:rsidRPr="00474C26">
        <w:rPr>
          <w:lang w:val="en-GB" w:bidi="en-GB"/>
        </w:rPr>
        <w:t>1) The specific technical specifications for the information and communications equipment to be supplied by the Contracting Authority have not been fully defined at this stage of the procurement process, as their selection is the subject of a separate procurement process conducted by the Contracting Authority. The precise technical parameters of the equipment and its placement will be agreed upon with the Supplier no later than 6 (six) months after the contract enters into force, taking into account the vehicle’s technical capabilities and design characteristics, as well as solutions accepted in industry practice.</w:t>
      </w:r>
    </w:p>
    <w:p w14:paraId="7329DE2F" w14:textId="77777777" w:rsidR="003D01A7" w:rsidRPr="00474C26" w:rsidRDefault="003D01A7" w:rsidP="003D01A7">
      <w:pPr>
        <w:ind w:firstLine="720"/>
        <w:jc w:val="both"/>
        <w:rPr>
          <w:lang w:val="en-GB"/>
        </w:rPr>
      </w:pPr>
    </w:p>
    <w:p w14:paraId="283D96D4" w14:textId="5BCC4E78" w:rsidR="003D01A7" w:rsidRPr="00474C26" w:rsidRDefault="003D01A7" w:rsidP="003D01A7">
      <w:pPr>
        <w:ind w:firstLine="720"/>
        <w:jc w:val="both"/>
        <w:rPr>
          <w:lang w:val="en-GB"/>
        </w:rPr>
      </w:pPr>
      <w:r w:rsidRPr="00474C26">
        <w:rPr>
          <w:lang w:val="en-GB" w:bidi="en-GB"/>
        </w:rPr>
        <w:t>2) During the coordination process, the Contracting Authority does not intend to request solutions that are technically incompatible with the vehicle to be supplied or that exceed the limits of a reasonable level of integration accepted in industry practice.</w:t>
      </w:r>
    </w:p>
    <w:p w14:paraId="5DD01044" w14:textId="77777777" w:rsidR="003D01A7" w:rsidRPr="00474C26" w:rsidRDefault="003D01A7" w:rsidP="003D01A7">
      <w:pPr>
        <w:ind w:firstLine="720"/>
        <w:jc w:val="both"/>
        <w:rPr>
          <w:lang w:val="en-GB"/>
        </w:rPr>
      </w:pPr>
      <w:r w:rsidRPr="00474C26">
        <w:rPr>
          <w:lang w:val="en-GB" w:bidi="en-GB"/>
        </w:rPr>
        <w:t>Ensuring compatibility is a collaborative process between both parties, and specific technical solutions are coordinated taking into account both the Contracting Authority’s needs and the technical limitations of the vehicle offered by the Supplier.</w:t>
      </w:r>
    </w:p>
    <w:p w14:paraId="120CE4F6" w14:textId="77777777" w:rsidR="003D01A7" w:rsidRPr="00474C26" w:rsidRDefault="003D01A7" w:rsidP="003D01A7">
      <w:pPr>
        <w:ind w:firstLine="720"/>
        <w:jc w:val="both"/>
        <w:rPr>
          <w:lang w:val="en-GB"/>
        </w:rPr>
      </w:pPr>
      <w:r w:rsidRPr="00474C26">
        <w:rPr>
          <w:lang w:val="en-GB" w:bidi="en-GB"/>
        </w:rPr>
        <w:t>In the event that the specifications of the equipment selected by the Contracting Authority significantly exceed the scope of the requirements set forth in Section B.9 of the technical specifications and the anticipated scope of integration based thereon, the related additional solutions and costs will be addressed in accordance with the provisions of the contract, by mutual agreement between the parties.</w:t>
      </w:r>
    </w:p>
    <w:p w14:paraId="349738A9" w14:textId="0536D4EB" w:rsidR="003D01A7" w:rsidRPr="00474C26" w:rsidRDefault="003D01A7" w:rsidP="003D01A7">
      <w:pPr>
        <w:ind w:firstLine="720"/>
        <w:jc w:val="both"/>
        <w:rPr>
          <w:lang w:val="en-GB"/>
        </w:rPr>
      </w:pPr>
      <w:r w:rsidRPr="00474C26">
        <w:rPr>
          <w:lang w:val="en-GB" w:bidi="en-GB"/>
        </w:rPr>
        <w:t>3) The Supplier has the right to object to solutions that are not technically feasible or do not comply with the vehicle’s design, by proposing alternative, technically sound solutions.</w:t>
      </w:r>
    </w:p>
    <w:p w14:paraId="56092AC2" w14:textId="77777777" w:rsidR="003D01A7" w:rsidRPr="00474C26" w:rsidRDefault="003D01A7" w:rsidP="003936CD">
      <w:pPr>
        <w:ind w:firstLine="720"/>
        <w:jc w:val="both"/>
        <w:rPr>
          <w:lang w:val="en-GB"/>
        </w:rPr>
      </w:pPr>
    </w:p>
    <w:p w14:paraId="5248AECD" w14:textId="77777777" w:rsidR="005D1610" w:rsidRPr="00474C26" w:rsidRDefault="005D1610" w:rsidP="00B60493">
      <w:pPr>
        <w:jc w:val="both"/>
        <w:outlineLvl w:val="0"/>
        <w:rPr>
          <w:lang w:val="en-GB"/>
        </w:rPr>
      </w:pPr>
    </w:p>
    <w:p w14:paraId="4F778662" w14:textId="7742E2DD" w:rsidR="00B0763E" w:rsidRPr="00474C26" w:rsidRDefault="00B0763E" w:rsidP="00B0763E">
      <w:pPr>
        <w:jc w:val="both"/>
        <w:rPr>
          <w:b/>
          <w:bCs/>
          <w:lang w:val="en-GB"/>
        </w:rPr>
      </w:pPr>
      <w:r w:rsidRPr="00474C26">
        <w:rPr>
          <w:b/>
          <w:lang w:val="en-GB" w:bidi="en-GB"/>
        </w:rPr>
        <w:t>Question 13/Answer 13:</w:t>
      </w:r>
    </w:p>
    <w:p w14:paraId="702A4C64" w14:textId="77777777" w:rsidR="00705EDE" w:rsidRPr="00474C26" w:rsidRDefault="00705EDE" w:rsidP="00705EDE">
      <w:pPr>
        <w:ind w:firstLine="720"/>
        <w:jc w:val="both"/>
        <w:outlineLvl w:val="0"/>
        <w:rPr>
          <w:lang w:val="en-GB"/>
        </w:rPr>
      </w:pPr>
      <w:r w:rsidRPr="00474C26">
        <w:rPr>
          <w:lang w:val="en-GB" w:bidi="en-GB"/>
        </w:rPr>
        <w:t>The requirement set forth in Section B.9.10 of the technical specifications regarding trial installation and functional testing is intended to ensure that , prior to the commencement of serial supply, to verify the integration of the systems supplied by the Contracting Authority into the vehicle and to ensure their compatibility and full functionality.</w:t>
      </w:r>
    </w:p>
    <w:p w14:paraId="21C18846" w14:textId="77777777" w:rsidR="00705EDE" w:rsidRPr="00474C26" w:rsidRDefault="00705EDE" w:rsidP="00705EDE">
      <w:pPr>
        <w:ind w:firstLine="720"/>
        <w:jc w:val="both"/>
        <w:outlineLvl w:val="0"/>
        <w:rPr>
          <w:lang w:val="en-GB"/>
        </w:rPr>
      </w:pPr>
      <w:r w:rsidRPr="00474C26">
        <w:rPr>
          <w:lang w:val="en-GB" w:bidi="en-GB"/>
        </w:rPr>
        <w:t>In accordance with Clause 3.1 of the draft contract, the Contracting Authority is entitled to inspect the first (pilot) vehicle at the Supplier’s production facility, including organising the test installation, operational verification, and interoperability testing of the Contracting Authority’s information system equipment. At the same time, the specific organisation, scope, and procedure for these testing activities are to be mutually agreed upon by the parties, taking into account technical, organisational, and security aspects. Testing may be conducted not only at the manufacturing facility but also at another location designated by the Supplier.</w:t>
      </w:r>
    </w:p>
    <w:p w14:paraId="68C29F87" w14:textId="1895A74B" w:rsidR="003936CD" w:rsidRPr="00474C26" w:rsidRDefault="00705EDE" w:rsidP="00705EDE">
      <w:pPr>
        <w:jc w:val="both"/>
        <w:outlineLvl w:val="0"/>
        <w:rPr>
          <w:lang w:val="en-GB"/>
        </w:rPr>
      </w:pPr>
      <w:r w:rsidRPr="00474C26">
        <w:rPr>
          <w:lang w:val="en-GB" w:bidi="en-GB"/>
        </w:rPr>
        <w:t>The purpose of this requirement is not to limit possible solutions, but to ensure a comprehensive system integration test prior to the commencement of serial supply.</w:t>
      </w:r>
    </w:p>
    <w:p w14:paraId="09641C9D" w14:textId="77777777" w:rsidR="005D1610" w:rsidRPr="00474C26" w:rsidRDefault="005D1610" w:rsidP="00B60493">
      <w:pPr>
        <w:jc w:val="both"/>
        <w:outlineLvl w:val="0"/>
        <w:rPr>
          <w:lang w:val="en-GB"/>
        </w:rPr>
      </w:pPr>
    </w:p>
    <w:p w14:paraId="05D4EE20" w14:textId="77777777" w:rsidR="005D1610" w:rsidRPr="00474C26" w:rsidRDefault="005D1610" w:rsidP="00B60493">
      <w:pPr>
        <w:jc w:val="both"/>
        <w:outlineLvl w:val="0"/>
        <w:rPr>
          <w:lang w:val="en-GB"/>
        </w:rPr>
      </w:pPr>
    </w:p>
    <w:p w14:paraId="6E9C2335" w14:textId="01A18911" w:rsidR="00B60493" w:rsidRPr="00474C26" w:rsidRDefault="00B60493" w:rsidP="00B60493">
      <w:pPr>
        <w:jc w:val="both"/>
        <w:rPr>
          <w:b/>
          <w:bCs/>
          <w:lang w:val="en-GB"/>
        </w:rPr>
      </w:pPr>
      <w:r w:rsidRPr="00474C26">
        <w:rPr>
          <w:b/>
          <w:lang w:val="en-GB" w:bidi="en-GB"/>
        </w:rPr>
        <w:t>Question 15/Answer 15:</w:t>
      </w:r>
    </w:p>
    <w:p w14:paraId="3E99C17C" w14:textId="77777777" w:rsidR="001712BF" w:rsidRPr="00474C26" w:rsidRDefault="001712BF" w:rsidP="001712BF">
      <w:pPr>
        <w:ind w:firstLine="720"/>
        <w:jc w:val="both"/>
        <w:rPr>
          <w:color w:val="000000" w:themeColor="text1"/>
          <w:lang w:val="en-GB"/>
        </w:rPr>
      </w:pPr>
      <w:r w:rsidRPr="00474C26">
        <w:rPr>
          <w:color w:val="000000" w:themeColor="text1"/>
          <w:lang w:val="en-GB" w:bidi="en-GB"/>
        </w:rPr>
        <w:t>In accordance with the requirements of the financial offer, the set of spare parts and materials is defined per vehicle. The tenderer must specify in the financial offer the price of the set of spare parts and materials required for the periodic maintenance of a single vehicle, as well as the total price for all 60 (sixty) vehicles covered by the contract. The total quantity is calculated by summing the quantities required per vehicle for the entire supply batch.</w:t>
      </w:r>
    </w:p>
    <w:p w14:paraId="45288DB4" w14:textId="2BA0903C" w:rsidR="00B60493" w:rsidRPr="00474C26" w:rsidRDefault="001712BF" w:rsidP="001712BF">
      <w:pPr>
        <w:ind w:firstLine="720"/>
        <w:jc w:val="both"/>
        <w:rPr>
          <w:color w:val="000000" w:themeColor="text1"/>
          <w:lang w:val="en-GB"/>
        </w:rPr>
      </w:pPr>
      <w:r w:rsidRPr="00474C26">
        <w:rPr>
          <w:color w:val="000000" w:themeColor="text1"/>
          <w:lang w:val="en-GB" w:bidi="en-GB"/>
        </w:rPr>
        <w:lastRenderedPageBreak/>
        <w:t>In the context of this requirement, the warranty period refers to the vehicle’s basic warranty period, which must correspond to the warranty period and mileage offered by the tenderer, if these exceed the minimum requirements specified in the technical specifications (3 years or 210 000 km, whichever comes first).</w:t>
      </w:r>
    </w:p>
    <w:p w14:paraId="3FD1166C" w14:textId="77777777" w:rsidR="00B60493" w:rsidRPr="00474C26" w:rsidRDefault="00B60493" w:rsidP="00B60493">
      <w:pPr>
        <w:ind w:firstLine="720"/>
        <w:jc w:val="both"/>
        <w:rPr>
          <w:lang w:val="en-GB"/>
        </w:rPr>
      </w:pPr>
    </w:p>
    <w:p w14:paraId="5355F384" w14:textId="77777777" w:rsidR="00B60493" w:rsidRPr="00474C26" w:rsidRDefault="00B60493" w:rsidP="00B60493">
      <w:pPr>
        <w:jc w:val="both"/>
        <w:outlineLvl w:val="0"/>
        <w:rPr>
          <w:lang w:val="en-GB"/>
        </w:rPr>
      </w:pPr>
    </w:p>
    <w:p w14:paraId="5FA2E496" w14:textId="51F5A49E" w:rsidR="00B60493" w:rsidRPr="00474C26" w:rsidRDefault="00B60493" w:rsidP="00B60493">
      <w:pPr>
        <w:jc w:val="both"/>
        <w:rPr>
          <w:b/>
          <w:bCs/>
          <w:lang w:val="en-GB"/>
        </w:rPr>
      </w:pPr>
      <w:r w:rsidRPr="00474C26">
        <w:rPr>
          <w:b/>
          <w:lang w:val="en-GB" w:bidi="en-GB"/>
        </w:rPr>
        <w:t>Question 16/Answer 16:</w:t>
      </w:r>
    </w:p>
    <w:p w14:paraId="4ED25020" w14:textId="77777777" w:rsidR="004276DF" w:rsidRPr="00474C26" w:rsidRDefault="004276DF" w:rsidP="004276DF">
      <w:pPr>
        <w:ind w:firstLine="720"/>
        <w:jc w:val="both"/>
        <w:rPr>
          <w:color w:val="000000" w:themeColor="text1"/>
          <w:lang w:val="en-GB"/>
        </w:rPr>
      </w:pPr>
      <w:r w:rsidRPr="00474C26">
        <w:rPr>
          <w:color w:val="000000" w:themeColor="text1"/>
          <w:lang w:val="en-GB" w:bidi="en-GB"/>
        </w:rPr>
        <w:t xml:space="preserve">The “price information” referred to in Section C.2.2 of the technical specifications refers to the unit prices of spare parts </w:t>
      </w:r>
      <w:r w:rsidRPr="00474C26">
        <w:rPr>
          <w:b/>
          <w:color w:val="000000" w:themeColor="text1"/>
          <w:lang w:val="en-GB" w:bidi="en-GB"/>
        </w:rPr>
        <w:t>at the time of supply</w:t>
      </w:r>
      <w:r w:rsidRPr="00474C26">
        <w:rPr>
          <w:color w:val="000000" w:themeColor="text1"/>
          <w:lang w:val="en-GB" w:bidi="en-GB"/>
        </w:rPr>
        <w:t xml:space="preserve"> of current assets. The purpose of providing such price information is to enable an assessment of the reasonableness of the offer and to ensure comparability among offers.</w:t>
      </w:r>
    </w:p>
    <w:p w14:paraId="6A0AC74F" w14:textId="77777777" w:rsidR="004276DF" w:rsidRPr="00474C26" w:rsidRDefault="004276DF" w:rsidP="004276DF">
      <w:pPr>
        <w:ind w:firstLine="720"/>
        <w:jc w:val="both"/>
        <w:rPr>
          <w:color w:val="000000" w:themeColor="text1"/>
          <w:lang w:val="en-GB"/>
        </w:rPr>
      </w:pPr>
      <w:r w:rsidRPr="00474C26">
        <w:rPr>
          <w:color w:val="000000" w:themeColor="text1"/>
          <w:lang w:val="en-GB" w:bidi="en-GB"/>
        </w:rPr>
        <w:t>The Contracting Authority does not require the specification of a price indexation mechanism, price dynamics, or long-term price guarantees, nor does it consider the prices submitted to be binding for future orders after the current assets have been used up.</w:t>
      </w:r>
    </w:p>
    <w:p w14:paraId="2C5DA282" w14:textId="52E771C3" w:rsidR="00B60493" w:rsidRPr="00474C26" w:rsidRDefault="004276DF" w:rsidP="004276DF">
      <w:pPr>
        <w:ind w:firstLine="720"/>
        <w:jc w:val="both"/>
        <w:rPr>
          <w:color w:val="000000" w:themeColor="text1"/>
          <w:lang w:val="en-GB"/>
        </w:rPr>
      </w:pPr>
      <w:r w:rsidRPr="00474C26">
        <w:rPr>
          <w:color w:val="000000" w:themeColor="text1"/>
          <w:lang w:val="en-GB" w:bidi="en-GB"/>
        </w:rPr>
        <w:t>At the same time, the Contracting Authority notes that a price indexation mechanism is provided for in the contract provisions regarding the supply of additional options, and it is applied in accordance with the provisions of the contract.</w:t>
      </w:r>
    </w:p>
    <w:p w14:paraId="1F3015AB" w14:textId="77777777" w:rsidR="00B60493" w:rsidRPr="00474C26" w:rsidRDefault="00B60493" w:rsidP="00B60493">
      <w:pPr>
        <w:jc w:val="both"/>
        <w:outlineLvl w:val="0"/>
        <w:rPr>
          <w:lang w:val="en-GB"/>
        </w:rPr>
      </w:pPr>
    </w:p>
    <w:p w14:paraId="1E5E46BB" w14:textId="77777777" w:rsidR="00B60493" w:rsidRPr="00474C26" w:rsidRDefault="00B60493" w:rsidP="00B60493">
      <w:pPr>
        <w:jc w:val="both"/>
        <w:outlineLvl w:val="0"/>
        <w:rPr>
          <w:lang w:val="en-GB"/>
        </w:rPr>
      </w:pPr>
    </w:p>
    <w:p w14:paraId="106E78E5" w14:textId="77777777" w:rsidR="00F77D9C" w:rsidRPr="00474C26" w:rsidRDefault="00F77D9C" w:rsidP="00F77D9C">
      <w:pPr>
        <w:rPr>
          <w:lang w:val="en-GB"/>
        </w:rPr>
      </w:pPr>
    </w:p>
    <w:p w14:paraId="73FEB417" w14:textId="77777777" w:rsidR="00F77D9C" w:rsidRPr="00474C26" w:rsidRDefault="00F77D9C" w:rsidP="00F77D9C">
      <w:pPr>
        <w:rPr>
          <w:lang w:val="en-GB"/>
        </w:rPr>
      </w:pPr>
    </w:p>
    <w:p w14:paraId="5DEB518E" w14:textId="7920A249" w:rsidR="007F3584" w:rsidRPr="00474C26" w:rsidRDefault="007F3584" w:rsidP="00F77D9C">
      <w:pPr>
        <w:rPr>
          <w:lang w:val="en-GB"/>
        </w:rPr>
      </w:pPr>
      <w:r w:rsidRPr="00474C26">
        <w:rPr>
          <w:lang w:val="en-GB" w:bidi="en-GB"/>
        </w:rPr>
        <w:t>Chairperson of the Procurement Commission</w:t>
      </w:r>
    </w:p>
    <w:p w14:paraId="58E487E5" w14:textId="7F62BCEB" w:rsidR="00E17D97" w:rsidRDefault="007F3584" w:rsidP="00474C26">
      <w:pPr>
        <w:widowControl w:val="0"/>
        <w:tabs>
          <w:tab w:val="left" w:pos="764"/>
        </w:tabs>
        <w:spacing w:line="274" w:lineRule="exact"/>
        <w:rPr>
          <w:color w:val="000000"/>
          <w:lang w:val="en-GB" w:bidi="en-GB"/>
        </w:rPr>
      </w:pP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r>
      <w:r w:rsidRPr="00474C26">
        <w:rPr>
          <w:color w:val="000000"/>
          <w:lang w:val="en-GB" w:bidi="en-GB"/>
        </w:rPr>
        <w:tab/>
        <w:t>Karīna Meiberga*</w:t>
      </w:r>
      <w:r w:rsidRPr="00474C26">
        <w:rPr>
          <w:color w:val="000000"/>
          <w:lang w:val="en-GB" w:bidi="en-GB"/>
        </w:rPr>
        <w:tab/>
      </w:r>
    </w:p>
    <w:p w14:paraId="506A786D" w14:textId="77777777" w:rsidR="00474C26" w:rsidRDefault="00474C26" w:rsidP="00474C26">
      <w:pPr>
        <w:widowControl w:val="0"/>
        <w:tabs>
          <w:tab w:val="left" w:pos="764"/>
        </w:tabs>
        <w:spacing w:line="274" w:lineRule="exact"/>
        <w:rPr>
          <w:color w:val="000000"/>
          <w:lang w:val="en-GB" w:bidi="en-GB"/>
        </w:rPr>
      </w:pPr>
    </w:p>
    <w:p w14:paraId="10240263" w14:textId="77777777" w:rsidR="00474C26" w:rsidRDefault="00474C26" w:rsidP="00474C26">
      <w:pPr>
        <w:widowControl w:val="0"/>
        <w:tabs>
          <w:tab w:val="left" w:pos="764"/>
        </w:tabs>
        <w:spacing w:line="274" w:lineRule="exact"/>
        <w:rPr>
          <w:color w:val="000000"/>
          <w:lang w:val="en-GB" w:bidi="en-GB"/>
        </w:rPr>
      </w:pPr>
    </w:p>
    <w:p w14:paraId="496CDA8A" w14:textId="77777777" w:rsidR="00474C26" w:rsidRPr="00474C26" w:rsidRDefault="00474C26" w:rsidP="00474C26">
      <w:pPr>
        <w:widowControl w:val="0"/>
        <w:tabs>
          <w:tab w:val="left" w:pos="764"/>
        </w:tabs>
        <w:spacing w:line="274" w:lineRule="exact"/>
        <w:rPr>
          <w:color w:val="000000"/>
          <w:lang w:val="en-GB" w:eastAsia="en-GB"/>
        </w:rPr>
      </w:pPr>
    </w:p>
    <w:p w14:paraId="5AECFE75" w14:textId="77777777" w:rsidR="007F3584" w:rsidRPr="00474C26" w:rsidRDefault="007F3584" w:rsidP="00610471">
      <w:pPr>
        <w:suppressAutoHyphens/>
        <w:jc w:val="center"/>
        <w:rPr>
          <w:lang w:val="en-GB" w:eastAsia="ar-SA"/>
        </w:rPr>
      </w:pPr>
      <w:r w:rsidRPr="00474C26">
        <w:rPr>
          <w:lang w:val="en-GB" w:bidi="en-GB"/>
        </w:rPr>
        <w:t>*THE DOCUMENT IS SIGNED WITH A SECURE ELECTRONIC SIGNATURE AND CONTAINS A TIMESTAMP</w:t>
      </w:r>
    </w:p>
    <w:p w14:paraId="301C6BDC" w14:textId="4D62A73F" w:rsidR="001C1098" w:rsidRPr="00474C26" w:rsidRDefault="001C1098" w:rsidP="00610471">
      <w:pPr>
        <w:rPr>
          <w:lang w:val="en-GB"/>
        </w:rPr>
      </w:pPr>
    </w:p>
    <w:p w14:paraId="29C643DE" w14:textId="6A3C6AB5" w:rsidR="00AD6E80" w:rsidRPr="00474C26" w:rsidRDefault="00AD6E80" w:rsidP="004850DA">
      <w:pPr>
        <w:rPr>
          <w:sz w:val="16"/>
          <w:szCs w:val="16"/>
          <w:lang w:val="en-GB"/>
        </w:rPr>
      </w:pPr>
    </w:p>
    <w:sectPr w:rsidR="00AD6E80" w:rsidRPr="00474C26" w:rsidSect="00610471">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C3FD" w14:textId="77777777" w:rsidR="00163DB0" w:rsidRPr="008365EC" w:rsidRDefault="00163DB0">
      <w:r w:rsidRPr="008365EC">
        <w:separator/>
      </w:r>
    </w:p>
  </w:endnote>
  <w:endnote w:type="continuationSeparator" w:id="0">
    <w:p w14:paraId="04F24E49" w14:textId="77777777" w:rsidR="00163DB0" w:rsidRPr="008365EC" w:rsidRDefault="00163DB0">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rPr>
            <w:lang w:val="en-GB" w:bidi="en-GB"/>
          </w:rPr>
          <w:fldChar w:fldCharType="begin"/>
        </w:r>
        <w:r w:rsidRPr="008365EC">
          <w:rPr>
            <w:lang w:val="en-GB" w:bidi="en-GB"/>
          </w:rPr>
          <w:instrText>PAGE   \* MERGEFORMAT</w:instrText>
        </w:r>
        <w:r w:rsidRPr="008365EC">
          <w:rPr>
            <w:lang w:val="en-GB" w:bidi="en-GB"/>
          </w:rPr>
          <w:fldChar w:fldCharType="separate"/>
        </w:r>
        <w:r w:rsidRPr="008365EC">
          <w:rPr>
            <w:lang w:val="en-GB" w:bidi="en-GB"/>
          </w:rPr>
          <w:t>2</w:t>
        </w:r>
        <w:r w:rsidRPr="008365EC">
          <w:rPr>
            <w:lang w:val="en-GB" w:bidi="en-GB"/>
          </w:rPr>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val="en-GB" w:bidi="en-GB"/>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374E" w14:textId="77777777" w:rsidR="00163DB0" w:rsidRPr="008365EC" w:rsidRDefault="00163DB0">
      <w:r w:rsidRPr="008365EC">
        <w:separator/>
      </w:r>
    </w:p>
  </w:footnote>
  <w:footnote w:type="continuationSeparator" w:id="0">
    <w:p w14:paraId="32D1F2AA" w14:textId="77777777" w:rsidR="00163DB0" w:rsidRPr="008365EC" w:rsidRDefault="00163DB0">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bidi="en-GB"/>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D944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lang w:val="en-GB" w:bidi="en-GB"/>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rPr>
        <w:lang w:val="en-GB" w:bidi="en-GB"/>
      </w:rPr>
      <w:t>Riga</w:t>
    </w:r>
  </w:p>
  <w:p w14:paraId="4992808E" w14:textId="145AB150" w:rsidR="00BA1D4B" w:rsidRPr="008365EC" w:rsidRDefault="00BA1D4B" w:rsidP="00BA1D4B">
    <w:pPr>
      <w:pStyle w:val="Header"/>
      <w:tabs>
        <w:tab w:val="left" w:pos="426"/>
        <w:tab w:val="left" w:pos="1418"/>
      </w:tabs>
      <w:jc w:val="center"/>
    </w:pPr>
  </w:p>
  <w:p w14:paraId="765108D9" w14:textId="19144079" w:rsidR="00BA1D4B" w:rsidRPr="008365EC" w:rsidRDefault="00BA1D4B" w:rsidP="00BA1D4B">
    <w:pPr>
      <w:pStyle w:val="Header"/>
      <w:tabs>
        <w:tab w:val="left" w:pos="426"/>
        <w:tab w:val="left" w:pos="1418"/>
      </w:tabs>
      <w:jc w:val="both"/>
    </w:pPr>
    <w:bookmarkStart w:id="0" w:name="docDate"/>
    <w:bookmarkEnd w:id="0"/>
    <w:r w:rsidRPr="008365EC">
      <w:rPr>
        <w:lang w:val="en-GB" w:bidi="en-GB"/>
      </w:rPr>
      <w:t xml:space="preserve"> </w:t>
    </w:r>
    <w:bookmarkStart w:id="1" w:name="docNr"/>
    <w:bookmarkEnd w:id="1"/>
    <w:r w:rsidR="001F54EF">
      <w:rPr>
        <w:lang w:val="en-GB" w:bidi="en-GB"/>
      </w:rPr>
      <w:t>17.06.2026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C57E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6483408">
    <w:abstractNumId w:val="1"/>
  </w:num>
  <w:num w:numId="2" w16cid:durableId="1870488046">
    <w:abstractNumId w:val="12"/>
  </w:num>
  <w:num w:numId="3" w16cid:durableId="2033219571">
    <w:abstractNumId w:val="14"/>
  </w:num>
  <w:num w:numId="4" w16cid:durableId="1779565406">
    <w:abstractNumId w:val="15"/>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571620969">
    <w:abstractNumId w:val="6"/>
  </w:num>
  <w:num w:numId="10" w16cid:durableId="843129181">
    <w:abstractNumId w:val="11"/>
  </w:num>
  <w:num w:numId="11" w16cid:durableId="276179321">
    <w:abstractNumId w:val="10"/>
  </w:num>
  <w:num w:numId="12" w16cid:durableId="615449933">
    <w:abstractNumId w:val="8"/>
  </w:num>
  <w:num w:numId="13" w16cid:durableId="1863089765">
    <w:abstractNumId w:val="3"/>
  </w:num>
  <w:num w:numId="14" w16cid:durableId="583606041">
    <w:abstractNumId w:val="5"/>
  </w:num>
  <w:num w:numId="15" w16cid:durableId="516894443">
    <w:abstractNumId w:val="0"/>
  </w:num>
  <w:num w:numId="16" w16cid:durableId="402483682">
    <w:abstractNumId w:val="4"/>
  </w:num>
  <w:num w:numId="17" w16cid:durableId="37443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24FC"/>
    <w:rsid w:val="00015AED"/>
    <w:rsid w:val="000169EC"/>
    <w:rsid w:val="00023CF9"/>
    <w:rsid w:val="00026D94"/>
    <w:rsid w:val="000316A6"/>
    <w:rsid w:val="00037BB3"/>
    <w:rsid w:val="00040F9A"/>
    <w:rsid w:val="0004246F"/>
    <w:rsid w:val="00042776"/>
    <w:rsid w:val="0004286D"/>
    <w:rsid w:val="000476FA"/>
    <w:rsid w:val="00047F47"/>
    <w:rsid w:val="00051CF1"/>
    <w:rsid w:val="000525F0"/>
    <w:rsid w:val="00053F59"/>
    <w:rsid w:val="00055B82"/>
    <w:rsid w:val="00056137"/>
    <w:rsid w:val="00060FFC"/>
    <w:rsid w:val="00061010"/>
    <w:rsid w:val="00065140"/>
    <w:rsid w:val="00065ADF"/>
    <w:rsid w:val="00071007"/>
    <w:rsid w:val="00071403"/>
    <w:rsid w:val="00074DF7"/>
    <w:rsid w:val="0007645F"/>
    <w:rsid w:val="000823F7"/>
    <w:rsid w:val="00083E27"/>
    <w:rsid w:val="00083EF9"/>
    <w:rsid w:val="00092F1A"/>
    <w:rsid w:val="00094E02"/>
    <w:rsid w:val="000A0105"/>
    <w:rsid w:val="000A1247"/>
    <w:rsid w:val="000A47E6"/>
    <w:rsid w:val="000A4CE4"/>
    <w:rsid w:val="000A7891"/>
    <w:rsid w:val="000B4C19"/>
    <w:rsid w:val="000B56F3"/>
    <w:rsid w:val="000B5A63"/>
    <w:rsid w:val="000E259F"/>
    <w:rsid w:val="000E674C"/>
    <w:rsid w:val="000F04EB"/>
    <w:rsid w:val="000F2A31"/>
    <w:rsid w:val="000F35C1"/>
    <w:rsid w:val="000F3B09"/>
    <w:rsid w:val="000F4D78"/>
    <w:rsid w:val="000F6B23"/>
    <w:rsid w:val="00100167"/>
    <w:rsid w:val="00103D92"/>
    <w:rsid w:val="00105F3D"/>
    <w:rsid w:val="00106F86"/>
    <w:rsid w:val="00110BA5"/>
    <w:rsid w:val="00123BAD"/>
    <w:rsid w:val="0013079F"/>
    <w:rsid w:val="001323AA"/>
    <w:rsid w:val="0014150E"/>
    <w:rsid w:val="00142A15"/>
    <w:rsid w:val="00144660"/>
    <w:rsid w:val="00160BEF"/>
    <w:rsid w:val="0016355B"/>
    <w:rsid w:val="00163DB0"/>
    <w:rsid w:val="00163F7B"/>
    <w:rsid w:val="001712BF"/>
    <w:rsid w:val="00172778"/>
    <w:rsid w:val="00175B46"/>
    <w:rsid w:val="00176AEB"/>
    <w:rsid w:val="0018082C"/>
    <w:rsid w:val="001817E8"/>
    <w:rsid w:val="00193BC9"/>
    <w:rsid w:val="001949B9"/>
    <w:rsid w:val="00197CAA"/>
    <w:rsid w:val="001A19C0"/>
    <w:rsid w:val="001A4A96"/>
    <w:rsid w:val="001A6CCB"/>
    <w:rsid w:val="001B000D"/>
    <w:rsid w:val="001B0DFB"/>
    <w:rsid w:val="001C1098"/>
    <w:rsid w:val="001C37D7"/>
    <w:rsid w:val="001C6F5A"/>
    <w:rsid w:val="001D43D0"/>
    <w:rsid w:val="001E3CBE"/>
    <w:rsid w:val="001E6965"/>
    <w:rsid w:val="001F0221"/>
    <w:rsid w:val="001F54EF"/>
    <w:rsid w:val="001F568F"/>
    <w:rsid w:val="001F5D53"/>
    <w:rsid w:val="001F730D"/>
    <w:rsid w:val="00201545"/>
    <w:rsid w:val="0020229E"/>
    <w:rsid w:val="00204643"/>
    <w:rsid w:val="00204A09"/>
    <w:rsid w:val="00220D37"/>
    <w:rsid w:val="00222574"/>
    <w:rsid w:val="00231433"/>
    <w:rsid w:val="00231F6F"/>
    <w:rsid w:val="00232B95"/>
    <w:rsid w:val="00233FCE"/>
    <w:rsid w:val="002355E8"/>
    <w:rsid w:val="0023780C"/>
    <w:rsid w:val="00240540"/>
    <w:rsid w:val="00240890"/>
    <w:rsid w:val="002425E4"/>
    <w:rsid w:val="00246477"/>
    <w:rsid w:val="00246DE4"/>
    <w:rsid w:val="002529C8"/>
    <w:rsid w:val="00257800"/>
    <w:rsid w:val="00261C96"/>
    <w:rsid w:val="002654E2"/>
    <w:rsid w:val="00271A65"/>
    <w:rsid w:val="00282249"/>
    <w:rsid w:val="00284596"/>
    <w:rsid w:val="002858CD"/>
    <w:rsid w:val="00290E8D"/>
    <w:rsid w:val="00291CB1"/>
    <w:rsid w:val="00292289"/>
    <w:rsid w:val="00295220"/>
    <w:rsid w:val="002A7D36"/>
    <w:rsid w:val="002B3AEB"/>
    <w:rsid w:val="002C0008"/>
    <w:rsid w:val="002C747A"/>
    <w:rsid w:val="002D2B27"/>
    <w:rsid w:val="002E0214"/>
    <w:rsid w:val="002E4835"/>
    <w:rsid w:val="002E5D03"/>
    <w:rsid w:val="002E786C"/>
    <w:rsid w:val="002F2E35"/>
    <w:rsid w:val="003029BF"/>
    <w:rsid w:val="00304338"/>
    <w:rsid w:val="00306DBE"/>
    <w:rsid w:val="003076C7"/>
    <w:rsid w:val="0031257F"/>
    <w:rsid w:val="0032335F"/>
    <w:rsid w:val="003258C5"/>
    <w:rsid w:val="00325A6F"/>
    <w:rsid w:val="00332B4F"/>
    <w:rsid w:val="00341261"/>
    <w:rsid w:val="003414AF"/>
    <w:rsid w:val="003431DB"/>
    <w:rsid w:val="00344BFB"/>
    <w:rsid w:val="00346998"/>
    <w:rsid w:val="003645FD"/>
    <w:rsid w:val="0036505C"/>
    <w:rsid w:val="00372B0A"/>
    <w:rsid w:val="003734D3"/>
    <w:rsid w:val="00375F69"/>
    <w:rsid w:val="003817D3"/>
    <w:rsid w:val="0038268E"/>
    <w:rsid w:val="003831A2"/>
    <w:rsid w:val="00384C24"/>
    <w:rsid w:val="003852E2"/>
    <w:rsid w:val="003865B2"/>
    <w:rsid w:val="003865D9"/>
    <w:rsid w:val="00386982"/>
    <w:rsid w:val="003877B2"/>
    <w:rsid w:val="003936CD"/>
    <w:rsid w:val="003970CF"/>
    <w:rsid w:val="003A01A5"/>
    <w:rsid w:val="003A76FA"/>
    <w:rsid w:val="003B073D"/>
    <w:rsid w:val="003B14D8"/>
    <w:rsid w:val="003B486A"/>
    <w:rsid w:val="003C0CA0"/>
    <w:rsid w:val="003C2FBA"/>
    <w:rsid w:val="003C3AF3"/>
    <w:rsid w:val="003C6218"/>
    <w:rsid w:val="003C665B"/>
    <w:rsid w:val="003D01A7"/>
    <w:rsid w:val="003D5198"/>
    <w:rsid w:val="003E205B"/>
    <w:rsid w:val="003E4612"/>
    <w:rsid w:val="003E5070"/>
    <w:rsid w:val="003F4543"/>
    <w:rsid w:val="003F6BC3"/>
    <w:rsid w:val="004008C2"/>
    <w:rsid w:val="00403F3D"/>
    <w:rsid w:val="00404C6B"/>
    <w:rsid w:val="00410642"/>
    <w:rsid w:val="00410DA6"/>
    <w:rsid w:val="004124BC"/>
    <w:rsid w:val="004153BF"/>
    <w:rsid w:val="0042175E"/>
    <w:rsid w:val="004226C7"/>
    <w:rsid w:val="00423666"/>
    <w:rsid w:val="004276DF"/>
    <w:rsid w:val="00427DCC"/>
    <w:rsid w:val="00434A29"/>
    <w:rsid w:val="004428E5"/>
    <w:rsid w:val="00444A0A"/>
    <w:rsid w:val="00444D23"/>
    <w:rsid w:val="00445394"/>
    <w:rsid w:val="00445A97"/>
    <w:rsid w:val="00446136"/>
    <w:rsid w:val="00446224"/>
    <w:rsid w:val="004479F1"/>
    <w:rsid w:val="004518EC"/>
    <w:rsid w:val="004542C7"/>
    <w:rsid w:val="00454D63"/>
    <w:rsid w:val="0046004B"/>
    <w:rsid w:val="0047104A"/>
    <w:rsid w:val="004724EF"/>
    <w:rsid w:val="00472769"/>
    <w:rsid w:val="00472EEB"/>
    <w:rsid w:val="00474C26"/>
    <w:rsid w:val="00484644"/>
    <w:rsid w:val="004850DA"/>
    <w:rsid w:val="00486082"/>
    <w:rsid w:val="00490270"/>
    <w:rsid w:val="00492673"/>
    <w:rsid w:val="00495061"/>
    <w:rsid w:val="004A0D6C"/>
    <w:rsid w:val="004A46F2"/>
    <w:rsid w:val="004A4AAF"/>
    <w:rsid w:val="004A66C9"/>
    <w:rsid w:val="004B46CC"/>
    <w:rsid w:val="004B4EBF"/>
    <w:rsid w:val="004B7DA8"/>
    <w:rsid w:val="004C0EC3"/>
    <w:rsid w:val="004C2F01"/>
    <w:rsid w:val="004C4326"/>
    <w:rsid w:val="004C4EA1"/>
    <w:rsid w:val="004C7363"/>
    <w:rsid w:val="004D238D"/>
    <w:rsid w:val="004D362E"/>
    <w:rsid w:val="004D3EB2"/>
    <w:rsid w:val="004D4267"/>
    <w:rsid w:val="004D7723"/>
    <w:rsid w:val="004E0EFE"/>
    <w:rsid w:val="004E14A2"/>
    <w:rsid w:val="004E18AE"/>
    <w:rsid w:val="004E2CA9"/>
    <w:rsid w:val="004E5C8A"/>
    <w:rsid w:val="004F05F8"/>
    <w:rsid w:val="004F581B"/>
    <w:rsid w:val="004F7382"/>
    <w:rsid w:val="00500C93"/>
    <w:rsid w:val="005049FC"/>
    <w:rsid w:val="005064CE"/>
    <w:rsid w:val="00507FCF"/>
    <w:rsid w:val="00510FEC"/>
    <w:rsid w:val="005127FC"/>
    <w:rsid w:val="005154AF"/>
    <w:rsid w:val="005155A1"/>
    <w:rsid w:val="00525EB5"/>
    <w:rsid w:val="00526683"/>
    <w:rsid w:val="00535FCB"/>
    <w:rsid w:val="00542D58"/>
    <w:rsid w:val="0054525F"/>
    <w:rsid w:val="0054630E"/>
    <w:rsid w:val="00551D0D"/>
    <w:rsid w:val="005530B6"/>
    <w:rsid w:val="005543B8"/>
    <w:rsid w:val="00556BCC"/>
    <w:rsid w:val="005607C7"/>
    <w:rsid w:val="00564212"/>
    <w:rsid w:val="00565D3A"/>
    <w:rsid w:val="00566466"/>
    <w:rsid w:val="00567414"/>
    <w:rsid w:val="005720ED"/>
    <w:rsid w:val="00576BE8"/>
    <w:rsid w:val="00585947"/>
    <w:rsid w:val="0058788E"/>
    <w:rsid w:val="00593771"/>
    <w:rsid w:val="00594C45"/>
    <w:rsid w:val="00595C63"/>
    <w:rsid w:val="005A3D7A"/>
    <w:rsid w:val="005A47C7"/>
    <w:rsid w:val="005A5F9B"/>
    <w:rsid w:val="005A7629"/>
    <w:rsid w:val="005B07D3"/>
    <w:rsid w:val="005B7FA3"/>
    <w:rsid w:val="005C450D"/>
    <w:rsid w:val="005C4D26"/>
    <w:rsid w:val="005D1610"/>
    <w:rsid w:val="005D1A35"/>
    <w:rsid w:val="005D3325"/>
    <w:rsid w:val="005D3F37"/>
    <w:rsid w:val="005D7F6E"/>
    <w:rsid w:val="005E3DA9"/>
    <w:rsid w:val="005E42C6"/>
    <w:rsid w:val="005E46C2"/>
    <w:rsid w:val="005E47B7"/>
    <w:rsid w:val="005E591F"/>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30A2D"/>
    <w:rsid w:val="006339F1"/>
    <w:rsid w:val="00643F18"/>
    <w:rsid w:val="00646467"/>
    <w:rsid w:val="00653088"/>
    <w:rsid w:val="00657BEF"/>
    <w:rsid w:val="00661D3D"/>
    <w:rsid w:val="006647B2"/>
    <w:rsid w:val="006664C1"/>
    <w:rsid w:val="00667302"/>
    <w:rsid w:val="00667536"/>
    <w:rsid w:val="00672811"/>
    <w:rsid w:val="00681D93"/>
    <w:rsid w:val="006843FA"/>
    <w:rsid w:val="00687345"/>
    <w:rsid w:val="006874A7"/>
    <w:rsid w:val="0068764F"/>
    <w:rsid w:val="006934FC"/>
    <w:rsid w:val="00696238"/>
    <w:rsid w:val="00697281"/>
    <w:rsid w:val="00697421"/>
    <w:rsid w:val="006A0886"/>
    <w:rsid w:val="006A45CD"/>
    <w:rsid w:val="006A672C"/>
    <w:rsid w:val="006B7E8D"/>
    <w:rsid w:val="006C2508"/>
    <w:rsid w:val="006C3F48"/>
    <w:rsid w:val="006C5455"/>
    <w:rsid w:val="006D0FC9"/>
    <w:rsid w:val="006D1C11"/>
    <w:rsid w:val="006D5B59"/>
    <w:rsid w:val="006E03DD"/>
    <w:rsid w:val="006F1FEA"/>
    <w:rsid w:val="006F381C"/>
    <w:rsid w:val="006F4AF6"/>
    <w:rsid w:val="00704AF4"/>
    <w:rsid w:val="00705EDE"/>
    <w:rsid w:val="00712459"/>
    <w:rsid w:val="00712803"/>
    <w:rsid w:val="007152FC"/>
    <w:rsid w:val="00717601"/>
    <w:rsid w:val="00717FEF"/>
    <w:rsid w:val="00730621"/>
    <w:rsid w:val="007310C6"/>
    <w:rsid w:val="00741FB1"/>
    <w:rsid w:val="0075005B"/>
    <w:rsid w:val="007532F0"/>
    <w:rsid w:val="00753E40"/>
    <w:rsid w:val="00756CAE"/>
    <w:rsid w:val="0076528F"/>
    <w:rsid w:val="0077790B"/>
    <w:rsid w:val="0078047A"/>
    <w:rsid w:val="00782B9D"/>
    <w:rsid w:val="00783CC9"/>
    <w:rsid w:val="007857EA"/>
    <w:rsid w:val="00785DBF"/>
    <w:rsid w:val="00786C3E"/>
    <w:rsid w:val="007875D1"/>
    <w:rsid w:val="007A2E0F"/>
    <w:rsid w:val="007A34BE"/>
    <w:rsid w:val="007A74BA"/>
    <w:rsid w:val="007A7C32"/>
    <w:rsid w:val="007B2EEF"/>
    <w:rsid w:val="007B71DF"/>
    <w:rsid w:val="007C306E"/>
    <w:rsid w:val="007C6455"/>
    <w:rsid w:val="007D4235"/>
    <w:rsid w:val="007D62F7"/>
    <w:rsid w:val="007E5F87"/>
    <w:rsid w:val="007F14FC"/>
    <w:rsid w:val="007F3584"/>
    <w:rsid w:val="008010C3"/>
    <w:rsid w:val="008034ED"/>
    <w:rsid w:val="00803AE0"/>
    <w:rsid w:val="00805AE0"/>
    <w:rsid w:val="008112DB"/>
    <w:rsid w:val="00813FFC"/>
    <w:rsid w:val="00814DED"/>
    <w:rsid w:val="0081519B"/>
    <w:rsid w:val="00815ABD"/>
    <w:rsid w:val="00821A17"/>
    <w:rsid w:val="00822B7D"/>
    <w:rsid w:val="008248B8"/>
    <w:rsid w:val="00825028"/>
    <w:rsid w:val="008252B6"/>
    <w:rsid w:val="00832355"/>
    <w:rsid w:val="008365EC"/>
    <w:rsid w:val="00846A38"/>
    <w:rsid w:val="00846AD9"/>
    <w:rsid w:val="00847840"/>
    <w:rsid w:val="00847FAC"/>
    <w:rsid w:val="0085094A"/>
    <w:rsid w:val="008533C8"/>
    <w:rsid w:val="00854A57"/>
    <w:rsid w:val="00857E71"/>
    <w:rsid w:val="0086774D"/>
    <w:rsid w:val="0087576D"/>
    <w:rsid w:val="0087586F"/>
    <w:rsid w:val="008940B5"/>
    <w:rsid w:val="00894A67"/>
    <w:rsid w:val="0089670C"/>
    <w:rsid w:val="008A2CD8"/>
    <w:rsid w:val="008B37D6"/>
    <w:rsid w:val="008B5680"/>
    <w:rsid w:val="008B574D"/>
    <w:rsid w:val="008B7520"/>
    <w:rsid w:val="008C2228"/>
    <w:rsid w:val="008C7639"/>
    <w:rsid w:val="008C7DD9"/>
    <w:rsid w:val="008D0382"/>
    <w:rsid w:val="008E2054"/>
    <w:rsid w:val="008E3092"/>
    <w:rsid w:val="008E4C93"/>
    <w:rsid w:val="008F5D73"/>
    <w:rsid w:val="008F76D6"/>
    <w:rsid w:val="00901C98"/>
    <w:rsid w:val="00902434"/>
    <w:rsid w:val="00904B48"/>
    <w:rsid w:val="009134FF"/>
    <w:rsid w:val="009136B5"/>
    <w:rsid w:val="0091454E"/>
    <w:rsid w:val="00922997"/>
    <w:rsid w:val="00923D91"/>
    <w:rsid w:val="009258BC"/>
    <w:rsid w:val="0092736A"/>
    <w:rsid w:val="0092743D"/>
    <w:rsid w:val="00931737"/>
    <w:rsid w:val="00931A18"/>
    <w:rsid w:val="00934651"/>
    <w:rsid w:val="00934E5B"/>
    <w:rsid w:val="0094302F"/>
    <w:rsid w:val="00950905"/>
    <w:rsid w:val="00952521"/>
    <w:rsid w:val="00952FD4"/>
    <w:rsid w:val="0095575C"/>
    <w:rsid w:val="00960D16"/>
    <w:rsid w:val="00972B4B"/>
    <w:rsid w:val="009753E9"/>
    <w:rsid w:val="00984EA1"/>
    <w:rsid w:val="00990F49"/>
    <w:rsid w:val="00994B21"/>
    <w:rsid w:val="009974F3"/>
    <w:rsid w:val="009978AA"/>
    <w:rsid w:val="009A1AA7"/>
    <w:rsid w:val="009B2578"/>
    <w:rsid w:val="009B3ACA"/>
    <w:rsid w:val="009B50C5"/>
    <w:rsid w:val="009B590F"/>
    <w:rsid w:val="009E3710"/>
    <w:rsid w:val="009E5DF7"/>
    <w:rsid w:val="009E5F7A"/>
    <w:rsid w:val="009E647D"/>
    <w:rsid w:val="009F0015"/>
    <w:rsid w:val="009F0750"/>
    <w:rsid w:val="009F3391"/>
    <w:rsid w:val="00A022BD"/>
    <w:rsid w:val="00A0310B"/>
    <w:rsid w:val="00A075D3"/>
    <w:rsid w:val="00A23870"/>
    <w:rsid w:val="00A240BC"/>
    <w:rsid w:val="00A264CA"/>
    <w:rsid w:val="00A26D83"/>
    <w:rsid w:val="00A31C57"/>
    <w:rsid w:val="00A3285A"/>
    <w:rsid w:val="00A3481F"/>
    <w:rsid w:val="00A35BA3"/>
    <w:rsid w:val="00A36920"/>
    <w:rsid w:val="00A42EF6"/>
    <w:rsid w:val="00A433BB"/>
    <w:rsid w:val="00A45251"/>
    <w:rsid w:val="00A466A6"/>
    <w:rsid w:val="00A46CB4"/>
    <w:rsid w:val="00A47A54"/>
    <w:rsid w:val="00A52673"/>
    <w:rsid w:val="00A55640"/>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C1F3C"/>
    <w:rsid w:val="00AC5BB7"/>
    <w:rsid w:val="00AC6E12"/>
    <w:rsid w:val="00AC6EBE"/>
    <w:rsid w:val="00AC7F8B"/>
    <w:rsid w:val="00AD6E80"/>
    <w:rsid w:val="00AE08D0"/>
    <w:rsid w:val="00AE4880"/>
    <w:rsid w:val="00AE5BED"/>
    <w:rsid w:val="00AE66B7"/>
    <w:rsid w:val="00AF1038"/>
    <w:rsid w:val="00AF16F7"/>
    <w:rsid w:val="00AF3CC9"/>
    <w:rsid w:val="00B00A0B"/>
    <w:rsid w:val="00B0124A"/>
    <w:rsid w:val="00B03DC1"/>
    <w:rsid w:val="00B03F61"/>
    <w:rsid w:val="00B04BF7"/>
    <w:rsid w:val="00B04FCA"/>
    <w:rsid w:val="00B0763E"/>
    <w:rsid w:val="00B07D67"/>
    <w:rsid w:val="00B11F02"/>
    <w:rsid w:val="00B134A3"/>
    <w:rsid w:val="00B13A2E"/>
    <w:rsid w:val="00B16827"/>
    <w:rsid w:val="00B17037"/>
    <w:rsid w:val="00B223A9"/>
    <w:rsid w:val="00B2479E"/>
    <w:rsid w:val="00B278AB"/>
    <w:rsid w:val="00B3501E"/>
    <w:rsid w:val="00B36522"/>
    <w:rsid w:val="00B40397"/>
    <w:rsid w:val="00B519F3"/>
    <w:rsid w:val="00B532AB"/>
    <w:rsid w:val="00B5619F"/>
    <w:rsid w:val="00B60493"/>
    <w:rsid w:val="00B613B8"/>
    <w:rsid w:val="00B6242A"/>
    <w:rsid w:val="00B62F57"/>
    <w:rsid w:val="00B63029"/>
    <w:rsid w:val="00B63112"/>
    <w:rsid w:val="00B655FA"/>
    <w:rsid w:val="00B6749A"/>
    <w:rsid w:val="00B678DC"/>
    <w:rsid w:val="00B67B48"/>
    <w:rsid w:val="00B706FC"/>
    <w:rsid w:val="00B739FC"/>
    <w:rsid w:val="00B74FDD"/>
    <w:rsid w:val="00B76FCA"/>
    <w:rsid w:val="00B7745C"/>
    <w:rsid w:val="00B80F87"/>
    <w:rsid w:val="00B829E7"/>
    <w:rsid w:val="00B85384"/>
    <w:rsid w:val="00B9002B"/>
    <w:rsid w:val="00B91F97"/>
    <w:rsid w:val="00B9273D"/>
    <w:rsid w:val="00B93EE2"/>
    <w:rsid w:val="00B968F0"/>
    <w:rsid w:val="00BA1D4B"/>
    <w:rsid w:val="00BA486D"/>
    <w:rsid w:val="00BA4FA0"/>
    <w:rsid w:val="00BB28A2"/>
    <w:rsid w:val="00BB3132"/>
    <w:rsid w:val="00BB6551"/>
    <w:rsid w:val="00BB7662"/>
    <w:rsid w:val="00BC0733"/>
    <w:rsid w:val="00BD0053"/>
    <w:rsid w:val="00BD04C9"/>
    <w:rsid w:val="00BD187E"/>
    <w:rsid w:val="00BD40BD"/>
    <w:rsid w:val="00BD4F97"/>
    <w:rsid w:val="00BE6435"/>
    <w:rsid w:val="00BE645E"/>
    <w:rsid w:val="00BF3486"/>
    <w:rsid w:val="00C00F1E"/>
    <w:rsid w:val="00C01DAB"/>
    <w:rsid w:val="00C144F2"/>
    <w:rsid w:val="00C1499B"/>
    <w:rsid w:val="00C15633"/>
    <w:rsid w:val="00C2117D"/>
    <w:rsid w:val="00C2229A"/>
    <w:rsid w:val="00C22922"/>
    <w:rsid w:val="00C24FC4"/>
    <w:rsid w:val="00C2685C"/>
    <w:rsid w:val="00C30A26"/>
    <w:rsid w:val="00C35484"/>
    <w:rsid w:val="00C4247C"/>
    <w:rsid w:val="00C43740"/>
    <w:rsid w:val="00C440B6"/>
    <w:rsid w:val="00C47489"/>
    <w:rsid w:val="00C53652"/>
    <w:rsid w:val="00C60FF5"/>
    <w:rsid w:val="00C61343"/>
    <w:rsid w:val="00C61C78"/>
    <w:rsid w:val="00C634CD"/>
    <w:rsid w:val="00C80CAD"/>
    <w:rsid w:val="00C8152F"/>
    <w:rsid w:val="00C82FD7"/>
    <w:rsid w:val="00C83E2B"/>
    <w:rsid w:val="00C83F42"/>
    <w:rsid w:val="00C84969"/>
    <w:rsid w:val="00C94F67"/>
    <w:rsid w:val="00C950CD"/>
    <w:rsid w:val="00C95873"/>
    <w:rsid w:val="00C960D0"/>
    <w:rsid w:val="00C96B4F"/>
    <w:rsid w:val="00CA446A"/>
    <w:rsid w:val="00CA73ED"/>
    <w:rsid w:val="00CB01FB"/>
    <w:rsid w:val="00CB0E32"/>
    <w:rsid w:val="00CB15AE"/>
    <w:rsid w:val="00CB467E"/>
    <w:rsid w:val="00CB6644"/>
    <w:rsid w:val="00CC13EB"/>
    <w:rsid w:val="00CE0892"/>
    <w:rsid w:val="00CE50CF"/>
    <w:rsid w:val="00CE763C"/>
    <w:rsid w:val="00CF0E0B"/>
    <w:rsid w:val="00CF2432"/>
    <w:rsid w:val="00CF3691"/>
    <w:rsid w:val="00CF3E02"/>
    <w:rsid w:val="00CF4B2E"/>
    <w:rsid w:val="00CF78D1"/>
    <w:rsid w:val="00D0213A"/>
    <w:rsid w:val="00D02ECE"/>
    <w:rsid w:val="00D045C9"/>
    <w:rsid w:val="00D05059"/>
    <w:rsid w:val="00D11D0A"/>
    <w:rsid w:val="00D230EA"/>
    <w:rsid w:val="00D43D83"/>
    <w:rsid w:val="00D47F6B"/>
    <w:rsid w:val="00D50004"/>
    <w:rsid w:val="00D551DA"/>
    <w:rsid w:val="00D619B2"/>
    <w:rsid w:val="00D621FC"/>
    <w:rsid w:val="00D64F99"/>
    <w:rsid w:val="00D66D5B"/>
    <w:rsid w:val="00D71234"/>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0C80"/>
    <w:rsid w:val="00DA1560"/>
    <w:rsid w:val="00DA6955"/>
    <w:rsid w:val="00DA6E49"/>
    <w:rsid w:val="00DB1879"/>
    <w:rsid w:val="00DB5348"/>
    <w:rsid w:val="00DC6352"/>
    <w:rsid w:val="00DD4467"/>
    <w:rsid w:val="00DE19E9"/>
    <w:rsid w:val="00DE602E"/>
    <w:rsid w:val="00DE635C"/>
    <w:rsid w:val="00DE63E1"/>
    <w:rsid w:val="00DE6FCD"/>
    <w:rsid w:val="00DF7010"/>
    <w:rsid w:val="00E17D97"/>
    <w:rsid w:val="00E25C39"/>
    <w:rsid w:val="00E270DB"/>
    <w:rsid w:val="00E3203C"/>
    <w:rsid w:val="00E3552D"/>
    <w:rsid w:val="00E359E7"/>
    <w:rsid w:val="00E414CF"/>
    <w:rsid w:val="00E41BD3"/>
    <w:rsid w:val="00E4450D"/>
    <w:rsid w:val="00E5754D"/>
    <w:rsid w:val="00E604D8"/>
    <w:rsid w:val="00E6066D"/>
    <w:rsid w:val="00E6219B"/>
    <w:rsid w:val="00E71BDB"/>
    <w:rsid w:val="00E74E3E"/>
    <w:rsid w:val="00E763A3"/>
    <w:rsid w:val="00E76AA5"/>
    <w:rsid w:val="00E80D98"/>
    <w:rsid w:val="00E825A9"/>
    <w:rsid w:val="00E85B8A"/>
    <w:rsid w:val="00E9627C"/>
    <w:rsid w:val="00EA2B78"/>
    <w:rsid w:val="00EA33E9"/>
    <w:rsid w:val="00EA3A6F"/>
    <w:rsid w:val="00EA3C8D"/>
    <w:rsid w:val="00EA7F25"/>
    <w:rsid w:val="00EB089E"/>
    <w:rsid w:val="00EB3D84"/>
    <w:rsid w:val="00EB4ADB"/>
    <w:rsid w:val="00EB5174"/>
    <w:rsid w:val="00EB5560"/>
    <w:rsid w:val="00EC0922"/>
    <w:rsid w:val="00EC74B4"/>
    <w:rsid w:val="00ED0BEE"/>
    <w:rsid w:val="00ED26A9"/>
    <w:rsid w:val="00ED464B"/>
    <w:rsid w:val="00ED782C"/>
    <w:rsid w:val="00EE1E88"/>
    <w:rsid w:val="00EE4F1D"/>
    <w:rsid w:val="00EF3068"/>
    <w:rsid w:val="00F01C15"/>
    <w:rsid w:val="00F07192"/>
    <w:rsid w:val="00F127CF"/>
    <w:rsid w:val="00F14C75"/>
    <w:rsid w:val="00F17977"/>
    <w:rsid w:val="00F213A8"/>
    <w:rsid w:val="00F25D58"/>
    <w:rsid w:val="00F37ED3"/>
    <w:rsid w:val="00F42529"/>
    <w:rsid w:val="00F504FF"/>
    <w:rsid w:val="00F527AA"/>
    <w:rsid w:val="00F545FA"/>
    <w:rsid w:val="00F547CD"/>
    <w:rsid w:val="00F563E7"/>
    <w:rsid w:val="00F60E97"/>
    <w:rsid w:val="00F631D4"/>
    <w:rsid w:val="00F64D7B"/>
    <w:rsid w:val="00F7718B"/>
    <w:rsid w:val="00F77D9C"/>
    <w:rsid w:val="00F83C9D"/>
    <w:rsid w:val="00F84201"/>
    <w:rsid w:val="00F84DED"/>
    <w:rsid w:val="00F862F0"/>
    <w:rsid w:val="00F92B28"/>
    <w:rsid w:val="00F95981"/>
    <w:rsid w:val="00FA04FA"/>
    <w:rsid w:val="00FA10AA"/>
    <w:rsid w:val="00FA15B6"/>
    <w:rsid w:val="00FA2BB2"/>
    <w:rsid w:val="00FA4078"/>
    <w:rsid w:val="00FC0601"/>
    <w:rsid w:val="00FC6A5F"/>
    <w:rsid w:val="00FC7B99"/>
    <w:rsid w:val="00FD4156"/>
    <w:rsid w:val="00FD4C4F"/>
    <w:rsid w:val="00FD6730"/>
    <w:rsid w:val="00FE0013"/>
    <w:rsid w:val="00FE036D"/>
    <w:rsid w:val="00FE246D"/>
    <w:rsid w:val="00FE6162"/>
    <w:rsid w:val="00FF1ABA"/>
    <w:rsid w:val="00FF2D63"/>
    <w:rsid w:val="00FF4490"/>
    <w:rsid w:val="00FF5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59320085">
      <w:bodyDiv w:val="1"/>
      <w:marLeft w:val="0"/>
      <w:marRight w:val="0"/>
      <w:marTop w:val="0"/>
      <w:marBottom w:val="0"/>
      <w:divBdr>
        <w:top w:val="none" w:sz="0" w:space="0" w:color="auto"/>
        <w:left w:val="none" w:sz="0" w:space="0" w:color="auto"/>
        <w:bottom w:val="none" w:sz="0" w:space="0" w:color="auto"/>
        <w:right w:val="none" w:sz="0" w:space="0" w:color="auto"/>
      </w:divBdr>
      <w:divsChild>
        <w:div w:id="879904413">
          <w:marLeft w:val="0"/>
          <w:marRight w:val="0"/>
          <w:marTop w:val="0"/>
          <w:marBottom w:val="0"/>
          <w:divBdr>
            <w:top w:val="none" w:sz="0" w:space="0" w:color="auto"/>
            <w:left w:val="none" w:sz="0" w:space="0" w:color="auto"/>
            <w:bottom w:val="none" w:sz="0" w:space="0" w:color="auto"/>
            <w:right w:val="none" w:sz="0" w:space="0" w:color="auto"/>
          </w:divBdr>
        </w:div>
      </w:divsChild>
    </w:div>
    <w:div w:id="164786743">
      <w:bodyDiv w:val="1"/>
      <w:marLeft w:val="0"/>
      <w:marRight w:val="0"/>
      <w:marTop w:val="0"/>
      <w:marBottom w:val="0"/>
      <w:divBdr>
        <w:top w:val="none" w:sz="0" w:space="0" w:color="auto"/>
        <w:left w:val="none" w:sz="0" w:space="0" w:color="auto"/>
        <w:bottom w:val="none" w:sz="0" w:space="0" w:color="auto"/>
        <w:right w:val="none" w:sz="0" w:space="0" w:color="auto"/>
      </w:divBdr>
      <w:divsChild>
        <w:div w:id="2025591459">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61185725">
      <w:bodyDiv w:val="1"/>
      <w:marLeft w:val="0"/>
      <w:marRight w:val="0"/>
      <w:marTop w:val="0"/>
      <w:marBottom w:val="0"/>
      <w:divBdr>
        <w:top w:val="none" w:sz="0" w:space="0" w:color="auto"/>
        <w:left w:val="none" w:sz="0" w:space="0" w:color="auto"/>
        <w:bottom w:val="none" w:sz="0" w:space="0" w:color="auto"/>
        <w:right w:val="none" w:sz="0" w:space="0" w:color="auto"/>
      </w:divBdr>
      <w:divsChild>
        <w:div w:id="2031488838">
          <w:marLeft w:val="0"/>
          <w:marRight w:val="0"/>
          <w:marTop w:val="0"/>
          <w:marBottom w:val="0"/>
          <w:divBdr>
            <w:top w:val="none" w:sz="0" w:space="0" w:color="auto"/>
            <w:left w:val="none" w:sz="0" w:space="0" w:color="auto"/>
            <w:bottom w:val="none" w:sz="0" w:space="0" w:color="auto"/>
            <w:right w:val="none" w:sz="0" w:space="0" w:color="auto"/>
          </w:divBdr>
          <w:divsChild>
            <w:div w:id="1843348197">
              <w:marLeft w:val="0"/>
              <w:marRight w:val="0"/>
              <w:marTop w:val="0"/>
              <w:marBottom w:val="0"/>
              <w:divBdr>
                <w:top w:val="none" w:sz="0" w:space="0" w:color="auto"/>
                <w:left w:val="none" w:sz="0" w:space="0" w:color="auto"/>
                <w:bottom w:val="none" w:sz="0" w:space="0" w:color="auto"/>
                <w:right w:val="none" w:sz="0" w:space="0" w:color="auto"/>
              </w:divBdr>
              <w:divsChild>
                <w:div w:id="2066487050">
                  <w:marLeft w:val="0"/>
                  <w:marRight w:val="0"/>
                  <w:marTop w:val="0"/>
                  <w:marBottom w:val="0"/>
                  <w:divBdr>
                    <w:top w:val="none" w:sz="0" w:space="0" w:color="auto"/>
                    <w:left w:val="none" w:sz="0" w:space="0" w:color="auto"/>
                    <w:bottom w:val="none" w:sz="0" w:space="0" w:color="auto"/>
                    <w:right w:val="none" w:sz="0" w:space="0" w:color="auto"/>
                  </w:divBdr>
                  <w:divsChild>
                    <w:div w:id="1448499226">
                      <w:marLeft w:val="0"/>
                      <w:marRight w:val="0"/>
                      <w:marTop w:val="0"/>
                      <w:marBottom w:val="0"/>
                      <w:divBdr>
                        <w:top w:val="none" w:sz="0" w:space="0" w:color="auto"/>
                        <w:left w:val="none" w:sz="0" w:space="0" w:color="auto"/>
                        <w:bottom w:val="none" w:sz="0" w:space="0" w:color="auto"/>
                        <w:right w:val="none" w:sz="0" w:space="0" w:color="auto"/>
                      </w:divBdr>
                      <w:divsChild>
                        <w:div w:id="322927173">
                          <w:marLeft w:val="0"/>
                          <w:marRight w:val="0"/>
                          <w:marTop w:val="0"/>
                          <w:marBottom w:val="0"/>
                          <w:divBdr>
                            <w:top w:val="none" w:sz="0" w:space="0" w:color="auto"/>
                            <w:left w:val="none" w:sz="0" w:space="0" w:color="auto"/>
                            <w:bottom w:val="none" w:sz="0" w:space="0" w:color="auto"/>
                            <w:right w:val="none" w:sz="0" w:space="0" w:color="auto"/>
                          </w:divBdr>
                          <w:divsChild>
                            <w:div w:id="572936932">
                              <w:marLeft w:val="0"/>
                              <w:marRight w:val="0"/>
                              <w:marTop w:val="0"/>
                              <w:marBottom w:val="0"/>
                              <w:divBdr>
                                <w:top w:val="none" w:sz="0" w:space="0" w:color="auto"/>
                                <w:left w:val="none" w:sz="0" w:space="0" w:color="auto"/>
                                <w:bottom w:val="none" w:sz="0" w:space="0" w:color="auto"/>
                                <w:right w:val="none" w:sz="0" w:space="0" w:color="auto"/>
                              </w:divBdr>
                              <w:divsChild>
                                <w:div w:id="471677496">
                                  <w:marLeft w:val="0"/>
                                  <w:marRight w:val="0"/>
                                  <w:marTop w:val="0"/>
                                  <w:marBottom w:val="0"/>
                                  <w:divBdr>
                                    <w:top w:val="none" w:sz="0" w:space="0" w:color="auto"/>
                                    <w:left w:val="none" w:sz="0" w:space="0" w:color="auto"/>
                                    <w:bottom w:val="none" w:sz="0" w:space="0" w:color="auto"/>
                                    <w:right w:val="none" w:sz="0" w:space="0" w:color="auto"/>
                                  </w:divBdr>
                                  <w:divsChild>
                                    <w:div w:id="706487136">
                                      <w:marLeft w:val="0"/>
                                      <w:marRight w:val="0"/>
                                      <w:marTop w:val="0"/>
                                      <w:marBottom w:val="0"/>
                                      <w:divBdr>
                                        <w:top w:val="none" w:sz="0" w:space="0" w:color="auto"/>
                                        <w:left w:val="none" w:sz="0" w:space="0" w:color="auto"/>
                                        <w:bottom w:val="none" w:sz="0" w:space="0" w:color="auto"/>
                                        <w:right w:val="none" w:sz="0" w:space="0" w:color="auto"/>
                                      </w:divBdr>
                                      <w:divsChild>
                                        <w:div w:id="1494955206">
                                          <w:marLeft w:val="0"/>
                                          <w:marRight w:val="0"/>
                                          <w:marTop w:val="0"/>
                                          <w:marBottom w:val="0"/>
                                          <w:divBdr>
                                            <w:top w:val="none" w:sz="0" w:space="0" w:color="auto"/>
                                            <w:left w:val="none" w:sz="0" w:space="0" w:color="auto"/>
                                            <w:bottom w:val="none" w:sz="0" w:space="0" w:color="auto"/>
                                            <w:right w:val="none" w:sz="0" w:space="0" w:color="auto"/>
                                          </w:divBdr>
                                          <w:divsChild>
                                            <w:div w:id="932126047">
                                              <w:marLeft w:val="0"/>
                                              <w:marRight w:val="0"/>
                                              <w:marTop w:val="0"/>
                                              <w:marBottom w:val="0"/>
                                              <w:divBdr>
                                                <w:top w:val="none" w:sz="0" w:space="0" w:color="auto"/>
                                                <w:left w:val="none" w:sz="0" w:space="0" w:color="auto"/>
                                                <w:bottom w:val="none" w:sz="0" w:space="0" w:color="auto"/>
                                                <w:right w:val="none" w:sz="0" w:space="0" w:color="auto"/>
                                              </w:divBdr>
                                              <w:divsChild>
                                                <w:div w:id="106974929">
                                                  <w:marLeft w:val="0"/>
                                                  <w:marRight w:val="0"/>
                                                  <w:marTop w:val="0"/>
                                                  <w:marBottom w:val="0"/>
                                                  <w:divBdr>
                                                    <w:top w:val="none" w:sz="0" w:space="0" w:color="auto"/>
                                                    <w:left w:val="none" w:sz="0" w:space="0" w:color="auto"/>
                                                    <w:bottom w:val="none" w:sz="0" w:space="0" w:color="auto"/>
                                                    <w:right w:val="none" w:sz="0" w:space="0" w:color="auto"/>
                                                  </w:divBdr>
                                                  <w:divsChild>
                                                    <w:div w:id="1996646921">
                                                      <w:marLeft w:val="0"/>
                                                      <w:marRight w:val="0"/>
                                                      <w:marTop w:val="0"/>
                                                      <w:marBottom w:val="0"/>
                                                      <w:divBdr>
                                                        <w:top w:val="none" w:sz="0" w:space="0" w:color="auto"/>
                                                        <w:left w:val="none" w:sz="0" w:space="0" w:color="auto"/>
                                                        <w:bottom w:val="none" w:sz="0" w:space="0" w:color="auto"/>
                                                        <w:right w:val="none" w:sz="0" w:space="0" w:color="auto"/>
                                                      </w:divBdr>
                                                      <w:divsChild>
                                                        <w:div w:id="203661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00268949">
      <w:bodyDiv w:val="1"/>
      <w:marLeft w:val="0"/>
      <w:marRight w:val="0"/>
      <w:marTop w:val="0"/>
      <w:marBottom w:val="0"/>
      <w:divBdr>
        <w:top w:val="none" w:sz="0" w:space="0" w:color="auto"/>
        <w:left w:val="none" w:sz="0" w:space="0" w:color="auto"/>
        <w:bottom w:val="none" w:sz="0" w:space="0" w:color="auto"/>
        <w:right w:val="none" w:sz="0" w:space="0" w:color="auto"/>
      </w:divBdr>
      <w:divsChild>
        <w:div w:id="1706830318">
          <w:marLeft w:val="0"/>
          <w:marRight w:val="0"/>
          <w:marTop w:val="0"/>
          <w:marBottom w:val="0"/>
          <w:divBdr>
            <w:top w:val="none" w:sz="0" w:space="0" w:color="auto"/>
            <w:left w:val="none" w:sz="0" w:space="0" w:color="auto"/>
            <w:bottom w:val="none" w:sz="0" w:space="0" w:color="auto"/>
            <w:right w:val="none" w:sz="0" w:space="0" w:color="auto"/>
          </w:divBdr>
          <w:divsChild>
            <w:div w:id="1142043691">
              <w:marLeft w:val="0"/>
              <w:marRight w:val="0"/>
              <w:marTop w:val="0"/>
              <w:marBottom w:val="0"/>
              <w:divBdr>
                <w:top w:val="none" w:sz="0" w:space="0" w:color="auto"/>
                <w:left w:val="none" w:sz="0" w:space="0" w:color="auto"/>
                <w:bottom w:val="none" w:sz="0" w:space="0" w:color="auto"/>
                <w:right w:val="none" w:sz="0" w:space="0" w:color="auto"/>
              </w:divBdr>
              <w:divsChild>
                <w:div w:id="578829968">
                  <w:marLeft w:val="0"/>
                  <w:marRight w:val="0"/>
                  <w:marTop w:val="0"/>
                  <w:marBottom w:val="0"/>
                  <w:divBdr>
                    <w:top w:val="none" w:sz="0" w:space="0" w:color="auto"/>
                    <w:left w:val="none" w:sz="0" w:space="0" w:color="auto"/>
                    <w:bottom w:val="none" w:sz="0" w:space="0" w:color="auto"/>
                    <w:right w:val="none" w:sz="0" w:space="0" w:color="auto"/>
                  </w:divBdr>
                  <w:divsChild>
                    <w:div w:id="1939752208">
                      <w:marLeft w:val="0"/>
                      <w:marRight w:val="0"/>
                      <w:marTop w:val="0"/>
                      <w:marBottom w:val="0"/>
                      <w:divBdr>
                        <w:top w:val="none" w:sz="0" w:space="0" w:color="auto"/>
                        <w:left w:val="none" w:sz="0" w:space="0" w:color="auto"/>
                        <w:bottom w:val="none" w:sz="0" w:space="0" w:color="auto"/>
                        <w:right w:val="none" w:sz="0" w:space="0" w:color="auto"/>
                      </w:divBdr>
                      <w:divsChild>
                        <w:div w:id="914514433">
                          <w:marLeft w:val="0"/>
                          <w:marRight w:val="0"/>
                          <w:marTop w:val="0"/>
                          <w:marBottom w:val="0"/>
                          <w:divBdr>
                            <w:top w:val="none" w:sz="0" w:space="0" w:color="auto"/>
                            <w:left w:val="none" w:sz="0" w:space="0" w:color="auto"/>
                            <w:bottom w:val="none" w:sz="0" w:space="0" w:color="auto"/>
                            <w:right w:val="none" w:sz="0" w:space="0" w:color="auto"/>
                          </w:divBdr>
                          <w:divsChild>
                            <w:div w:id="1102998100">
                              <w:marLeft w:val="0"/>
                              <w:marRight w:val="0"/>
                              <w:marTop w:val="0"/>
                              <w:marBottom w:val="0"/>
                              <w:divBdr>
                                <w:top w:val="none" w:sz="0" w:space="0" w:color="auto"/>
                                <w:left w:val="none" w:sz="0" w:space="0" w:color="auto"/>
                                <w:bottom w:val="none" w:sz="0" w:space="0" w:color="auto"/>
                                <w:right w:val="none" w:sz="0" w:space="0" w:color="auto"/>
                              </w:divBdr>
                              <w:divsChild>
                                <w:div w:id="2084715092">
                                  <w:marLeft w:val="0"/>
                                  <w:marRight w:val="0"/>
                                  <w:marTop w:val="0"/>
                                  <w:marBottom w:val="0"/>
                                  <w:divBdr>
                                    <w:top w:val="none" w:sz="0" w:space="0" w:color="auto"/>
                                    <w:left w:val="none" w:sz="0" w:space="0" w:color="auto"/>
                                    <w:bottom w:val="none" w:sz="0" w:space="0" w:color="auto"/>
                                    <w:right w:val="none" w:sz="0" w:space="0" w:color="auto"/>
                                  </w:divBdr>
                                  <w:divsChild>
                                    <w:div w:id="1699962569">
                                      <w:marLeft w:val="0"/>
                                      <w:marRight w:val="0"/>
                                      <w:marTop w:val="0"/>
                                      <w:marBottom w:val="0"/>
                                      <w:divBdr>
                                        <w:top w:val="none" w:sz="0" w:space="0" w:color="auto"/>
                                        <w:left w:val="none" w:sz="0" w:space="0" w:color="auto"/>
                                        <w:bottom w:val="none" w:sz="0" w:space="0" w:color="auto"/>
                                        <w:right w:val="none" w:sz="0" w:space="0" w:color="auto"/>
                                      </w:divBdr>
                                      <w:divsChild>
                                        <w:div w:id="2072077622">
                                          <w:marLeft w:val="0"/>
                                          <w:marRight w:val="0"/>
                                          <w:marTop w:val="0"/>
                                          <w:marBottom w:val="0"/>
                                          <w:divBdr>
                                            <w:top w:val="none" w:sz="0" w:space="0" w:color="auto"/>
                                            <w:left w:val="none" w:sz="0" w:space="0" w:color="auto"/>
                                            <w:bottom w:val="none" w:sz="0" w:space="0" w:color="auto"/>
                                            <w:right w:val="none" w:sz="0" w:space="0" w:color="auto"/>
                                          </w:divBdr>
                                          <w:divsChild>
                                            <w:div w:id="873616179">
                                              <w:marLeft w:val="0"/>
                                              <w:marRight w:val="0"/>
                                              <w:marTop w:val="0"/>
                                              <w:marBottom w:val="0"/>
                                              <w:divBdr>
                                                <w:top w:val="none" w:sz="0" w:space="0" w:color="auto"/>
                                                <w:left w:val="none" w:sz="0" w:space="0" w:color="auto"/>
                                                <w:bottom w:val="none" w:sz="0" w:space="0" w:color="auto"/>
                                                <w:right w:val="none" w:sz="0" w:space="0" w:color="auto"/>
                                              </w:divBdr>
                                              <w:divsChild>
                                                <w:div w:id="493956404">
                                                  <w:marLeft w:val="0"/>
                                                  <w:marRight w:val="0"/>
                                                  <w:marTop w:val="0"/>
                                                  <w:marBottom w:val="0"/>
                                                  <w:divBdr>
                                                    <w:top w:val="none" w:sz="0" w:space="0" w:color="auto"/>
                                                    <w:left w:val="none" w:sz="0" w:space="0" w:color="auto"/>
                                                    <w:bottom w:val="none" w:sz="0" w:space="0" w:color="auto"/>
                                                    <w:right w:val="none" w:sz="0" w:space="0" w:color="auto"/>
                                                  </w:divBdr>
                                                  <w:divsChild>
                                                    <w:div w:id="1463497115">
                                                      <w:marLeft w:val="0"/>
                                                      <w:marRight w:val="0"/>
                                                      <w:marTop w:val="0"/>
                                                      <w:marBottom w:val="0"/>
                                                      <w:divBdr>
                                                        <w:top w:val="none" w:sz="0" w:space="0" w:color="auto"/>
                                                        <w:left w:val="none" w:sz="0" w:space="0" w:color="auto"/>
                                                        <w:bottom w:val="none" w:sz="0" w:space="0" w:color="auto"/>
                                                        <w:right w:val="none" w:sz="0" w:space="0" w:color="auto"/>
                                                      </w:divBdr>
                                                      <w:divsChild>
                                                        <w:div w:id="11463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253623">
      <w:bodyDiv w:val="1"/>
      <w:marLeft w:val="0"/>
      <w:marRight w:val="0"/>
      <w:marTop w:val="0"/>
      <w:marBottom w:val="0"/>
      <w:divBdr>
        <w:top w:val="none" w:sz="0" w:space="0" w:color="auto"/>
        <w:left w:val="none" w:sz="0" w:space="0" w:color="auto"/>
        <w:bottom w:val="none" w:sz="0" w:space="0" w:color="auto"/>
        <w:right w:val="none" w:sz="0" w:space="0" w:color="auto"/>
      </w:divBdr>
      <w:divsChild>
        <w:div w:id="1033120415">
          <w:marLeft w:val="0"/>
          <w:marRight w:val="0"/>
          <w:marTop w:val="0"/>
          <w:marBottom w:val="0"/>
          <w:divBdr>
            <w:top w:val="none" w:sz="0" w:space="0" w:color="auto"/>
            <w:left w:val="none" w:sz="0" w:space="0" w:color="auto"/>
            <w:bottom w:val="none" w:sz="0" w:space="0" w:color="auto"/>
            <w:right w:val="none" w:sz="0" w:space="0" w:color="auto"/>
          </w:divBdr>
          <w:divsChild>
            <w:div w:id="1078943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8305649">
      <w:bodyDiv w:val="1"/>
      <w:marLeft w:val="0"/>
      <w:marRight w:val="0"/>
      <w:marTop w:val="0"/>
      <w:marBottom w:val="0"/>
      <w:divBdr>
        <w:top w:val="none" w:sz="0" w:space="0" w:color="auto"/>
        <w:left w:val="none" w:sz="0" w:space="0" w:color="auto"/>
        <w:bottom w:val="none" w:sz="0" w:space="0" w:color="auto"/>
        <w:right w:val="none" w:sz="0" w:space="0" w:color="auto"/>
      </w:divBdr>
      <w:divsChild>
        <w:div w:id="822085176">
          <w:marLeft w:val="0"/>
          <w:marRight w:val="0"/>
          <w:marTop w:val="0"/>
          <w:marBottom w:val="0"/>
          <w:divBdr>
            <w:top w:val="none" w:sz="0" w:space="0" w:color="auto"/>
            <w:left w:val="none" w:sz="0" w:space="0" w:color="auto"/>
            <w:bottom w:val="none" w:sz="0" w:space="0" w:color="auto"/>
            <w:right w:val="none" w:sz="0" w:space="0" w:color="auto"/>
          </w:divBdr>
        </w:div>
      </w:divsChild>
    </w:div>
    <w:div w:id="786437364">
      <w:bodyDiv w:val="1"/>
      <w:marLeft w:val="0"/>
      <w:marRight w:val="0"/>
      <w:marTop w:val="0"/>
      <w:marBottom w:val="0"/>
      <w:divBdr>
        <w:top w:val="none" w:sz="0" w:space="0" w:color="auto"/>
        <w:left w:val="none" w:sz="0" w:space="0" w:color="auto"/>
        <w:bottom w:val="none" w:sz="0" w:space="0" w:color="auto"/>
        <w:right w:val="none" w:sz="0" w:space="0" w:color="auto"/>
      </w:divBdr>
      <w:divsChild>
        <w:div w:id="1831286889">
          <w:marLeft w:val="0"/>
          <w:marRight w:val="0"/>
          <w:marTop w:val="0"/>
          <w:marBottom w:val="0"/>
          <w:divBdr>
            <w:top w:val="none" w:sz="0" w:space="0" w:color="auto"/>
            <w:left w:val="none" w:sz="0" w:space="0" w:color="auto"/>
            <w:bottom w:val="none" w:sz="0" w:space="0" w:color="auto"/>
            <w:right w:val="none" w:sz="0" w:space="0" w:color="auto"/>
          </w:divBdr>
          <w:divsChild>
            <w:div w:id="1919242101">
              <w:marLeft w:val="0"/>
              <w:marRight w:val="0"/>
              <w:marTop w:val="0"/>
              <w:marBottom w:val="0"/>
              <w:divBdr>
                <w:top w:val="none" w:sz="0" w:space="0" w:color="auto"/>
                <w:left w:val="none" w:sz="0" w:space="0" w:color="auto"/>
                <w:bottom w:val="none" w:sz="0" w:space="0" w:color="auto"/>
                <w:right w:val="none" w:sz="0" w:space="0" w:color="auto"/>
              </w:divBdr>
              <w:divsChild>
                <w:div w:id="1438019047">
                  <w:marLeft w:val="0"/>
                  <w:marRight w:val="0"/>
                  <w:marTop w:val="0"/>
                  <w:marBottom w:val="0"/>
                  <w:divBdr>
                    <w:top w:val="none" w:sz="0" w:space="0" w:color="auto"/>
                    <w:left w:val="none" w:sz="0" w:space="0" w:color="auto"/>
                    <w:bottom w:val="none" w:sz="0" w:space="0" w:color="auto"/>
                    <w:right w:val="none" w:sz="0" w:space="0" w:color="auto"/>
                  </w:divBdr>
                  <w:divsChild>
                    <w:div w:id="1969049671">
                      <w:marLeft w:val="0"/>
                      <w:marRight w:val="0"/>
                      <w:marTop w:val="0"/>
                      <w:marBottom w:val="0"/>
                      <w:divBdr>
                        <w:top w:val="none" w:sz="0" w:space="0" w:color="auto"/>
                        <w:left w:val="none" w:sz="0" w:space="0" w:color="auto"/>
                        <w:bottom w:val="none" w:sz="0" w:space="0" w:color="auto"/>
                        <w:right w:val="none" w:sz="0" w:space="0" w:color="auto"/>
                      </w:divBdr>
                      <w:divsChild>
                        <w:div w:id="442577483">
                          <w:marLeft w:val="0"/>
                          <w:marRight w:val="0"/>
                          <w:marTop w:val="0"/>
                          <w:marBottom w:val="0"/>
                          <w:divBdr>
                            <w:top w:val="none" w:sz="0" w:space="0" w:color="auto"/>
                            <w:left w:val="none" w:sz="0" w:space="0" w:color="auto"/>
                            <w:bottom w:val="none" w:sz="0" w:space="0" w:color="auto"/>
                            <w:right w:val="none" w:sz="0" w:space="0" w:color="auto"/>
                          </w:divBdr>
                          <w:divsChild>
                            <w:div w:id="1546865346">
                              <w:marLeft w:val="0"/>
                              <w:marRight w:val="0"/>
                              <w:marTop w:val="0"/>
                              <w:marBottom w:val="0"/>
                              <w:divBdr>
                                <w:top w:val="none" w:sz="0" w:space="0" w:color="auto"/>
                                <w:left w:val="none" w:sz="0" w:space="0" w:color="auto"/>
                                <w:bottom w:val="none" w:sz="0" w:space="0" w:color="auto"/>
                                <w:right w:val="none" w:sz="0" w:space="0" w:color="auto"/>
                              </w:divBdr>
                              <w:divsChild>
                                <w:div w:id="506822290">
                                  <w:marLeft w:val="0"/>
                                  <w:marRight w:val="0"/>
                                  <w:marTop w:val="0"/>
                                  <w:marBottom w:val="0"/>
                                  <w:divBdr>
                                    <w:top w:val="none" w:sz="0" w:space="0" w:color="auto"/>
                                    <w:left w:val="none" w:sz="0" w:space="0" w:color="auto"/>
                                    <w:bottom w:val="none" w:sz="0" w:space="0" w:color="auto"/>
                                    <w:right w:val="none" w:sz="0" w:space="0" w:color="auto"/>
                                  </w:divBdr>
                                  <w:divsChild>
                                    <w:div w:id="1473867104">
                                      <w:marLeft w:val="0"/>
                                      <w:marRight w:val="0"/>
                                      <w:marTop w:val="0"/>
                                      <w:marBottom w:val="0"/>
                                      <w:divBdr>
                                        <w:top w:val="none" w:sz="0" w:space="0" w:color="auto"/>
                                        <w:left w:val="none" w:sz="0" w:space="0" w:color="auto"/>
                                        <w:bottom w:val="none" w:sz="0" w:space="0" w:color="auto"/>
                                        <w:right w:val="none" w:sz="0" w:space="0" w:color="auto"/>
                                      </w:divBdr>
                                      <w:divsChild>
                                        <w:div w:id="274411846">
                                          <w:marLeft w:val="0"/>
                                          <w:marRight w:val="0"/>
                                          <w:marTop w:val="0"/>
                                          <w:marBottom w:val="0"/>
                                          <w:divBdr>
                                            <w:top w:val="none" w:sz="0" w:space="0" w:color="auto"/>
                                            <w:left w:val="none" w:sz="0" w:space="0" w:color="auto"/>
                                            <w:bottom w:val="none" w:sz="0" w:space="0" w:color="auto"/>
                                            <w:right w:val="none" w:sz="0" w:space="0" w:color="auto"/>
                                          </w:divBdr>
                                          <w:divsChild>
                                            <w:div w:id="1917939800">
                                              <w:marLeft w:val="0"/>
                                              <w:marRight w:val="0"/>
                                              <w:marTop w:val="0"/>
                                              <w:marBottom w:val="0"/>
                                              <w:divBdr>
                                                <w:top w:val="none" w:sz="0" w:space="0" w:color="auto"/>
                                                <w:left w:val="none" w:sz="0" w:space="0" w:color="auto"/>
                                                <w:bottom w:val="none" w:sz="0" w:space="0" w:color="auto"/>
                                                <w:right w:val="none" w:sz="0" w:space="0" w:color="auto"/>
                                              </w:divBdr>
                                              <w:divsChild>
                                                <w:div w:id="378167582">
                                                  <w:marLeft w:val="0"/>
                                                  <w:marRight w:val="0"/>
                                                  <w:marTop w:val="0"/>
                                                  <w:marBottom w:val="0"/>
                                                  <w:divBdr>
                                                    <w:top w:val="none" w:sz="0" w:space="0" w:color="auto"/>
                                                    <w:left w:val="none" w:sz="0" w:space="0" w:color="auto"/>
                                                    <w:bottom w:val="none" w:sz="0" w:space="0" w:color="auto"/>
                                                    <w:right w:val="none" w:sz="0" w:space="0" w:color="auto"/>
                                                  </w:divBdr>
                                                  <w:divsChild>
                                                    <w:div w:id="1091311678">
                                                      <w:marLeft w:val="0"/>
                                                      <w:marRight w:val="0"/>
                                                      <w:marTop w:val="0"/>
                                                      <w:marBottom w:val="0"/>
                                                      <w:divBdr>
                                                        <w:top w:val="none" w:sz="0" w:space="0" w:color="auto"/>
                                                        <w:left w:val="none" w:sz="0" w:space="0" w:color="auto"/>
                                                        <w:bottom w:val="none" w:sz="0" w:space="0" w:color="auto"/>
                                                        <w:right w:val="none" w:sz="0" w:space="0" w:color="auto"/>
                                                      </w:divBdr>
                                                      <w:divsChild>
                                                        <w:div w:id="33372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2059781">
      <w:bodyDiv w:val="1"/>
      <w:marLeft w:val="0"/>
      <w:marRight w:val="0"/>
      <w:marTop w:val="0"/>
      <w:marBottom w:val="0"/>
      <w:divBdr>
        <w:top w:val="none" w:sz="0" w:space="0" w:color="auto"/>
        <w:left w:val="none" w:sz="0" w:space="0" w:color="auto"/>
        <w:bottom w:val="none" w:sz="0" w:space="0" w:color="auto"/>
        <w:right w:val="none" w:sz="0" w:space="0" w:color="auto"/>
      </w:divBdr>
      <w:divsChild>
        <w:div w:id="21208356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879861">
      <w:bodyDiv w:val="1"/>
      <w:marLeft w:val="0"/>
      <w:marRight w:val="0"/>
      <w:marTop w:val="0"/>
      <w:marBottom w:val="0"/>
      <w:divBdr>
        <w:top w:val="none" w:sz="0" w:space="0" w:color="auto"/>
        <w:left w:val="none" w:sz="0" w:space="0" w:color="auto"/>
        <w:bottom w:val="none" w:sz="0" w:space="0" w:color="auto"/>
        <w:right w:val="none" w:sz="0" w:space="0" w:color="auto"/>
      </w:divBdr>
      <w:divsChild>
        <w:div w:id="405341420">
          <w:marLeft w:val="0"/>
          <w:marRight w:val="0"/>
          <w:marTop w:val="0"/>
          <w:marBottom w:val="0"/>
          <w:divBdr>
            <w:top w:val="none" w:sz="0" w:space="0" w:color="auto"/>
            <w:left w:val="none" w:sz="0" w:space="0" w:color="auto"/>
            <w:bottom w:val="none" w:sz="0" w:space="0" w:color="auto"/>
            <w:right w:val="none" w:sz="0" w:space="0" w:color="auto"/>
          </w:divBdr>
          <w:divsChild>
            <w:div w:id="966816263">
              <w:marLeft w:val="0"/>
              <w:marRight w:val="0"/>
              <w:marTop w:val="0"/>
              <w:marBottom w:val="0"/>
              <w:divBdr>
                <w:top w:val="none" w:sz="0" w:space="0" w:color="auto"/>
                <w:left w:val="none" w:sz="0" w:space="0" w:color="auto"/>
                <w:bottom w:val="none" w:sz="0" w:space="0" w:color="auto"/>
                <w:right w:val="none" w:sz="0" w:space="0" w:color="auto"/>
              </w:divBdr>
              <w:divsChild>
                <w:div w:id="1342243802">
                  <w:marLeft w:val="0"/>
                  <w:marRight w:val="0"/>
                  <w:marTop w:val="0"/>
                  <w:marBottom w:val="0"/>
                  <w:divBdr>
                    <w:top w:val="none" w:sz="0" w:space="0" w:color="auto"/>
                    <w:left w:val="none" w:sz="0" w:space="0" w:color="auto"/>
                    <w:bottom w:val="none" w:sz="0" w:space="0" w:color="auto"/>
                    <w:right w:val="none" w:sz="0" w:space="0" w:color="auto"/>
                  </w:divBdr>
                  <w:divsChild>
                    <w:div w:id="1284848156">
                      <w:marLeft w:val="0"/>
                      <w:marRight w:val="0"/>
                      <w:marTop w:val="0"/>
                      <w:marBottom w:val="0"/>
                      <w:divBdr>
                        <w:top w:val="none" w:sz="0" w:space="0" w:color="auto"/>
                        <w:left w:val="none" w:sz="0" w:space="0" w:color="auto"/>
                        <w:bottom w:val="none" w:sz="0" w:space="0" w:color="auto"/>
                        <w:right w:val="none" w:sz="0" w:space="0" w:color="auto"/>
                      </w:divBdr>
                      <w:divsChild>
                        <w:div w:id="1893075834">
                          <w:marLeft w:val="0"/>
                          <w:marRight w:val="0"/>
                          <w:marTop w:val="0"/>
                          <w:marBottom w:val="0"/>
                          <w:divBdr>
                            <w:top w:val="none" w:sz="0" w:space="0" w:color="auto"/>
                            <w:left w:val="none" w:sz="0" w:space="0" w:color="auto"/>
                            <w:bottom w:val="none" w:sz="0" w:space="0" w:color="auto"/>
                            <w:right w:val="none" w:sz="0" w:space="0" w:color="auto"/>
                          </w:divBdr>
                          <w:divsChild>
                            <w:div w:id="110129757">
                              <w:marLeft w:val="0"/>
                              <w:marRight w:val="0"/>
                              <w:marTop w:val="0"/>
                              <w:marBottom w:val="0"/>
                              <w:divBdr>
                                <w:top w:val="none" w:sz="0" w:space="0" w:color="auto"/>
                                <w:left w:val="none" w:sz="0" w:space="0" w:color="auto"/>
                                <w:bottom w:val="none" w:sz="0" w:space="0" w:color="auto"/>
                                <w:right w:val="none" w:sz="0" w:space="0" w:color="auto"/>
                              </w:divBdr>
                              <w:divsChild>
                                <w:div w:id="1196426587">
                                  <w:marLeft w:val="0"/>
                                  <w:marRight w:val="0"/>
                                  <w:marTop w:val="0"/>
                                  <w:marBottom w:val="0"/>
                                  <w:divBdr>
                                    <w:top w:val="none" w:sz="0" w:space="0" w:color="auto"/>
                                    <w:left w:val="none" w:sz="0" w:space="0" w:color="auto"/>
                                    <w:bottom w:val="none" w:sz="0" w:space="0" w:color="auto"/>
                                    <w:right w:val="none" w:sz="0" w:space="0" w:color="auto"/>
                                  </w:divBdr>
                                  <w:divsChild>
                                    <w:div w:id="675157766">
                                      <w:marLeft w:val="0"/>
                                      <w:marRight w:val="0"/>
                                      <w:marTop w:val="0"/>
                                      <w:marBottom w:val="0"/>
                                      <w:divBdr>
                                        <w:top w:val="none" w:sz="0" w:space="0" w:color="auto"/>
                                        <w:left w:val="none" w:sz="0" w:space="0" w:color="auto"/>
                                        <w:bottom w:val="none" w:sz="0" w:space="0" w:color="auto"/>
                                        <w:right w:val="none" w:sz="0" w:space="0" w:color="auto"/>
                                      </w:divBdr>
                                      <w:divsChild>
                                        <w:div w:id="233978378">
                                          <w:marLeft w:val="0"/>
                                          <w:marRight w:val="0"/>
                                          <w:marTop w:val="0"/>
                                          <w:marBottom w:val="0"/>
                                          <w:divBdr>
                                            <w:top w:val="none" w:sz="0" w:space="0" w:color="auto"/>
                                            <w:left w:val="none" w:sz="0" w:space="0" w:color="auto"/>
                                            <w:bottom w:val="none" w:sz="0" w:space="0" w:color="auto"/>
                                            <w:right w:val="none" w:sz="0" w:space="0" w:color="auto"/>
                                          </w:divBdr>
                                          <w:divsChild>
                                            <w:div w:id="1705010360">
                                              <w:marLeft w:val="0"/>
                                              <w:marRight w:val="0"/>
                                              <w:marTop w:val="0"/>
                                              <w:marBottom w:val="0"/>
                                              <w:divBdr>
                                                <w:top w:val="none" w:sz="0" w:space="0" w:color="auto"/>
                                                <w:left w:val="none" w:sz="0" w:space="0" w:color="auto"/>
                                                <w:bottom w:val="none" w:sz="0" w:space="0" w:color="auto"/>
                                                <w:right w:val="none" w:sz="0" w:space="0" w:color="auto"/>
                                              </w:divBdr>
                                              <w:divsChild>
                                                <w:div w:id="151335011">
                                                  <w:marLeft w:val="0"/>
                                                  <w:marRight w:val="0"/>
                                                  <w:marTop w:val="0"/>
                                                  <w:marBottom w:val="0"/>
                                                  <w:divBdr>
                                                    <w:top w:val="none" w:sz="0" w:space="0" w:color="auto"/>
                                                    <w:left w:val="none" w:sz="0" w:space="0" w:color="auto"/>
                                                    <w:bottom w:val="none" w:sz="0" w:space="0" w:color="auto"/>
                                                    <w:right w:val="none" w:sz="0" w:space="0" w:color="auto"/>
                                                  </w:divBdr>
                                                  <w:divsChild>
                                                    <w:div w:id="446774800">
                                                      <w:marLeft w:val="0"/>
                                                      <w:marRight w:val="0"/>
                                                      <w:marTop w:val="0"/>
                                                      <w:marBottom w:val="0"/>
                                                      <w:divBdr>
                                                        <w:top w:val="none" w:sz="0" w:space="0" w:color="auto"/>
                                                        <w:left w:val="none" w:sz="0" w:space="0" w:color="auto"/>
                                                        <w:bottom w:val="none" w:sz="0" w:space="0" w:color="auto"/>
                                                        <w:right w:val="none" w:sz="0" w:space="0" w:color="auto"/>
                                                      </w:divBdr>
                                                      <w:divsChild>
                                                        <w:div w:id="176141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051002">
      <w:bodyDiv w:val="1"/>
      <w:marLeft w:val="0"/>
      <w:marRight w:val="0"/>
      <w:marTop w:val="0"/>
      <w:marBottom w:val="0"/>
      <w:divBdr>
        <w:top w:val="none" w:sz="0" w:space="0" w:color="auto"/>
        <w:left w:val="none" w:sz="0" w:space="0" w:color="auto"/>
        <w:bottom w:val="none" w:sz="0" w:space="0" w:color="auto"/>
        <w:right w:val="none" w:sz="0" w:space="0" w:color="auto"/>
      </w:divBdr>
      <w:divsChild>
        <w:div w:id="1788349139">
          <w:marLeft w:val="0"/>
          <w:marRight w:val="0"/>
          <w:marTop w:val="0"/>
          <w:marBottom w:val="0"/>
          <w:divBdr>
            <w:top w:val="none" w:sz="0" w:space="0" w:color="auto"/>
            <w:left w:val="none" w:sz="0" w:space="0" w:color="auto"/>
            <w:bottom w:val="none" w:sz="0" w:space="0" w:color="auto"/>
            <w:right w:val="none" w:sz="0" w:space="0" w:color="auto"/>
          </w:divBdr>
          <w:divsChild>
            <w:div w:id="124538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86580948">
      <w:bodyDiv w:val="1"/>
      <w:marLeft w:val="0"/>
      <w:marRight w:val="0"/>
      <w:marTop w:val="0"/>
      <w:marBottom w:val="0"/>
      <w:divBdr>
        <w:top w:val="none" w:sz="0" w:space="0" w:color="auto"/>
        <w:left w:val="none" w:sz="0" w:space="0" w:color="auto"/>
        <w:bottom w:val="none" w:sz="0" w:space="0" w:color="auto"/>
        <w:right w:val="none" w:sz="0" w:space="0" w:color="auto"/>
      </w:divBdr>
      <w:divsChild>
        <w:div w:id="2090275610">
          <w:marLeft w:val="0"/>
          <w:marRight w:val="0"/>
          <w:marTop w:val="0"/>
          <w:marBottom w:val="0"/>
          <w:divBdr>
            <w:top w:val="none" w:sz="0" w:space="0" w:color="auto"/>
            <w:left w:val="none" w:sz="0" w:space="0" w:color="auto"/>
            <w:bottom w:val="none" w:sz="0" w:space="0" w:color="auto"/>
            <w:right w:val="none" w:sz="0" w:space="0" w:color="auto"/>
          </w:divBdr>
        </w:div>
      </w:divsChild>
    </w:div>
    <w:div w:id="1827672051">
      <w:bodyDiv w:val="1"/>
      <w:marLeft w:val="0"/>
      <w:marRight w:val="0"/>
      <w:marTop w:val="0"/>
      <w:marBottom w:val="0"/>
      <w:divBdr>
        <w:top w:val="none" w:sz="0" w:space="0" w:color="auto"/>
        <w:left w:val="none" w:sz="0" w:space="0" w:color="auto"/>
        <w:bottom w:val="none" w:sz="0" w:space="0" w:color="auto"/>
        <w:right w:val="none" w:sz="0" w:space="0" w:color="auto"/>
      </w:divBdr>
      <w:divsChild>
        <w:div w:id="1645967274">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2631960">
      <w:bodyDiv w:val="1"/>
      <w:marLeft w:val="0"/>
      <w:marRight w:val="0"/>
      <w:marTop w:val="0"/>
      <w:marBottom w:val="0"/>
      <w:divBdr>
        <w:top w:val="none" w:sz="0" w:space="0" w:color="auto"/>
        <w:left w:val="none" w:sz="0" w:space="0" w:color="auto"/>
        <w:bottom w:val="none" w:sz="0" w:space="0" w:color="auto"/>
        <w:right w:val="none" w:sz="0" w:space="0" w:color="auto"/>
      </w:divBdr>
      <w:divsChild>
        <w:div w:id="150803424">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_x0101_jas_x0020_sp_x0113_k_x0101_ xmlns="9bd55470-554b-43a4-a725-b11197aacd35">2023-05-16T21:00:00+00:00</St_x0101_jas_x0020_sp_x0113_k_x0101_>
    <Glab_x0101__x0161_anas_x0020_laiks_x0020_str_x002d_b_x0101_ xmlns="9bd55470-554b-43a4-a725-b11197aacd35">Aktuālā versija</Glab_x0101__x0161_anas_x0020_laiks_x0020_str_x002d_b_x0101_>
    <Par_x0020_glab_x0101__x0161_anu_x0020_atbild_x012b_gais_x0020__x0028_vieta_x0029_ xmlns="9bd55470-554b-43a4-a725-b11197aacd35" xsi:nil="true"/>
    <_dlc_DocId xmlns="39e29a67-14a6-4bd2-bf5c-c8d713f8fb27">JK72EMXWKVUQ-10-969</_dlc_DocId>
    <Numurs xmlns="9bd55470-554b-43a4-a725-b11197aacd35">F00 01</Numurs>
    <Apstiprin_x0101_ts_x0020_ar_x0020_INA xmlns="9bd55470-554b-43a4-a725-b11197aacd35" xsi:nil="true"/>
    <Proced_x016b_ras_x0020_Nr_x003a_ xmlns="8230fadb-9988-4f00-b353-34532af48b00">165</Proced_x016b_ras_x0020_Nr_x003a_>
    <_dlc_DocIdUrl xmlns="39e29a67-14a6-4bd2-bf5c-c8d713f8fb27">
      <Url>http://mansrs/ADR/_layouts/DocIdRedir.aspx?ID=JK72EMXWKVUQ-10-969</Url>
      <Description>JK72EMXWKVUQ-10-969</Description>
    </_dlc_DocIdUrl>
    <NrProc xmlns="978be6e4-f890-4aa0-9195-00aa98d15dd1" xsi:nil="true"/>
    <J_x0101_nodod_x0020_arh_x012b_v_x0101_ xmlns="9bd55470-554b-43a4-a725-b11197aacd35">false</J_x0101_nodod_x0020_arh_x012b_v_x0101_>
    <Piez_x012b_mes xmlns="9bd55470-554b-43a4-a725-b11197aacd35" xsi:nil="true"/>
    <Groz_x012b_ts xmlns="9bd55470-554b-43a4-a725-b11197aacd35" xsi:nil="true"/>
    <Veids xmlns="9bd55470-554b-43a4-a725-b11197aacd35">Veidlapa</Veids>
    <Glab_x0101__x0161_anas_x0020_form_x0101_ts xmlns="8230fadb-9988-4f00-b353-34532af48b00">Elektronisks</Glab_x0101__x0161_anas_x0020_form_x0101_ts>
    <Kategorija xmlns="8230fadb-9988-4f00-b353-34532af48b00">Procesa veidlapas</Kategorija>
    <Strukt_x016b_rvien_x012b_ba xmlns="8230fadb-9988-4f00-b353-34532af48b00">Dokumentu pārvaldības daļa</Strukt_x016b_rvien_x012b_ba>
    <Paraksts xmlns="8230fadb-9988-4f00-b353-34532af48b00">elektroniskais paraksts</Paraksts>
    <Glab_x0101__x0161_anas_x0020_vide xmlns="8230fadb-9988-4f00-b353-34532af48b00">Doclogix</Glab_x0101__x0161_anas_x0020_vi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6.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7562</Words>
  <Characters>42375</Characters>
  <Application>Microsoft Office Word</Application>
  <DocSecurity>4</DocSecurity>
  <Lines>353</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cp:revision>
  <cp:lastPrinted>2021-09-09T02:05:00Z</cp:lastPrinted>
  <dcterms:created xsi:type="dcterms:W3CDTF">2026-06-19T13:09:00Z</dcterms:created>
  <dcterms:modified xsi:type="dcterms:W3CDTF">2026-06-19T13:09:00Z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0x0101008C81B33102AA3E4EB9DDF0F3B02A8930</vt:lpwstr>
  </property>
</Properties>
</file>