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Pr="00A30B4E" w:rsidRDefault="007F3584" w:rsidP="007F3584">
      <w:pPr>
        <w:pStyle w:val="Default"/>
        <w:tabs>
          <w:tab w:val="left" w:pos="5387"/>
        </w:tabs>
        <w:ind w:right="2686"/>
        <w:jc w:val="both"/>
        <w:rPr>
          <w:i/>
          <w:iCs/>
        </w:rPr>
      </w:pPr>
    </w:p>
    <w:p w14:paraId="0C052C34" w14:textId="77777777" w:rsidR="005B07D3" w:rsidRPr="00A30B4E" w:rsidRDefault="005B07D3" w:rsidP="005B07D3">
      <w:pPr>
        <w:pStyle w:val="Default"/>
        <w:tabs>
          <w:tab w:val="left" w:pos="5387"/>
        </w:tabs>
        <w:ind w:right="4103"/>
        <w:jc w:val="both"/>
        <w:rPr>
          <w:i/>
          <w:iCs/>
          <w:lang w:val="en-GB"/>
        </w:rPr>
      </w:pPr>
      <w:r w:rsidRPr="00A30B4E">
        <w:rPr>
          <w:i/>
          <w:iCs/>
          <w:lang w:val="en-GB" w:bidi="en-GB"/>
        </w:rPr>
        <w:t>Regarding the requirements of the open procedure "Supply of buses" (ID No RS 2026/17)</w:t>
      </w:r>
    </w:p>
    <w:p w14:paraId="3D7D6E14" w14:textId="77777777" w:rsidR="005B07D3" w:rsidRPr="0006010A" w:rsidRDefault="005B07D3" w:rsidP="005B07D3">
      <w:pPr>
        <w:ind w:right="417"/>
        <w:rPr>
          <w:i/>
          <w:lang w:val="en-GB"/>
        </w:rPr>
      </w:pPr>
    </w:p>
    <w:p w14:paraId="0FF4CF08" w14:textId="77777777" w:rsidR="005B07D3" w:rsidRPr="0006010A" w:rsidRDefault="005B07D3" w:rsidP="005B07D3">
      <w:pPr>
        <w:tabs>
          <w:tab w:val="right" w:pos="9355"/>
        </w:tabs>
        <w:ind w:right="-45" w:firstLine="426"/>
        <w:jc w:val="both"/>
        <w:rPr>
          <w:lang w:val="en-GB"/>
        </w:rPr>
      </w:pPr>
      <w:r w:rsidRPr="0006010A">
        <w:rPr>
          <w:lang w:val="en-GB" w:bidi="en-GB"/>
        </w:rPr>
        <w:t xml:space="preserve">Riga Municipality Limited Liability Company (SIA) Rīgas </w:t>
      </w:r>
      <w:proofErr w:type="spellStart"/>
      <w:r w:rsidRPr="0006010A">
        <w:rPr>
          <w:lang w:val="en-GB" w:bidi="en-GB"/>
        </w:rPr>
        <w:t>satiksme</w:t>
      </w:r>
      <w:proofErr w:type="spellEnd"/>
      <w:r w:rsidRPr="0006010A">
        <w:rPr>
          <w:lang w:val="en-GB" w:bidi="en-GB"/>
        </w:rPr>
        <w:t xml:space="preserv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3DB7309C" w14:textId="77777777" w:rsidR="005B07D3" w:rsidRPr="0006010A" w:rsidRDefault="005B07D3" w:rsidP="005B07D3">
      <w:pPr>
        <w:ind w:right="-8"/>
        <w:jc w:val="both"/>
        <w:rPr>
          <w:lang w:val="en-GB"/>
        </w:rPr>
      </w:pPr>
    </w:p>
    <w:p w14:paraId="37D0AE2F" w14:textId="77777777" w:rsidR="005B07D3" w:rsidRPr="0006010A" w:rsidRDefault="005B07D3" w:rsidP="005B07D3">
      <w:pPr>
        <w:ind w:right="-8"/>
        <w:jc w:val="both"/>
        <w:rPr>
          <w:b/>
          <w:bCs/>
          <w:lang w:val="en-GB"/>
        </w:rPr>
      </w:pPr>
      <w:r w:rsidRPr="0006010A">
        <w:rPr>
          <w:b/>
          <w:lang w:val="en-GB" w:bidi="en-GB"/>
        </w:rPr>
        <w:t>Question 1:</w:t>
      </w:r>
    </w:p>
    <w:p w14:paraId="5BB70EEC" w14:textId="77777777" w:rsidR="005B07D3" w:rsidRPr="0006010A" w:rsidRDefault="005B07D3" w:rsidP="005B07D3">
      <w:pPr>
        <w:ind w:right="-8" w:firstLine="720"/>
        <w:jc w:val="both"/>
        <w:rPr>
          <w:lang w:val="en-GB"/>
        </w:rPr>
      </w:pPr>
      <w:r w:rsidRPr="0006010A">
        <w:rPr>
          <w:lang w:val="en-GB" w:bidi="en-GB"/>
        </w:rPr>
        <w:t>The minimum annual financial turnover requirements (EUR 30,000,000 and EUR 60,000,000 respectively) set out in Paragraphs 15.2 and 15.3 of the Regulations are intended to demonstrate the Tenderer's financial stability and capacity to perform the procurement contract. We respectfully request that the Contracting Authority reconsider these requirements in the light of two important considerations.</w:t>
      </w:r>
    </w:p>
    <w:p w14:paraId="18C46960" w14:textId="77777777" w:rsidR="005B07D3" w:rsidRPr="0006010A" w:rsidRDefault="005B07D3" w:rsidP="005B07D3">
      <w:pPr>
        <w:ind w:right="-8" w:firstLine="720"/>
        <w:jc w:val="both"/>
        <w:rPr>
          <w:lang w:val="en-GB"/>
        </w:rPr>
      </w:pPr>
      <w:r w:rsidRPr="0006010A">
        <w:rPr>
          <w:lang w:val="en-GB" w:bidi="en-GB"/>
        </w:rPr>
        <w:t>First, the Contracting Authority is already adequately protected against the risk of non-performance of the contract through the instruments provided for in the Regulations, namely a tender guarantee and a performance guarantee amounting to 10% of the contract value, issued by a bank or an insurance undertaking. It is these instruments that actually protect the Contracting Authority in the event of a risk. The Tenderer’s ability to obtain such a guarantee already demonstrates that its financial standing has been assessed by the relevant financial institution. In light of the safeguards already provided by these mechanisms, please explain what additional protection the turnover requirement is intended to provide beyond that already afforded by those instruments.</w:t>
      </w:r>
    </w:p>
    <w:p w14:paraId="420B4218" w14:textId="77777777" w:rsidR="005B07D3" w:rsidRPr="0006010A" w:rsidRDefault="005B07D3" w:rsidP="005B07D3">
      <w:pPr>
        <w:ind w:right="-8" w:firstLine="720"/>
        <w:jc w:val="both"/>
        <w:rPr>
          <w:lang w:val="en-GB"/>
        </w:rPr>
      </w:pPr>
      <w:r w:rsidRPr="0006010A">
        <w:rPr>
          <w:lang w:val="en-GB" w:bidi="en-GB"/>
        </w:rPr>
        <w:t>Second, financial turnover is not a reliable indicator of a company's financial stability. A company with an annual turnover of EUR 60,000,000 may nevertheless operate at a substantial loss, whereas a company with an annual turnover of EUR 20,000,000 may be financially stable, profitable and, in practice, a more reliable business partner. If the objective is to assess the Tenderer’s financial stability, more reliable indicators would include, for example, equity, liquidity ratios and profitability ratios. Indeed, such indicators are already addressed through a separate qualification requirement set out in paragraph 15.1 of the Regulations.</w:t>
      </w:r>
    </w:p>
    <w:p w14:paraId="44F371BA" w14:textId="77777777" w:rsidR="005B07D3" w:rsidRPr="0006010A" w:rsidRDefault="005B07D3" w:rsidP="005B07D3">
      <w:pPr>
        <w:ind w:right="-8" w:firstLine="720"/>
        <w:jc w:val="both"/>
        <w:rPr>
          <w:lang w:val="en-GB"/>
        </w:rPr>
      </w:pPr>
      <w:r w:rsidRPr="0006010A">
        <w:rPr>
          <w:lang w:val="en-GB" w:bidi="en-GB"/>
        </w:rPr>
        <w:t>In light of the above, we respectfully request that the Contracting Authority reconsider the turnover thresholds set out in paragraphs 15.2 and 15.3 of the Regulations, either by lowering them or by replacing them with an alternative mechanism for demonstrating financial capability that more accurately reflects the Tenderer’s financial stability and does not exclude manufacturers who may be more financially stable than others but operate in a narrower market segment with a lower overall turnover.</w:t>
      </w:r>
    </w:p>
    <w:p w14:paraId="4A5ED2B3" w14:textId="77777777" w:rsidR="005B07D3" w:rsidRPr="0006010A" w:rsidRDefault="005B07D3" w:rsidP="005B07D3">
      <w:pPr>
        <w:ind w:right="-8"/>
        <w:jc w:val="both"/>
        <w:rPr>
          <w:i/>
          <w:iCs/>
          <w:lang w:val="en-GB"/>
        </w:rPr>
      </w:pPr>
    </w:p>
    <w:p w14:paraId="32C5E69C" w14:textId="77777777" w:rsidR="005B07D3" w:rsidRPr="0006010A" w:rsidRDefault="005B07D3" w:rsidP="005B07D3">
      <w:pPr>
        <w:ind w:right="-8"/>
        <w:jc w:val="both"/>
        <w:rPr>
          <w:b/>
          <w:bCs/>
          <w:lang w:val="en-GB"/>
        </w:rPr>
      </w:pPr>
      <w:r w:rsidRPr="0006010A">
        <w:rPr>
          <w:b/>
          <w:lang w:val="en-GB" w:bidi="en-GB"/>
        </w:rPr>
        <w:t>Answer 1:</w:t>
      </w:r>
    </w:p>
    <w:p w14:paraId="6D2CB062" w14:textId="77777777" w:rsidR="005B07D3" w:rsidRPr="0006010A" w:rsidRDefault="005B07D3" w:rsidP="005B07D3">
      <w:pPr>
        <w:ind w:right="-8" w:firstLine="720"/>
        <w:jc w:val="both"/>
        <w:rPr>
          <w:lang w:val="en-GB"/>
        </w:rPr>
      </w:pPr>
      <w:r w:rsidRPr="0006010A">
        <w:rPr>
          <w:lang w:val="en-GB" w:bidi="en-GB"/>
        </w:rPr>
        <w:t>Having assessed the proposal, the Contracting Authority considers that the minimum annual turnover requirements (EUR 30,000,000 and EUR 60,000,000 respectively) are necessary to ensure that the Tenderer possesses sufficient financial capacity and stability to perform the procurement contract successfully and within the required timeframe, taking into account the scale, complexity and associated risks of the procurement.</w:t>
      </w:r>
    </w:p>
    <w:p w14:paraId="667784E7" w14:textId="77777777" w:rsidR="005B07D3" w:rsidRPr="0006010A" w:rsidRDefault="005B07D3" w:rsidP="005B07D3">
      <w:pPr>
        <w:ind w:right="-8" w:firstLine="720"/>
        <w:jc w:val="both"/>
        <w:rPr>
          <w:lang w:val="en-GB"/>
        </w:rPr>
      </w:pPr>
      <w:r w:rsidRPr="0006010A">
        <w:rPr>
          <w:lang w:val="en-GB" w:bidi="en-GB"/>
        </w:rPr>
        <w:lastRenderedPageBreak/>
        <w:t>The tender guarantee and the performance guarantee do not replace the requirement for the Tenderer to demonstrate sufficient economic and financial capacity. The turnover requirement serves as an additional indicator of the Tenderer’s scale of operations, market experience, and capacity to manage substantial financial and operational resources simultaneously.</w:t>
      </w:r>
    </w:p>
    <w:p w14:paraId="123281F0" w14:textId="77777777" w:rsidR="005B07D3" w:rsidRPr="0006010A" w:rsidRDefault="005B07D3" w:rsidP="005B07D3">
      <w:pPr>
        <w:ind w:right="-8" w:firstLine="720"/>
        <w:jc w:val="both"/>
        <w:rPr>
          <w:lang w:val="en-GB"/>
        </w:rPr>
      </w:pPr>
      <w:r w:rsidRPr="0006010A">
        <w:rPr>
          <w:lang w:val="en-GB" w:bidi="en-GB"/>
        </w:rPr>
        <w:t>At the same time, the Contracting Authority notes that the assessment of financial stability under the Regulations is based on a combination of criteria, including other financial indicators (such as the requirements set out in Paragraph 15.1 of the Regulations). The turnover requirement therefore constitutes only one of several complementary assessment criteria and is not the sole determinant of the Tenderer’s financial standing.</w:t>
      </w:r>
    </w:p>
    <w:p w14:paraId="36AF9CDE" w14:textId="77777777" w:rsidR="005B07D3" w:rsidRPr="0006010A" w:rsidRDefault="005B07D3" w:rsidP="005B07D3">
      <w:pPr>
        <w:ind w:right="-8" w:firstLine="720"/>
        <w:jc w:val="both"/>
        <w:rPr>
          <w:lang w:val="en-GB"/>
        </w:rPr>
      </w:pPr>
      <w:r w:rsidRPr="0006010A">
        <w:rPr>
          <w:lang w:val="en-GB" w:bidi="en-GB"/>
        </w:rPr>
        <w:t xml:space="preserve">In addition, the Contracting Authority informs that the minimum annual financial turnover requirement is based on </w:t>
      </w:r>
      <w:r w:rsidRPr="0006010A">
        <w:rPr>
          <w:b/>
          <w:lang w:val="en-GB" w:bidi="en-GB"/>
        </w:rPr>
        <w:t>Section 51 of the Law on the Procurements of Public Service Providers</w:t>
      </w:r>
      <w:r w:rsidRPr="0006010A">
        <w:rPr>
          <w:lang w:val="en-GB" w:bidi="en-GB"/>
        </w:rPr>
        <w:t>, which expressly provides for the right of the Contracting Authority to impose requirements on the economic and financial standing of the Supplier, including the Supplier's minimum annual financial turnover. At the same time, the requirement complies with the principle of proportionality enshrined in the second paragraph of that Section.</w:t>
      </w:r>
    </w:p>
    <w:p w14:paraId="0A21D1D6" w14:textId="77777777" w:rsidR="005B07D3" w:rsidRPr="0006010A" w:rsidRDefault="005B07D3" w:rsidP="005B07D3">
      <w:pPr>
        <w:ind w:right="-8" w:firstLine="720"/>
        <w:jc w:val="both"/>
        <w:rPr>
          <w:lang w:val="en-GB"/>
        </w:rPr>
      </w:pPr>
      <w:r w:rsidRPr="0006010A">
        <w:rPr>
          <w:lang w:val="en-GB" w:bidi="en-GB"/>
        </w:rPr>
        <w:t>In light of the foregoing, the Contracting Authority considers that the requirements are objective, proportionate and justified having regard to the nature, scope and complexity of the procurement. Accordingly, the Contracting Authority does not intend to amend them.</w:t>
      </w:r>
    </w:p>
    <w:p w14:paraId="4E7BA268" w14:textId="77777777" w:rsidR="005B07D3" w:rsidRPr="0006010A" w:rsidRDefault="005B07D3" w:rsidP="005B07D3">
      <w:pPr>
        <w:rPr>
          <w:b/>
          <w:bCs/>
          <w:lang w:val="en-GB"/>
        </w:rPr>
      </w:pPr>
    </w:p>
    <w:p w14:paraId="78125B4D" w14:textId="77777777" w:rsidR="005B07D3" w:rsidRPr="0006010A" w:rsidRDefault="005B07D3" w:rsidP="005B07D3">
      <w:pPr>
        <w:ind w:right="-8"/>
        <w:jc w:val="both"/>
        <w:rPr>
          <w:b/>
          <w:bCs/>
          <w:lang w:val="en-GB"/>
        </w:rPr>
      </w:pPr>
    </w:p>
    <w:p w14:paraId="73458BE9" w14:textId="77777777" w:rsidR="005B07D3" w:rsidRPr="0006010A" w:rsidRDefault="005B07D3" w:rsidP="005B07D3">
      <w:pPr>
        <w:ind w:right="-8"/>
        <w:jc w:val="both"/>
        <w:rPr>
          <w:b/>
          <w:bCs/>
          <w:lang w:val="en-GB"/>
        </w:rPr>
      </w:pPr>
      <w:r w:rsidRPr="0006010A">
        <w:rPr>
          <w:b/>
          <w:lang w:val="en-GB" w:bidi="en-GB"/>
        </w:rPr>
        <w:t>Question 2:</w:t>
      </w:r>
    </w:p>
    <w:p w14:paraId="4E155C0F" w14:textId="77777777" w:rsidR="005B07D3" w:rsidRPr="0006010A" w:rsidRDefault="005B07D3" w:rsidP="005B07D3">
      <w:pPr>
        <w:ind w:right="-8" w:firstLine="720"/>
        <w:jc w:val="both"/>
        <w:rPr>
          <w:lang w:val="en-GB"/>
        </w:rPr>
      </w:pPr>
      <w:r w:rsidRPr="0006010A">
        <w:rPr>
          <w:lang w:val="en-GB" w:bidi="en-GB"/>
        </w:rPr>
        <w:t>Paragraph 37 of the Regulations provides that, where a tender is submitted by an association of Suppliers and that association is declared the successful Tenderer, its members must, prior to the conclusion of the procurement contract, comply with one of the following requirements: (a) establish a general partnership registered with the Register of Enterprises of the Republic of Latvia or the relevant foreign register and submit a copy of the partnership agreement; or (b) conclude a consortium agreement setting out the allocation of responsibilities among the members of the association and submit a copy of that agreement to the Contracting Authority.</w:t>
      </w:r>
    </w:p>
    <w:p w14:paraId="24799360" w14:textId="77777777" w:rsidR="005B07D3" w:rsidRPr="0006010A" w:rsidRDefault="005B07D3" w:rsidP="005B07D3">
      <w:pPr>
        <w:ind w:right="-8" w:firstLine="720"/>
        <w:jc w:val="both"/>
        <w:rPr>
          <w:lang w:val="en-GB"/>
        </w:rPr>
      </w:pPr>
      <w:r w:rsidRPr="0006010A">
        <w:rPr>
          <w:lang w:val="en-GB" w:bidi="en-GB"/>
        </w:rPr>
        <w:t>We understand from the wording of the paragraph that the two options are equivalent alternatives and that the Contracting Authority can accept either of them – i.e. the association is not obliged to register with the Register of Enterprises if it submits a company contract with a clear division of responsibilities between the members. We ask the Contracting Authority to confirm this understanding and clarify whether there are any additional conditions or circumstances in which the Contracting Authority might prefer or require the formation of a registered general partnership.</w:t>
      </w:r>
    </w:p>
    <w:p w14:paraId="6717A13D" w14:textId="77777777" w:rsidR="005B07D3" w:rsidRPr="0006010A" w:rsidRDefault="005B07D3" w:rsidP="005B07D3">
      <w:pPr>
        <w:ind w:right="-8" w:firstLine="720"/>
        <w:jc w:val="both"/>
        <w:rPr>
          <w:i/>
          <w:iCs/>
          <w:lang w:val="en-GB"/>
        </w:rPr>
      </w:pPr>
    </w:p>
    <w:p w14:paraId="1091996C" w14:textId="77777777" w:rsidR="005B07D3" w:rsidRPr="0006010A" w:rsidRDefault="005B07D3" w:rsidP="005B07D3">
      <w:pPr>
        <w:ind w:right="-8"/>
        <w:jc w:val="both"/>
        <w:rPr>
          <w:b/>
          <w:bCs/>
          <w:lang w:val="en-GB"/>
        </w:rPr>
      </w:pPr>
      <w:r w:rsidRPr="0006010A">
        <w:rPr>
          <w:b/>
          <w:lang w:val="en-GB" w:bidi="en-GB"/>
        </w:rPr>
        <w:t>Answer 2:</w:t>
      </w:r>
    </w:p>
    <w:p w14:paraId="3CB78C2B" w14:textId="77777777" w:rsidR="005B07D3" w:rsidRPr="0006010A" w:rsidRDefault="005B07D3" w:rsidP="005B07D3">
      <w:pPr>
        <w:pStyle w:val="NormalWeb"/>
        <w:spacing w:before="0" w:beforeAutospacing="0" w:after="0" w:afterAutospacing="0" w:line="300" w:lineRule="atLeast"/>
        <w:ind w:firstLine="720"/>
        <w:jc w:val="both"/>
        <w:rPr>
          <w:lang w:val="en-GB"/>
        </w:rPr>
      </w:pPr>
      <w:r w:rsidRPr="0006010A">
        <w:rPr>
          <w:lang w:val="en-GB" w:bidi="en-GB"/>
        </w:rPr>
        <w:t>The Contracting Authority confirms that the options set out in paragraph 37 of the Regulations are mutually equivalent alternatives and that it has no preference as to which of them the association of Suppliers chooses.</w:t>
      </w:r>
    </w:p>
    <w:p w14:paraId="6D23D4EC" w14:textId="32161CEF" w:rsidR="005B07D3" w:rsidRPr="00C96897" w:rsidRDefault="005B07D3" w:rsidP="00C96897">
      <w:pPr>
        <w:pStyle w:val="NormalWeb"/>
        <w:spacing w:before="0" w:beforeAutospacing="0" w:line="300" w:lineRule="atLeast"/>
        <w:ind w:firstLine="720"/>
        <w:jc w:val="both"/>
        <w:rPr>
          <w:lang w:val="en-GB"/>
        </w:rPr>
      </w:pPr>
      <w:r w:rsidRPr="0006010A">
        <w:rPr>
          <w:lang w:val="en-GB" w:bidi="en-GB"/>
        </w:rPr>
        <w:t>Accordingly, the Contracting Authority confirms that an association is not required to register as a general partnership in the Register of Enterprises if it chooses instead to conclude a memorandum of association that clearly defines the responsibilities of the members of the association and is submitted to the Contracting Authority.</w:t>
      </w:r>
    </w:p>
    <w:p w14:paraId="12AC4983" w14:textId="77777777" w:rsidR="005B07D3" w:rsidRPr="0006010A" w:rsidRDefault="005B07D3" w:rsidP="005B07D3">
      <w:pPr>
        <w:pStyle w:val="Tabulasheader"/>
        <w:spacing w:before="0" w:after="0"/>
        <w:ind w:right="-7" w:firstLine="720"/>
        <w:jc w:val="both"/>
        <w:rPr>
          <w:rFonts w:ascii="Times New Roman" w:hAnsi="Times New Roman" w:cs="Times New Roman"/>
          <w:b w:val="0"/>
          <w:bCs w:val="0"/>
          <w:sz w:val="24"/>
          <w:szCs w:val="24"/>
          <w:lang w:val="en-GB"/>
        </w:rPr>
      </w:pPr>
    </w:p>
    <w:p w14:paraId="768CF017" w14:textId="77777777" w:rsidR="005B07D3" w:rsidRPr="0006010A" w:rsidRDefault="005B07D3" w:rsidP="005B07D3">
      <w:pPr>
        <w:ind w:right="-8"/>
        <w:jc w:val="both"/>
        <w:rPr>
          <w:b/>
          <w:bCs/>
          <w:lang w:val="en-GB"/>
        </w:rPr>
      </w:pPr>
      <w:r w:rsidRPr="0006010A">
        <w:rPr>
          <w:b/>
          <w:lang w:val="en-GB" w:bidi="en-GB"/>
        </w:rPr>
        <w:t>Question 3:</w:t>
      </w:r>
    </w:p>
    <w:p w14:paraId="17E3A9D4" w14:textId="77777777" w:rsidR="005B07D3" w:rsidRPr="0006010A" w:rsidRDefault="005B07D3" w:rsidP="005B07D3">
      <w:pPr>
        <w:ind w:right="-8" w:firstLine="720"/>
        <w:jc w:val="both"/>
        <w:rPr>
          <w:lang w:val="en-GB"/>
        </w:rPr>
      </w:pPr>
      <w:r w:rsidRPr="0006010A">
        <w:rPr>
          <w:lang w:val="en-GB" w:bidi="en-GB"/>
        </w:rPr>
        <w:t xml:space="preserve">Paragraph 15.4 of the Regulations provides that a Tenderer wishing to rely on the economic and financial capacity of another person must demonstrate to the Contracting Authority that the necessary resources will be available to it by submitting an appropriate undertaking or cooperation agreement. The second sentence of that Paragraph further requires that the Tenderer and the person on whose capacity it relies be jointly and severally liable for the performance of the procurement </w:t>
      </w:r>
      <w:r w:rsidRPr="0006010A">
        <w:rPr>
          <w:lang w:val="en-GB" w:bidi="en-GB"/>
        </w:rPr>
        <w:lastRenderedPageBreak/>
        <w:t>contract. However, paragraphs 17.1.5 and 17.2.5 of the Regulations, which govern reliance on the technical and professional capacity (experience) of another person, require only the submission of a certificate or cooperation agreement, without imposing any requirement for joint and several liability.</w:t>
      </w:r>
    </w:p>
    <w:p w14:paraId="13F6ED14" w14:textId="77777777" w:rsidR="005B07D3" w:rsidRPr="0006010A" w:rsidRDefault="005B07D3" w:rsidP="005B07D3">
      <w:pPr>
        <w:ind w:right="-8" w:firstLine="720"/>
        <w:jc w:val="both"/>
        <w:rPr>
          <w:lang w:val="en-GB"/>
        </w:rPr>
      </w:pPr>
      <w:r w:rsidRPr="0006010A">
        <w:rPr>
          <w:lang w:val="en-GB" w:bidi="en-GB"/>
        </w:rPr>
        <w:t>This asymmetry raises a number of practical issues. In the case of financial capacity, the requirement for joint and several liability is substantively identical to that imposed on a member of an association, which de facto means that a Tenderer wishing to rely on the financial capacity of another person is required to assume the obligations inherent in an association, even where no association is formally established. In contrast, a Tenderer who relies on the experience of another person may remain as a single Tenderer without such additional conditions. In addition, the Regulations do not provide a clear answer to the question of whether a person on whose capacity a Tenderer relies, whether in relation to financial capacity or experience, is considered a subcontractor for the purposes of this procurement and is therefore subject to the requirements of Paragraph 16.2 of the Regulations (submission of a cooperation agreement specifying the type of services to be provided and their value in monetary terms) and to the assessment of exclusion grounds.</w:t>
      </w:r>
    </w:p>
    <w:p w14:paraId="02F1E18D" w14:textId="77777777" w:rsidR="005B07D3" w:rsidRPr="0006010A" w:rsidRDefault="005B07D3" w:rsidP="005B07D3">
      <w:pPr>
        <w:ind w:right="-8" w:firstLine="720"/>
        <w:jc w:val="both"/>
        <w:rPr>
          <w:lang w:val="en-GB"/>
        </w:rPr>
      </w:pPr>
      <w:r w:rsidRPr="0006010A">
        <w:rPr>
          <w:lang w:val="en-GB" w:bidi="en-GB"/>
        </w:rPr>
        <w:t>Paragraph 18.7 of the Regulations stipulates that if the Tenderer intends to use a subcontractor whose value of the services to be provided is at least EUR 10,000, a copy of the agreement referred to in Paragraph 16.2 of the Regulations must be provided. At the same time, for the purposes of Law on the Procurements of Public Service Providers, a subcontractor is any person who provides services necessary for the performance of a contract concluded by the Contracting Authority, regardless of the legal form of such cooperation. It is therefore unclear whether a person on whose capacity a Tenderer relies, and who is also likely to participate in the performance of the contract, automatically acquires the status of a subcontractor, together with all the documentary and verification requirements that such status entails.</w:t>
      </w:r>
    </w:p>
    <w:p w14:paraId="14668410" w14:textId="77777777" w:rsidR="005B07D3" w:rsidRPr="0006010A" w:rsidRDefault="005B07D3" w:rsidP="005B07D3">
      <w:pPr>
        <w:ind w:right="-8" w:firstLine="720"/>
        <w:jc w:val="both"/>
        <w:rPr>
          <w:lang w:val="en-GB"/>
        </w:rPr>
      </w:pPr>
      <w:r w:rsidRPr="0006010A">
        <w:rPr>
          <w:lang w:val="en-GB" w:bidi="en-GB"/>
        </w:rPr>
        <w:t>In the light of the above, we ask the Contracting Authority to clarify:</w:t>
      </w:r>
    </w:p>
    <w:p w14:paraId="3BE5293D" w14:textId="77777777" w:rsidR="005B07D3" w:rsidRPr="0006010A" w:rsidRDefault="005B07D3" w:rsidP="005B07D3">
      <w:pPr>
        <w:ind w:right="-8" w:firstLine="720"/>
        <w:jc w:val="both"/>
        <w:rPr>
          <w:lang w:val="en-GB"/>
        </w:rPr>
      </w:pPr>
      <w:r w:rsidRPr="0006010A">
        <w:rPr>
          <w:lang w:val="en-GB" w:bidi="en-GB"/>
        </w:rPr>
        <w:t>(1) whether a Tenderer who relies on the financial capacity of another person and assumes joint and several liability but does not formally form an association of Suppliers is treated as an association or as a single Tenderer with a support structure;</w:t>
      </w:r>
    </w:p>
    <w:p w14:paraId="616BE851" w14:textId="77777777" w:rsidR="005B07D3" w:rsidRPr="0006010A" w:rsidRDefault="005B07D3" w:rsidP="005B07D3">
      <w:pPr>
        <w:ind w:right="-8" w:firstLine="720"/>
        <w:jc w:val="both"/>
        <w:rPr>
          <w:lang w:val="en-GB"/>
        </w:rPr>
      </w:pPr>
      <w:r w:rsidRPr="0006010A">
        <w:rPr>
          <w:lang w:val="en-GB" w:bidi="en-GB"/>
        </w:rPr>
        <w:t>(2) whether the person on whose technical and professional ability (experience) the Tenderer relies is considered for the purposes of this procurement as a subcontractor subject to the requirements of Paragraph 16.2 of the Regulations and to the examination of the conditions for exclusion;</w:t>
      </w:r>
    </w:p>
    <w:p w14:paraId="03BC5F7E" w14:textId="77777777" w:rsidR="005B07D3" w:rsidRPr="0006010A" w:rsidRDefault="005B07D3" w:rsidP="005B07D3">
      <w:pPr>
        <w:ind w:right="-8" w:firstLine="720"/>
        <w:jc w:val="both"/>
        <w:rPr>
          <w:lang w:val="en-GB"/>
        </w:rPr>
      </w:pPr>
      <w:r w:rsidRPr="0006010A">
        <w:rPr>
          <w:lang w:val="en-GB" w:bidi="en-GB"/>
        </w:rPr>
        <w:t>(3) If, for example, the Tenderer is a Supplier and the manufacturer is a subcontractor, how should the scope of work to be carried out by the subcontractor be indicated on the basis of Paragraph 16.2?</w:t>
      </w:r>
    </w:p>
    <w:p w14:paraId="6CA8261C" w14:textId="77777777" w:rsidR="005B07D3" w:rsidRPr="0006010A" w:rsidRDefault="005B07D3" w:rsidP="005B07D3">
      <w:pPr>
        <w:pStyle w:val="ListParagraph"/>
        <w:ind w:right="-8"/>
        <w:jc w:val="both"/>
        <w:rPr>
          <w:i/>
          <w:iCs/>
          <w:lang w:val="en-GB"/>
        </w:rPr>
      </w:pPr>
    </w:p>
    <w:p w14:paraId="09CAE900" w14:textId="77777777" w:rsidR="005B07D3" w:rsidRPr="0006010A" w:rsidRDefault="005B07D3" w:rsidP="005B07D3">
      <w:pPr>
        <w:ind w:right="-8"/>
        <w:jc w:val="both"/>
        <w:rPr>
          <w:b/>
          <w:bCs/>
          <w:lang w:val="en-GB"/>
        </w:rPr>
      </w:pPr>
      <w:r w:rsidRPr="0006010A">
        <w:rPr>
          <w:b/>
          <w:lang w:val="en-GB" w:bidi="en-GB"/>
        </w:rPr>
        <w:t>Answer 3:</w:t>
      </w:r>
    </w:p>
    <w:p w14:paraId="48595CF9" w14:textId="77777777" w:rsidR="005B07D3" w:rsidRPr="0006010A" w:rsidRDefault="005B07D3" w:rsidP="005B07D3">
      <w:pPr>
        <w:ind w:right="-8"/>
        <w:jc w:val="both"/>
        <w:rPr>
          <w:rStyle w:val="Strong"/>
          <w:lang w:val="en-GB"/>
        </w:rPr>
      </w:pPr>
      <w:r w:rsidRPr="0006010A">
        <w:rPr>
          <w:rStyle w:val="Strong"/>
          <w:lang w:val="en-GB" w:bidi="en-GB"/>
        </w:rPr>
        <w:t>As regards the first part of the question:</w:t>
      </w:r>
    </w:p>
    <w:p w14:paraId="27508A3C" w14:textId="77777777" w:rsidR="005B07D3" w:rsidRPr="0006010A" w:rsidRDefault="005B07D3" w:rsidP="005B07D3">
      <w:pPr>
        <w:ind w:right="-8" w:firstLine="720"/>
        <w:jc w:val="both"/>
        <w:rPr>
          <w:b/>
          <w:bCs/>
          <w:lang w:val="en-GB"/>
        </w:rPr>
      </w:pPr>
      <w:r w:rsidRPr="0006010A">
        <w:rPr>
          <w:lang w:val="en-GB" w:bidi="en-GB"/>
        </w:rPr>
        <w:t>We clarify that a Tenderer relying on the economic and financial capacity of another person shall, in accordance with Section 51 Paragraph eight of the Law on the Procurements of Public Service Providers, remain a single Tenderer and shall not be treated as an association of Suppliers. The requirement for joint and several liability in this case does not create an association, but rather serves as a legal mechanism to ensure that the Contracting Authority has recourse against both parties in the event of a breach of contract.</w:t>
      </w:r>
      <w:r w:rsidRPr="0006010A">
        <w:rPr>
          <w:lang w:val="en-GB" w:bidi="en-GB"/>
        </w:rPr>
        <w:br/>
        <w:t>Therefore, in such a situation, it is a single applicant with a supporting person and not an association of Suppliers. In addition, we note that the Contracting Authority will be entitled to identify in the procurement contract the person on whose economic and financial capacity the Tenderer relies, thereby ensuring that the issue of joint and several liability is also addressed in the procurement contract.</w:t>
      </w:r>
    </w:p>
    <w:p w14:paraId="57D3E81A" w14:textId="77777777" w:rsidR="005B07D3" w:rsidRPr="0006010A" w:rsidRDefault="005B07D3" w:rsidP="005B07D3">
      <w:pPr>
        <w:pStyle w:val="NormalWeb"/>
        <w:spacing w:after="0" w:afterAutospacing="0" w:line="300" w:lineRule="atLeast"/>
        <w:jc w:val="both"/>
        <w:rPr>
          <w:lang w:val="en-GB"/>
        </w:rPr>
      </w:pPr>
      <w:r w:rsidRPr="0006010A">
        <w:rPr>
          <w:rStyle w:val="Strong"/>
          <w:lang w:val="en-GB" w:bidi="en-GB"/>
        </w:rPr>
        <w:t>As regards the second part of the question:</w:t>
      </w:r>
    </w:p>
    <w:p w14:paraId="777C1225" w14:textId="77777777" w:rsidR="005B07D3" w:rsidRPr="0006010A" w:rsidRDefault="005B07D3" w:rsidP="005B07D3">
      <w:pPr>
        <w:spacing w:line="300" w:lineRule="atLeast"/>
        <w:ind w:firstLine="720"/>
        <w:jc w:val="both"/>
        <w:rPr>
          <w:lang w:val="en-GB"/>
        </w:rPr>
      </w:pPr>
      <w:r w:rsidRPr="0006010A">
        <w:rPr>
          <w:lang w:val="en-GB" w:bidi="en-GB"/>
        </w:rPr>
        <w:lastRenderedPageBreak/>
        <w:t xml:space="preserve">In accordance with Paragraphs 17.1.5 and 17.2.5 of the Regulations, a Tenderer may rely on the technical and professional capacity of another person only if that person will, in the performance of the procurement contract, provide the services </w:t>
      </w:r>
      <w:r w:rsidRPr="0006010A">
        <w:rPr>
          <w:b/>
          <w:lang w:val="en-GB" w:bidi="en-GB"/>
        </w:rPr>
        <w:t>(participate in the performance of the contract)</w:t>
      </w:r>
      <w:r w:rsidRPr="0006010A">
        <w:rPr>
          <w:lang w:val="en-GB" w:bidi="en-GB"/>
        </w:rPr>
        <w:t xml:space="preserve"> for which that capacity is required. Where applicable, if a person </w:t>
      </w:r>
      <w:r w:rsidRPr="0006010A">
        <w:rPr>
          <w:rStyle w:val="Strong"/>
          <w:lang w:val="en-GB" w:bidi="en-GB"/>
        </w:rPr>
        <w:t>participates in the performance of the contract</w:t>
      </w:r>
      <w:r w:rsidRPr="0006010A">
        <w:rPr>
          <w:lang w:val="en-GB" w:bidi="en-GB"/>
        </w:rPr>
        <w:t>, that person shall be considered a subcontractor for the purposes of the procurement procedure and the Law on the Procurement of Public Service Providers and shall be subject to the requirements of Paragraph 16.2 of the Regulations and to the assessment of exclusion grounds.</w:t>
      </w:r>
    </w:p>
    <w:p w14:paraId="6DD11A70" w14:textId="77777777" w:rsidR="005B07D3" w:rsidRPr="0006010A" w:rsidRDefault="005B07D3" w:rsidP="005B07D3">
      <w:pPr>
        <w:pStyle w:val="NormalWeb"/>
        <w:spacing w:before="0" w:beforeAutospacing="0" w:line="300" w:lineRule="atLeast"/>
        <w:ind w:firstLine="360"/>
        <w:jc w:val="both"/>
        <w:rPr>
          <w:lang w:val="en-GB"/>
        </w:rPr>
      </w:pPr>
    </w:p>
    <w:p w14:paraId="09F0246A" w14:textId="77777777" w:rsidR="005B07D3" w:rsidRPr="0006010A" w:rsidRDefault="005B07D3" w:rsidP="005B07D3">
      <w:pPr>
        <w:pStyle w:val="NormalWeb"/>
        <w:spacing w:before="0" w:beforeAutospacing="0" w:after="0" w:afterAutospacing="0" w:line="300" w:lineRule="atLeast"/>
        <w:jc w:val="both"/>
        <w:rPr>
          <w:rStyle w:val="Strong"/>
          <w:lang w:val="en-GB"/>
        </w:rPr>
      </w:pPr>
      <w:r w:rsidRPr="0006010A">
        <w:rPr>
          <w:rStyle w:val="Strong"/>
          <w:lang w:val="en-GB" w:bidi="en-GB"/>
        </w:rPr>
        <w:t>As regards the third part of the question:</w:t>
      </w:r>
    </w:p>
    <w:p w14:paraId="5CB1B55F" w14:textId="77777777" w:rsidR="005B07D3" w:rsidRPr="0006010A" w:rsidRDefault="005B07D3" w:rsidP="005B07D3">
      <w:pPr>
        <w:pStyle w:val="NormalWeb"/>
        <w:spacing w:before="0" w:beforeAutospacing="0" w:after="0" w:afterAutospacing="0" w:line="300" w:lineRule="atLeast"/>
        <w:ind w:firstLine="720"/>
        <w:jc w:val="both"/>
        <w:rPr>
          <w:lang w:val="en-GB"/>
        </w:rPr>
      </w:pPr>
      <w:r w:rsidRPr="0006010A">
        <w:rPr>
          <w:lang w:val="en-GB" w:bidi="en-GB"/>
        </w:rPr>
        <w:t>If the Tenderer is a Supplier and the manufacturer is engaged as a subcontractor, the extent of the work to be carried out by the subcontractor shall be indicated in accordance with Paragraph 16.2 of the Regulations by specifying the following:</w:t>
      </w:r>
    </w:p>
    <w:p w14:paraId="2887E690" w14:textId="77777777" w:rsidR="005B07D3" w:rsidRPr="0006010A" w:rsidRDefault="005B07D3" w:rsidP="005B07D3">
      <w:pPr>
        <w:numPr>
          <w:ilvl w:val="0"/>
          <w:numId w:val="7"/>
        </w:numPr>
        <w:spacing w:after="100" w:afterAutospacing="1" w:line="300" w:lineRule="atLeast"/>
        <w:jc w:val="both"/>
        <w:rPr>
          <w:lang w:val="en-GB"/>
        </w:rPr>
      </w:pPr>
      <w:r w:rsidRPr="0006010A">
        <w:rPr>
          <w:lang w:val="en-GB" w:bidi="en-GB"/>
        </w:rPr>
        <w:t>the type of supply or service to be provided (e.g. manufacture of vehicles, assembly, etc.);</w:t>
      </w:r>
    </w:p>
    <w:p w14:paraId="00A4EF1E" w14:textId="77777777" w:rsidR="005B07D3" w:rsidRPr="0006010A" w:rsidRDefault="005B07D3" w:rsidP="005B07D3">
      <w:pPr>
        <w:numPr>
          <w:ilvl w:val="0"/>
          <w:numId w:val="7"/>
        </w:numPr>
        <w:spacing w:before="100" w:beforeAutospacing="1" w:line="300" w:lineRule="atLeast"/>
        <w:jc w:val="both"/>
        <w:rPr>
          <w:lang w:val="en-GB"/>
        </w:rPr>
      </w:pPr>
      <w:r w:rsidRPr="0006010A">
        <w:rPr>
          <w:lang w:val="en-GB" w:bidi="en-GB"/>
        </w:rPr>
        <w:t>the quantity and monetary value (e.g. as a percentage of the contract price or in a specific amount) of the works or supplies concerned.</w:t>
      </w:r>
    </w:p>
    <w:p w14:paraId="52760C57" w14:textId="77777777" w:rsidR="005B07D3" w:rsidRPr="0006010A" w:rsidRDefault="005B07D3" w:rsidP="005B07D3">
      <w:pPr>
        <w:pStyle w:val="NormalWeb"/>
        <w:spacing w:before="0" w:beforeAutospacing="0" w:after="0" w:afterAutospacing="0" w:line="300" w:lineRule="atLeast"/>
        <w:ind w:firstLine="720"/>
        <w:jc w:val="both"/>
        <w:rPr>
          <w:lang w:val="en-GB"/>
        </w:rPr>
      </w:pPr>
      <w:r w:rsidRPr="0006010A">
        <w:rPr>
          <w:lang w:val="en-GB" w:bidi="en-GB"/>
        </w:rPr>
        <w:t>The Contracting Authority notes that such information must be sufficiently clear to enable the extent of the subcontractor’s actual involvement in the performance of the contract to be understood.</w:t>
      </w:r>
    </w:p>
    <w:p w14:paraId="15C45986" w14:textId="77777777" w:rsidR="005B07D3" w:rsidRPr="0006010A" w:rsidRDefault="005B07D3" w:rsidP="005B07D3">
      <w:pPr>
        <w:pStyle w:val="NormalWeb"/>
        <w:spacing w:before="0" w:beforeAutospacing="0" w:after="0" w:afterAutospacing="0" w:line="300" w:lineRule="atLeast"/>
        <w:ind w:firstLine="720"/>
        <w:jc w:val="both"/>
        <w:rPr>
          <w:b/>
          <w:bCs/>
          <w:lang w:val="en-GB"/>
        </w:rPr>
      </w:pPr>
      <w:r w:rsidRPr="0006010A">
        <w:rPr>
          <w:rStyle w:val="Strong"/>
          <w:lang w:val="en-GB" w:bidi="en-GB"/>
        </w:rPr>
        <w:t xml:space="preserve">In addition, </w:t>
      </w:r>
      <w:r w:rsidRPr="0006010A">
        <w:rPr>
          <w:rStyle w:val="Strong"/>
          <w:b w:val="0"/>
          <w:lang w:val="en-GB" w:bidi="en-GB"/>
        </w:rPr>
        <w:t>the Contracting Authority explains that the different</w:t>
      </w:r>
      <w:r w:rsidRPr="0006010A">
        <w:rPr>
          <w:lang w:val="en-GB" w:bidi="en-GB"/>
        </w:rPr>
        <w:t xml:space="preserve"> approach to financial capacity (joint and several liability) and technical/professional capacity is in line with the Law on the Procurements of Public Service Providers. Section 51 Paragraph eight of the Law on the Procurements of Public Service Providers expressly provides for the right of the Contracting Authority to impose joint and several liability where the Tenderer relies on the economic and financial capacity of another person, whereas such a requirement is not necessarily applicable to technical and professional capacity.</w:t>
      </w:r>
    </w:p>
    <w:p w14:paraId="28AB288C" w14:textId="77777777" w:rsidR="005B07D3" w:rsidRPr="0006010A" w:rsidRDefault="005B07D3" w:rsidP="005B07D3">
      <w:pPr>
        <w:pStyle w:val="NormalWeb"/>
        <w:spacing w:before="0" w:beforeAutospacing="0" w:line="300" w:lineRule="atLeast"/>
        <w:ind w:firstLine="720"/>
        <w:jc w:val="both"/>
        <w:rPr>
          <w:lang w:val="en-GB"/>
        </w:rPr>
      </w:pPr>
      <w:r w:rsidRPr="0006010A">
        <w:rPr>
          <w:lang w:val="en-GB" w:bidi="en-GB"/>
        </w:rPr>
        <w:t>In light of the above, the provisions of the Regulations are not contradictory but are consistent with the applicable regulatory framework.</w:t>
      </w:r>
    </w:p>
    <w:p w14:paraId="493F458C" w14:textId="77777777" w:rsidR="005B07D3" w:rsidRPr="0006010A" w:rsidRDefault="005B07D3" w:rsidP="005B07D3">
      <w:pPr>
        <w:ind w:right="-8" w:firstLine="720"/>
        <w:jc w:val="both"/>
        <w:rPr>
          <w:lang w:val="en-GB"/>
        </w:rPr>
      </w:pPr>
    </w:p>
    <w:p w14:paraId="1B5BD8AA" w14:textId="77777777" w:rsidR="005B07D3" w:rsidRPr="0006010A" w:rsidRDefault="005B07D3" w:rsidP="005B07D3">
      <w:pPr>
        <w:ind w:right="-8"/>
        <w:jc w:val="both"/>
        <w:rPr>
          <w:b/>
          <w:bCs/>
          <w:lang w:val="en-GB"/>
        </w:rPr>
      </w:pPr>
      <w:r w:rsidRPr="0006010A">
        <w:rPr>
          <w:b/>
          <w:lang w:val="en-GB" w:bidi="en-GB"/>
        </w:rPr>
        <w:t>Question 4:</w:t>
      </w:r>
    </w:p>
    <w:p w14:paraId="2D93AC34" w14:textId="77777777" w:rsidR="005B07D3" w:rsidRPr="0006010A" w:rsidRDefault="005B07D3" w:rsidP="005B07D3">
      <w:pPr>
        <w:ind w:right="-8"/>
        <w:jc w:val="both"/>
        <w:outlineLvl w:val="0"/>
        <w:rPr>
          <w:lang w:val="en-GB"/>
        </w:rPr>
      </w:pPr>
      <w:r w:rsidRPr="0006010A">
        <w:rPr>
          <w:lang w:val="en-GB" w:bidi="en-GB"/>
        </w:rPr>
        <w:t>What is the rate of acceleration (jerk) and what is its unit of measurement?</w:t>
      </w:r>
    </w:p>
    <w:p w14:paraId="15421472" w14:textId="77777777" w:rsidR="005B07D3" w:rsidRPr="0006010A" w:rsidRDefault="005B07D3" w:rsidP="005B07D3">
      <w:pPr>
        <w:ind w:right="372"/>
        <w:jc w:val="both"/>
        <w:outlineLvl w:val="0"/>
        <w:rPr>
          <w:lang w:val="en-GB"/>
        </w:rPr>
      </w:pPr>
    </w:p>
    <w:p w14:paraId="23170CD1" w14:textId="77777777" w:rsidR="005B07D3" w:rsidRPr="0006010A" w:rsidRDefault="005B07D3" w:rsidP="005B07D3">
      <w:pPr>
        <w:ind w:right="-8"/>
        <w:jc w:val="both"/>
        <w:rPr>
          <w:b/>
          <w:bCs/>
          <w:lang w:val="en-GB"/>
        </w:rPr>
      </w:pPr>
      <w:r w:rsidRPr="0006010A">
        <w:rPr>
          <w:b/>
          <w:lang w:val="en-GB" w:bidi="en-GB"/>
        </w:rPr>
        <w:t>Answer 4:</w:t>
      </w:r>
    </w:p>
    <w:p w14:paraId="465378A1" w14:textId="77777777" w:rsidR="005B07D3" w:rsidRPr="0006010A" w:rsidRDefault="005B07D3" w:rsidP="005B07D3">
      <w:pPr>
        <w:ind w:firstLine="720"/>
        <w:jc w:val="both"/>
        <w:rPr>
          <w:lang w:val="en-GB"/>
        </w:rPr>
      </w:pPr>
      <w:r w:rsidRPr="0006010A">
        <w:rPr>
          <w:lang w:val="en-GB" w:bidi="en-GB"/>
        </w:rPr>
        <w:t xml:space="preserve">We explain that </w:t>
      </w:r>
      <w:r w:rsidRPr="0006010A">
        <w:rPr>
          <w:i/>
          <w:lang w:val="en-GB" w:bidi="en-GB"/>
        </w:rPr>
        <w:t>jerk</w:t>
      </w:r>
      <w:r w:rsidRPr="0006010A">
        <w:rPr>
          <w:lang w:val="en-GB" w:bidi="en-GB"/>
        </w:rPr>
        <w:t xml:space="preserve"> is the rate of change of acceleration or deceleration with respect to time. Its unit of measurement is m/s</w:t>
      </w:r>
      <w:r w:rsidRPr="0006010A">
        <w:rPr>
          <w:vertAlign w:val="superscript"/>
          <w:lang w:val="en-GB" w:bidi="en-GB"/>
        </w:rPr>
        <w:t>3</w:t>
      </w:r>
      <w:r w:rsidRPr="0006010A">
        <w:rPr>
          <w:lang w:val="en-GB" w:bidi="en-GB"/>
        </w:rPr>
        <w:t>.</w:t>
      </w:r>
    </w:p>
    <w:p w14:paraId="0B479601" w14:textId="77777777" w:rsidR="005B07D3" w:rsidRPr="0006010A" w:rsidRDefault="005B07D3" w:rsidP="005B07D3">
      <w:pPr>
        <w:ind w:firstLine="720"/>
        <w:jc w:val="both"/>
        <w:rPr>
          <w:lang w:val="en-GB"/>
        </w:rPr>
      </w:pPr>
      <w:r w:rsidRPr="0006010A">
        <w:rPr>
          <w:lang w:val="en-GB" w:bidi="en-GB"/>
        </w:rPr>
        <w:t>Jerk is a comfort parameter that describes the smoothness of motion and affects occupant safety and vehicle ride quality.</w:t>
      </w:r>
    </w:p>
    <w:p w14:paraId="54524BD9" w14:textId="77777777" w:rsidR="005B07D3" w:rsidRPr="0006010A" w:rsidRDefault="005B07D3" w:rsidP="005B07D3">
      <w:pPr>
        <w:ind w:firstLine="720"/>
        <w:jc w:val="both"/>
        <w:rPr>
          <w:b/>
          <w:bCs/>
          <w:lang w:val="en-GB"/>
        </w:rPr>
      </w:pPr>
      <w:r w:rsidRPr="0006010A">
        <w:rPr>
          <w:b/>
          <w:lang w:val="en-GB" w:bidi="en-GB"/>
        </w:rPr>
        <w:t>Please note that the unit of measurement (m/s²) in the technical specification is a technical error and the correct unit of measurement for jerk is m/s³.</w:t>
      </w:r>
    </w:p>
    <w:p w14:paraId="7434B977" w14:textId="77777777" w:rsidR="005B07D3" w:rsidRPr="0006010A" w:rsidRDefault="005B07D3" w:rsidP="005B07D3">
      <w:pPr>
        <w:ind w:right="-8" w:firstLine="720"/>
        <w:jc w:val="both"/>
        <w:rPr>
          <w:lang w:val="en-GB"/>
        </w:rPr>
      </w:pPr>
    </w:p>
    <w:p w14:paraId="25BC112E" w14:textId="77777777" w:rsidR="005B07D3" w:rsidRPr="0006010A" w:rsidRDefault="005B07D3" w:rsidP="005B07D3">
      <w:pPr>
        <w:ind w:right="-8"/>
        <w:jc w:val="both"/>
        <w:rPr>
          <w:b/>
          <w:bCs/>
          <w:lang w:val="en-GB"/>
        </w:rPr>
      </w:pPr>
    </w:p>
    <w:p w14:paraId="3AEBCA6F" w14:textId="77777777" w:rsidR="005B07D3" w:rsidRPr="0006010A" w:rsidRDefault="005B07D3" w:rsidP="005B07D3">
      <w:pPr>
        <w:ind w:right="-8"/>
        <w:jc w:val="both"/>
        <w:rPr>
          <w:b/>
          <w:bCs/>
          <w:lang w:val="en-GB"/>
        </w:rPr>
      </w:pPr>
      <w:r w:rsidRPr="0006010A">
        <w:rPr>
          <w:b/>
          <w:lang w:val="en-GB" w:bidi="en-GB"/>
        </w:rPr>
        <w:t>Question 5:</w:t>
      </w:r>
    </w:p>
    <w:p w14:paraId="02C1CB10" w14:textId="77777777" w:rsidR="005B07D3" w:rsidRPr="0006010A" w:rsidRDefault="005B07D3" w:rsidP="005B07D3">
      <w:pPr>
        <w:ind w:right="372" w:firstLine="720"/>
        <w:jc w:val="both"/>
        <w:outlineLvl w:val="0"/>
        <w:rPr>
          <w:lang w:val="en-GB"/>
        </w:rPr>
      </w:pPr>
      <w:r w:rsidRPr="0006010A">
        <w:rPr>
          <w:lang w:val="en-GB" w:bidi="en-GB"/>
        </w:rPr>
        <w:t xml:space="preserve">Paragraph E.4 of the Technical Specification provides that the Supplier shall authorise the Contracting Authority as an authorised warranty service partner, who is entitled to carry out warranty and defect rectification work on behalf of and at the expense of the Supplier. This model obliges the Supplier to provide the Contracting Authority with all equipment, tools and diagnostic facilities necessary to carry out the work to the required standard and in accordance </w:t>
      </w:r>
      <w:r w:rsidRPr="0006010A">
        <w:rPr>
          <w:lang w:val="en-GB" w:bidi="en-GB"/>
        </w:rPr>
        <w:lastRenderedPageBreak/>
        <w:t>with the warranty conditions, while Paragraph 2 of the financial offer requires the Tenderer to include the cost of such equipment in the financial offer.</w:t>
      </w:r>
    </w:p>
    <w:p w14:paraId="5F97C3E8" w14:textId="77777777" w:rsidR="005B07D3" w:rsidRPr="0006010A" w:rsidRDefault="005B07D3" w:rsidP="005B07D3">
      <w:pPr>
        <w:ind w:right="372" w:firstLine="720"/>
        <w:jc w:val="both"/>
        <w:outlineLvl w:val="0"/>
        <w:rPr>
          <w:lang w:val="en-GB"/>
        </w:rPr>
      </w:pPr>
      <w:r w:rsidRPr="0006010A">
        <w:rPr>
          <w:lang w:val="en-GB" w:bidi="en-GB"/>
        </w:rPr>
        <w:t>In order for Tenderers to prepare a complete and accurate financial offer, the procurement documents should provide information on a number of important aspects that are currently not specified.</w:t>
      </w:r>
    </w:p>
    <w:p w14:paraId="5C4383BB" w14:textId="77777777" w:rsidR="005B07D3" w:rsidRPr="0006010A" w:rsidRDefault="005B07D3" w:rsidP="005B07D3">
      <w:pPr>
        <w:ind w:right="372"/>
        <w:jc w:val="both"/>
        <w:outlineLvl w:val="0"/>
        <w:rPr>
          <w:lang w:val="en-GB"/>
        </w:rPr>
      </w:pPr>
      <w:r w:rsidRPr="0006010A">
        <w:rPr>
          <w:lang w:val="en-GB" w:bidi="en-GB"/>
        </w:rPr>
        <w:t xml:space="preserve">First, it is known from publicly available information that the Contracting Authority already operates electric buses and, accordingly, already possesses certain equipment, tools and diagnostic facilities. Some of this equipment, such as rolling diagnostic tools, hydraulic platforms, lifting equipment and racks, is universal and independent of the bus manufacturer. </w:t>
      </w:r>
      <w:r w:rsidRPr="0006010A">
        <w:rPr>
          <w:b/>
          <w:lang w:val="en-GB" w:bidi="en-GB"/>
        </w:rPr>
        <w:t>[1]</w:t>
      </w:r>
      <w:r w:rsidRPr="0006010A">
        <w:rPr>
          <w:lang w:val="en-GB" w:bidi="en-GB"/>
        </w:rPr>
        <w:t xml:space="preserve"> Please clarify whether Tenderers may consult information on the equipment already available to the Contracting Authority in order to determine which of the equipment required for the maintenance and diagnostics of the proposed bus model is already available and therefore need not be included in the financial offer. This would ensure equal treatment of Tenderers and help maintain a level playing field in the procurement procedure.</w:t>
      </w:r>
    </w:p>
    <w:p w14:paraId="252195B8" w14:textId="77777777" w:rsidR="005B07D3" w:rsidRPr="0006010A" w:rsidRDefault="005B07D3" w:rsidP="005B07D3">
      <w:pPr>
        <w:ind w:right="372" w:firstLine="720"/>
        <w:jc w:val="both"/>
        <w:outlineLvl w:val="0"/>
        <w:rPr>
          <w:lang w:val="en-GB"/>
        </w:rPr>
      </w:pPr>
      <w:r w:rsidRPr="0006010A">
        <w:rPr>
          <w:lang w:val="en-GB" w:bidi="en-GB"/>
        </w:rPr>
        <w:t xml:space="preserve">Secondly, the volume of warranty and troubleshooting work, as well as the number of toolkits and items of equipment required, depends directly on the number of locations (bases, depots) at which the Contracting Authority intends to carry out such work. Please specify at how many locations the warranty work will be carried out and whether each location requires a full set of tools and equipment, or whether a centralised model with a single service base is envisaged. </w:t>
      </w:r>
      <w:r w:rsidRPr="0006010A">
        <w:rPr>
          <w:b/>
          <w:lang w:val="en-GB" w:bidi="en-GB"/>
        </w:rPr>
        <w:t>[2]</w:t>
      </w:r>
      <w:r w:rsidRPr="0006010A">
        <w:rPr>
          <w:lang w:val="en-GB" w:bidi="en-GB"/>
        </w:rPr>
        <w:t xml:space="preserve"> Do we understand correctly that the number of such bases is two, as indicated by the number of sets in the financial offer?</w:t>
      </w:r>
    </w:p>
    <w:p w14:paraId="14798631" w14:textId="77777777" w:rsidR="005B07D3" w:rsidRPr="0006010A" w:rsidRDefault="005B07D3" w:rsidP="005B07D3">
      <w:pPr>
        <w:ind w:right="372" w:firstLine="720"/>
        <w:jc w:val="both"/>
        <w:outlineLvl w:val="0"/>
        <w:rPr>
          <w:lang w:val="en-GB"/>
        </w:rPr>
      </w:pPr>
      <w:r w:rsidRPr="0006010A">
        <w:rPr>
          <w:lang w:val="en-GB" w:bidi="en-GB"/>
        </w:rPr>
        <w:t xml:space="preserve">Third, the Regulations do not clearly specify the period for which, or the ownership arrangements under which, the Supplier is required to provide the tools and diagnostic equipment. The options vary considerably: transfer for the duration of the warranty period only (3 years or 210,000 km), transfer for the entire expected service life of the vehicles (12 years), or transfer to the Contracting Authority without any time limitation. </w:t>
      </w:r>
      <w:r w:rsidRPr="0006010A">
        <w:rPr>
          <w:b/>
          <w:lang w:val="en-GB" w:bidi="en-GB"/>
        </w:rPr>
        <w:t>[3]</w:t>
      </w:r>
      <w:r w:rsidRPr="0006010A">
        <w:rPr>
          <w:lang w:val="en-GB" w:bidi="en-GB"/>
        </w:rPr>
        <w:t xml:space="preserve"> Each of these scenarios has a significantly different financial impact on the tender price. Please therefore specify the period for which, and the ownership arrangements under which, the equipment is to be transferred to the Contracting Authority.</w:t>
      </w:r>
    </w:p>
    <w:p w14:paraId="151DD12E" w14:textId="77777777" w:rsidR="005B07D3" w:rsidRPr="0006010A" w:rsidRDefault="005B07D3" w:rsidP="005B07D3">
      <w:pPr>
        <w:ind w:right="372" w:firstLine="720"/>
        <w:jc w:val="both"/>
        <w:outlineLvl w:val="0"/>
        <w:rPr>
          <w:lang w:val="en-GB"/>
        </w:rPr>
      </w:pPr>
      <w:r w:rsidRPr="0006010A">
        <w:rPr>
          <w:lang w:val="en-GB" w:bidi="en-GB"/>
        </w:rPr>
        <w:t>We kindly request the Contracting Authority to provide answers to the above questions and, where necessary, to make appropriate clarifications to the tender documentation in order to ensure that Tenderers are able to prepare comparable and properly calculated financial offers.</w:t>
      </w:r>
    </w:p>
    <w:p w14:paraId="33EEA136" w14:textId="77777777" w:rsidR="005B07D3" w:rsidRPr="0006010A" w:rsidRDefault="005B07D3" w:rsidP="005B07D3">
      <w:pPr>
        <w:ind w:right="372" w:firstLine="720"/>
        <w:jc w:val="both"/>
        <w:outlineLvl w:val="0"/>
        <w:rPr>
          <w:lang w:val="en-GB"/>
        </w:rPr>
      </w:pPr>
    </w:p>
    <w:p w14:paraId="64AB63BD" w14:textId="77777777" w:rsidR="005B07D3" w:rsidRPr="0006010A" w:rsidRDefault="005B07D3" w:rsidP="005B07D3">
      <w:pPr>
        <w:ind w:right="-8"/>
        <w:jc w:val="both"/>
        <w:rPr>
          <w:b/>
          <w:bCs/>
          <w:lang w:val="en-GB"/>
        </w:rPr>
      </w:pPr>
      <w:r w:rsidRPr="0006010A">
        <w:rPr>
          <w:b/>
          <w:lang w:val="en-GB" w:bidi="en-GB"/>
        </w:rPr>
        <w:t>Answer 5:</w:t>
      </w:r>
    </w:p>
    <w:p w14:paraId="1E1E42AC" w14:textId="77777777" w:rsidR="005B07D3" w:rsidRPr="0006010A" w:rsidRDefault="005B07D3" w:rsidP="005B07D3">
      <w:pPr>
        <w:jc w:val="both"/>
        <w:rPr>
          <w:b/>
          <w:bCs/>
          <w:lang w:val="en-GB"/>
        </w:rPr>
      </w:pPr>
      <w:r w:rsidRPr="0006010A">
        <w:rPr>
          <w:b/>
          <w:lang w:val="en-GB" w:bidi="en-GB"/>
        </w:rPr>
        <w:t>As regards the first part of the question:</w:t>
      </w:r>
    </w:p>
    <w:p w14:paraId="09F08160" w14:textId="77777777" w:rsidR="005B07D3" w:rsidRPr="0006010A" w:rsidRDefault="005B07D3" w:rsidP="005B07D3">
      <w:pPr>
        <w:ind w:firstLine="720"/>
        <w:jc w:val="both"/>
        <w:rPr>
          <w:lang w:val="en-GB"/>
        </w:rPr>
      </w:pPr>
      <w:r w:rsidRPr="0006010A">
        <w:rPr>
          <w:lang w:val="en-GB" w:bidi="en-GB"/>
        </w:rPr>
        <w:t xml:space="preserve">Chapter C.3, “Special and Diagnostic Tools”, of the Technical Specification provides that </w:t>
      </w:r>
      <w:r w:rsidRPr="0006010A">
        <w:rPr>
          <w:b/>
          <w:lang w:val="en-GB" w:bidi="en-GB"/>
        </w:rPr>
        <w:t>standard workshop tools and equipment generally available on the market and not specific to a particular vehicle model or its systems shall not be regarded as special tools.</w:t>
      </w:r>
      <w:r w:rsidRPr="0006010A">
        <w:rPr>
          <w:lang w:val="en-GB" w:bidi="en-GB"/>
        </w:rPr>
        <w:t xml:space="preserve"> Consequently, the tender should not include universal workshop equipment (e.g. hoists, platforms, etc.) that is not specific to the maintenance and diagnostics of the bus model concerned.</w:t>
      </w:r>
    </w:p>
    <w:p w14:paraId="6A9FFEE3" w14:textId="77777777" w:rsidR="005B07D3" w:rsidRPr="0006010A" w:rsidRDefault="005B07D3" w:rsidP="005B07D3">
      <w:pPr>
        <w:ind w:firstLine="720"/>
        <w:jc w:val="both"/>
        <w:rPr>
          <w:lang w:val="en-GB"/>
        </w:rPr>
      </w:pPr>
    </w:p>
    <w:p w14:paraId="17024174" w14:textId="77777777" w:rsidR="005B07D3" w:rsidRPr="0006010A" w:rsidRDefault="005B07D3" w:rsidP="005B07D3">
      <w:pPr>
        <w:jc w:val="both"/>
        <w:rPr>
          <w:b/>
          <w:bCs/>
          <w:lang w:val="en-GB"/>
        </w:rPr>
      </w:pPr>
      <w:r w:rsidRPr="0006010A">
        <w:rPr>
          <w:b/>
          <w:lang w:val="en-GB" w:bidi="en-GB"/>
        </w:rPr>
        <w:t>As regards the second part of the question:</w:t>
      </w:r>
    </w:p>
    <w:p w14:paraId="4C95C3B3" w14:textId="77777777" w:rsidR="005B07D3" w:rsidRPr="0006010A" w:rsidRDefault="005B07D3" w:rsidP="005B07D3">
      <w:pPr>
        <w:ind w:firstLine="720"/>
        <w:jc w:val="both"/>
        <w:rPr>
          <w:lang w:val="en-GB"/>
        </w:rPr>
      </w:pPr>
      <w:r w:rsidRPr="0006010A">
        <w:rPr>
          <w:lang w:val="en-GB" w:bidi="en-GB"/>
        </w:rPr>
        <w:t xml:space="preserve">Section C.3 of the Technical Specification and the financial offer form require the </w:t>
      </w:r>
      <w:r w:rsidRPr="0006010A">
        <w:rPr>
          <w:b/>
          <w:lang w:val="en-GB" w:bidi="en-GB"/>
        </w:rPr>
        <w:t>Supplier to provide 2 (two) sets of special and diagnostic instruments</w:t>
      </w:r>
      <w:r w:rsidRPr="0006010A">
        <w:rPr>
          <w:lang w:val="en-GB" w:bidi="en-GB"/>
        </w:rPr>
        <w:t>. This number of sets shall be considered sufficient for the needs of the Contracting Authority and shall be taken into account in the preparation of the financial offer.</w:t>
      </w:r>
    </w:p>
    <w:p w14:paraId="28818B96" w14:textId="77777777" w:rsidR="005B07D3" w:rsidRPr="0006010A" w:rsidRDefault="005B07D3" w:rsidP="005B07D3">
      <w:pPr>
        <w:jc w:val="both"/>
        <w:rPr>
          <w:lang w:val="en-GB"/>
        </w:rPr>
      </w:pPr>
    </w:p>
    <w:p w14:paraId="0CD4C001" w14:textId="77777777" w:rsidR="005B07D3" w:rsidRPr="0006010A" w:rsidRDefault="005B07D3" w:rsidP="005B07D3">
      <w:pPr>
        <w:jc w:val="both"/>
        <w:rPr>
          <w:b/>
          <w:bCs/>
          <w:lang w:val="en-GB"/>
        </w:rPr>
      </w:pPr>
      <w:r w:rsidRPr="0006010A">
        <w:rPr>
          <w:b/>
          <w:lang w:val="en-GB" w:bidi="en-GB"/>
        </w:rPr>
        <w:t>As regards the third part of the question:</w:t>
      </w:r>
    </w:p>
    <w:p w14:paraId="58D696EA" w14:textId="77777777" w:rsidR="005B07D3" w:rsidRPr="0006010A" w:rsidRDefault="005B07D3" w:rsidP="005B07D3">
      <w:pPr>
        <w:ind w:firstLine="720"/>
        <w:jc w:val="both"/>
        <w:rPr>
          <w:lang w:val="en-GB"/>
        </w:rPr>
      </w:pPr>
      <w:r w:rsidRPr="0006010A">
        <w:rPr>
          <w:lang w:val="en-GB" w:bidi="en-GB"/>
        </w:rPr>
        <w:t xml:space="preserve">Given that the financial offer provides for the purchase of two sets of tools and diagnostic equipment, it is understood that these </w:t>
      </w:r>
      <w:r w:rsidRPr="0006010A">
        <w:rPr>
          <w:b/>
          <w:lang w:val="en-GB" w:bidi="en-GB"/>
        </w:rPr>
        <w:t>sets are to be transferred to the ownership of the Contracting Authority without any time limitation.</w:t>
      </w:r>
    </w:p>
    <w:p w14:paraId="3B6883D2" w14:textId="77777777" w:rsidR="005B07D3" w:rsidRPr="0006010A" w:rsidRDefault="005B07D3" w:rsidP="005B07D3">
      <w:pPr>
        <w:ind w:firstLine="720"/>
        <w:jc w:val="both"/>
        <w:rPr>
          <w:lang w:val="en-GB"/>
        </w:rPr>
      </w:pPr>
      <w:r w:rsidRPr="0006010A">
        <w:rPr>
          <w:lang w:val="en-GB" w:bidi="en-GB"/>
        </w:rPr>
        <w:lastRenderedPageBreak/>
        <w:t>Please be further informed that the requirements relating to tools and diagnostic equipment set out in the Technical Specification are sufficiently clear to enable Tenderers to prepare comparable and fair financial offers.</w:t>
      </w:r>
    </w:p>
    <w:p w14:paraId="3395EFF3" w14:textId="77777777" w:rsidR="005B07D3" w:rsidRPr="0006010A" w:rsidRDefault="005B07D3" w:rsidP="005B07D3">
      <w:pPr>
        <w:ind w:right="-8"/>
        <w:jc w:val="both"/>
        <w:rPr>
          <w:lang w:val="en-GB"/>
        </w:rPr>
      </w:pPr>
    </w:p>
    <w:p w14:paraId="1A22FCE5" w14:textId="77777777" w:rsidR="005B07D3" w:rsidRPr="0006010A" w:rsidRDefault="005B07D3" w:rsidP="005B07D3">
      <w:pPr>
        <w:ind w:right="-8" w:firstLine="720"/>
        <w:jc w:val="both"/>
        <w:rPr>
          <w:lang w:val="en-GB"/>
        </w:rPr>
      </w:pPr>
    </w:p>
    <w:p w14:paraId="4B4C98D5" w14:textId="77777777" w:rsidR="005B07D3" w:rsidRPr="0006010A" w:rsidRDefault="005B07D3" w:rsidP="005B07D3">
      <w:pPr>
        <w:ind w:right="-8"/>
        <w:jc w:val="both"/>
        <w:rPr>
          <w:b/>
          <w:bCs/>
          <w:lang w:val="en-GB"/>
        </w:rPr>
      </w:pPr>
      <w:r w:rsidRPr="0006010A">
        <w:rPr>
          <w:b/>
          <w:lang w:val="en-GB" w:bidi="en-GB"/>
        </w:rPr>
        <w:t>Question 6:</w:t>
      </w:r>
    </w:p>
    <w:p w14:paraId="549013B2" w14:textId="77777777" w:rsidR="005B07D3" w:rsidRPr="0006010A" w:rsidRDefault="005B07D3" w:rsidP="005B07D3">
      <w:pPr>
        <w:ind w:right="372" w:firstLine="720"/>
        <w:jc w:val="both"/>
        <w:outlineLvl w:val="0"/>
        <w:rPr>
          <w:lang w:val="en-GB"/>
        </w:rPr>
      </w:pPr>
      <w:r w:rsidRPr="0006010A">
        <w:rPr>
          <w:lang w:val="en-GB" w:bidi="en-GB"/>
        </w:rPr>
        <w:t xml:space="preserve">Paragraph A.18 of the Technical Specification requires the Supplier to agree in writing with the Contracting Authority, no later than six months after the entry into force of the contract, a number of design and configuration options, including the interior design, seat upholstery materials, handrails and seating layout, as well as the location of the slow-charging connection (CCS2). </w:t>
      </w:r>
    </w:p>
    <w:p w14:paraId="36507838" w14:textId="77777777" w:rsidR="005B07D3" w:rsidRPr="0006010A" w:rsidRDefault="005B07D3" w:rsidP="005B07D3">
      <w:pPr>
        <w:ind w:right="372" w:firstLine="720"/>
        <w:jc w:val="both"/>
        <w:outlineLvl w:val="0"/>
        <w:rPr>
          <w:lang w:val="en-GB"/>
        </w:rPr>
      </w:pPr>
      <w:r w:rsidRPr="0006010A">
        <w:rPr>
          <w:lang w:val="en-GB" w:bidi="en-GB"/>
        </w:rPr>
        <w:t xml:space="preserve">This clause does not set out any criteria, limits or constraints against which the choices or requirements of the Contracting Authority may be assessed for reasonableness and acceptability, nor does it provide any mechanism for resolving a situation in which the parties are unable to reach agreement on a particular element. This raises a number of questions of practical importance. </w:t>
      </w:r>
    </w:p>
    <w:p w14:paraId="4820CD0B" w14:textId="77777777" w:rsidR="005B07D3" w:rsidRPr="0006010A" w:rsidRDefault="005B07D3" w:rsidP="005B07D3">
      <w:pPr>
        <w:ind w:right="372" w:firstLine="720"/>
        <w:jc w:val="both"/>
        <w:outlineLvl w:val="0"/>
        <w:rPr>
          <w:lang w:val="en-GB"/>
        </w:rPr>
      </w:pPr>
      <w:r w:rsidRPr="0006010A">
        <w:rPr>
          <w:lang w:val="en-GB" w:bidi="en-GB"/>
        </w:rPr>
        <w:t xml:space="preserve">First, as regards materials and design, the Regulations do not specify the acceptable categories of materials, price limits or functional requirements. This means that the Contracting Authority could theoretically request materials that are technically difficult to install, rarely available, or significantly more expensive than comparable alternatives available on the market, and the Supplier would have no contractual basis for refusing such a request, as no such limitation is set out in the Regulations. </w:t>
      </w:r>
    </w:p>
    <w:p w14:paraId="2D66EA86" w14:textId="77777777" w:rsidR="005B07D3" w:rsidRPr="0006010A" w:rsidRDefault="005B07D3" w:rsidP="005B07D3">
      <w:pPr>
        <w:ind w:right="372" w:firstLine="720"/>
        <w:jc w:val="both"/>
        <w:outlineLvl w:val="0"/>
        <w:rPr>
          <w:lang w:val="en-GB"/>
        </w:rPr>
      </w:pPr>
      <w:r w:rsidRPr="0006010A">
        <w:rPr>
          <w:lang w:val="en-GB" w:bidi="en-GB"/>
        </w:rPr>
        <w:t xml:space="preserve">Secondly, with regard to the location of the CCS2 charging connection, the Technical Specification permits certain placement options based on vehicle design and safety requirements. If, during the approval process, the Contracting Authority requests a layout that is not compatible with the manufacturer’s design solutions, it is unclear whether the Supplier may reject such a request and, if so, on what grounds. </w:t>
      </w:r>
    </w:p>
    <w:p w14:paraId="603FF41D" w14:textId="77777777" w:rsidR="005B07D3" w:rsidRPr="0006010A" w:rsidRDefault="005B07D3" w:rsidP="005B07D3">
      <w:pPr>
        <w:ind w:right="372" w:firstLine="720"/>
        <w:jc w:val="both"/>
        <w:outlineLvl w:val="0"/>
        <w:rPr>
          <w:lang w:val="en-GB"/>
        </w:rPr>
      </w:pPr>
      <w:r w:rsidRPr="0006010A">
        <w:rPr>
          <w:lang w:val="en-GB" w:bidi="en-GB"/>
        </w:rPr>
        <w:t xml:space="preserve">Thirdly, the Regulations do not specify what happens if no agreement is reached. There is no dispute resolution mechanism, no reasonable time limit for the Contracting Authority's decision and no consequences in case of delay. This creates a risk that the commencement of production by the Supplier may be delayed or prevented by circumstances beyond the Supplier’s control. </w:t>
      </w:r>
    </w:p>
    <w:p w14:paraId="1084E9C9" w14:textId="77777777" w:rsidR="005B07D3" w:rsidRPr="0006010A" w:rsidRDefault="005B07D3" w:rsidP="005B07D3">
      <w:pPr>
        <w:ind w:right="372" w:firstLine="720"/>
        <w:jc w:val="both"/>
        <w:outlineLvl w:val="0"/>
        <w:rPr>
          <w:lang w:val="en-GB"/>
        </w:rPr>
      </w:pPr>
      <w:r w:rsidRPr="0006010A">
        <w:rPr>
          <w:lang w:val="en-GB" w:bidi="en-GB"/>
        </w:rPr>
        <w:t xml:space="preserve">In the light of the above, we ask the Contracting Authority to clarify: </w:t>
      </w:r>
    </w:p>
    <w:p w14:paraId="5609710D" w14:textId="77777777" w:rsidR="005B07D3" w:rsidRPr="0006010A" w:rsidRDefault="005B07D3" w:rsidP="005B07D3">
      <w:pPr>
        <w:ind w:right="372"/>
        <w:jc w:val="both"/>
        <w:outlineLvl w:val="0"/>
        <w:rPr>
          <w:lang w:val="en-GB"/>
        </w:rPr>
      </w:pPr>
      <w:r w:rsidRPr="0006010A">
        <w:rPr>
          <w:lang w:val="en-GB" w:bidi="en-GB"/>
        </w:rPr>
        <w:t xml:space="preserve">(1) the criteria or constraints by which the Contracting Authority will make its selection of the elements to be agreed under Paragraph A.18, in order to ensure that the requirements are predictable and technically feasible; </w:t>
      </w:r>
    </w:p>
    <w:p w14:paraId="4342DFEE" w14:textId="77777777" w:rsidR="005B07D3" w:rsidRPr="0006010A" w:rsidRDefault="005B07D3" w:rsidP="005B07D3">
      <w:pPr>
        <w:ind w:right="372"/>
        <w:jc w:val="both"/>
        <w:outlineLvl w:val="0"/>
        <w:rPr>
          <w:lang w:val="en-GB"/>
        </w:rPr>
      </w:pPr>
      <w:r w:rsidRPr="0006010A">
        <w:rPr>
          <w:lang w:val="en-GB" w:bidi="en-GB"/>
        </w:rPr>
        <w:t xml:space="preserve">(2) whether the Supplier has the right to reject or challenge the Contracting Authority’s choice if it does not comply with the technical or design constraints of the vehicle, or if it is disproportionately expensive in comparison with standard solutions; </w:t>
      </w:r>
    </w:p>
    <w:p w14:paraId="77958FFD" w14:textId="77777777" w:rsidR="005B07D3" w:rsidRPr="0006010A" w:rsidRDefault="005B07D3" w:rsidP="005B07D3">
      <w:pPr>
        <w:ind w:right="372"/>
        <w:jc w:val="both"/>
        <w:outlineLvl w:val="0"/>
        <w:rPr>
          <w:lang w:val="en-GB"/>
        </w:rPr>
      </w:pPr>
      <w:r w:rsidRPr="0006010A">
        <w:rPr>
          <w:lang w:val="en-GB" w:bidi="en-GB"/>
        </w:rPr>
        <w:t>(3) what procedure is to be followed if the parties are unable to reach agreement on any of the elements to be agreed within the six-month period.</w:t>
      </w:r>
    </w:p>
    <w:p w14:paraId="3FC1D7A5" w14:textId="77777777" w:rsidR="005B07D3" w:rsidRPr="0006010A" w:rsidRDefault="005B07D3" w:rsidP="005B07D3">
      <w:pPr>
        <w:ind w:right="372"/>
        <w:jc w:val="both"/>
        <w:outlineLvl w:val="0"/>
        <w:rPr>
          <w:lang w:val="en-GB"/>
        </w:rPr>
      </w:pPr>
    </w:p>
    <w:p w14:paraId="0A7A9CCD" w14:textId="77777777" w:rsidR="005B07D3" w:rsidRPr="0006010A" w:rsidRDefault="005B07D3" w:rsidP="005B07D3">
      <w:pPr>
        <w:ind w:right="-8"/>
        <w:jc w:val="both"/>
        <w:rPr>
          <w:b/>
          <w:bCs/>
          <w:lang w:val="en-GB"/>
        </w:rPr>
      </w:pPr>
      <w:r w:rsidRPr="0006010A">
        <w:rPr>
          <w:b/>
          <w:lang w:val="en-GB" w:bidi="en-GB"/>
        </w:rPr>
        <w:t>Answer 6:</w:t>
      </w:r>
    </w:p>
    <w:p w14:paraId="1CDE1F5E" w14:textId="77777777" w:rsidR="005B07D3" w:rsidRPr="0006010A" w:rsidRDefault="005B07D3" w:rsidP="005B07D3">
      <w:pPr>
        <w:jc w:val="both"/>
        <w:rPr>
          <w:b/>
          <w:bCs/>
          <w:lang w:val="en-GB"/>
        </w:rPr>
      </w:pPr>
      <w:r w:rsidRPr="0006010A">
        <w:rPr>
          <w:b/>
          <w:lang w:val="en-GB" w:bidi="en-GB"/>
        </w:rPr>
        <w:t>As regards the first part of the question:</w:t>
      </w:r>
    </w:p>
    <w:p w14:paraId="10662A26" w14:textId="77777777" w:rsidR="005B07D3" w:rsidRPr="0006010A" w:rsidRDefault="005B07D3" w:rsidP="005B07D3">
      <w:pPr>
        <w:ind w:firstLine="720"/>
        <w:jc w:val="both"/>
        <w:rPr>
          <w:lang w:val="en-GB"/>
        </w:rPr>
      </w:pPr>
      <w:r w:rsidRPr="0006010A">
        <w:rPr>
          <w:lang w:val="en-GB" w:bidi="en-GB"/>
        </w:rPr>
        <w:t>The Contracting Authority informs that the Technical Specification does not lay down any specific criteria or restrictions with regard to the coordinated elements referred to in Paragraph A.18. At the same time, the Contracting Authority’s approach is based on rational and practical considerations and is intended to make use of standard solutions within the vehicle configuration offered by the Supplier.</w:t>
      </w:r>
    </w:p>
    <w:p w14:paraId="3A6BB4D8" w14:textId="77777777" w:rsidR="005B07D3" w:rsidRPr="0006010A" w:rsidRDefault="005B07D3" w:rsidP="005B07D3">
      <w:pPr>
        <w:ind w:firstLine="720"/>
        <w:jc w:val="both"/>
        <w:rPr>
          <w:lang w:val="en-GB"/>
        </w:rPr>
      </w:pPr>
      <w:r w:rsidRPr="0006010A">
        <w:rPr>
          <w:lang w:val="en-GB" w:bidi="en-GB"/>
        </w:rPr>
        <w:t>In addition, the basic functional requirements for the relevant elements to be agreed are set out in Section B of the Technical Specification, thereby ensuring that the selected solutions are consistent with the requirements of the Contracting Authority and with technical considerations.</w:t>
      </w:r>
    </w:p>
    <w:p w14:paraId="51058F6B" w14:textId="77777777" w:rsidR="005B07D3" w:rsidRPr="0006010A" w:rsidRDefault="005B07D3" w:rsidP="005B07D3">
      <w:pPr>
        <w:jc w:val="both"/>
        <w:rPr>
          <w:b/>
          <w:bCs/>
          <w:lang w:val="en-GB"/>
        </w:rPr>
      </w:pPr>
    </w:p>
    <w:p w14:paraId="5D5BEA9D" w14:textId="77777777" w:rsidR="005B07D3" w:rsidRPr="0006010A" w:rsidRDefault="005B07D3" w:rsidP="005B07D3">
      <w:pPr>
        <w:jc w:val="both"/>
        <w:rPr>
          <w:b/>
          <w:bCs/>
          <w:lang w:val="en-GB"/>
        </w:rPr>
      </w:pPr>
      <w:r w:rsidRPr="0006010A">
        <w:rPr>
          <w:b/>
          <w:lang w:val="en-GB" w:bidi="en-GB"/>
        </w:rPr>
        <w:t>As regards the second part of the question:</w:t>
      </w:r>
    </w:p>
    <w:p w14:paraId="2A4474B5" w14:textId="77777777" w:rsidR="005B07D3" w:rsidRPr="0006010A" w:rsidRDefault="005B07D3" w:rsidP="005B07D3">
      <w:pPr>
        <w:ind w:firstLine="720"/>
        <w:jc w:val="both"/>
        <w:rPr>
          <w:lang w:val="en-GB"/>
        </w:rPr>
      </w:pPr>
      <w:r w:rsidRPr="0006010A">
        <w:rPr>
          <w:lang w:val="en-GB" w:bidi="en-GB"/>
        </w:rPr>
        <w:t>The Contracting Authority does not intend to require solutions that are not compatible with the technical capabilities or design features of the vehicle or that go significantly beyond the standard solutions. The conciliation process shall involve constructive cooperation between the parties, taking into account the technical solution proposed by the Supplier.</w:t>
      </w:r>
    </w:p>
    <w:p w14:paraId="1F3E1E45" w14:textId="77777777" w:rsidR="005B07D3" w:rsidRPr="0006010A" w:rsidRDefault="005B07D3" w:rsidP="005B07D3">
      <w:pPr>
        <w:jc w:val="both"/>
        <w:rPr>
          <w:b/>
          <w:bCs/>
          <w:lang w:val="en-GB"/>
        </w:rPr>
      </w:pPr>
    </w:p>
    <w:p w14:paraId="2D1C00BA" w14:textId="77777777" w:rsidR="005B07D3" w:rsidRPr="0006010A" w:rsidRDefault="005B07D3" w:rsidP="005B07D3">
      <w:pPr>
        <w:jc w:val="both"/>
        <w:rPr>
          <w:b/>
          <w:bCs/>
          <w:lang w:val="en-GB"/>
        </w:rPr>
      </w:pPr>
      <w:r w:rsidRPr="0006010A">
        <w:rPr>
          <w:b/>
          <w:lang w:val="en-GB" w:bidi="en-GB"/>
        </w:rPr>
        <w:t>As regards the third part of the question:</w:t>
      </w:r>
    </w:p>
    <w:p w14:paraId="2654BA3C" w14:textId="77777777" w:rsidR="005B07D3" w:rsidRPr="0006010A" w:rsidRDefault="005B07D3" w:rsidP="005B07D3">
      <w:pPr>
        <w:ind w:firstLine="720"/>
        <w:jc w:val="both"/>
        <w:rPr>
          <w:lang w:val="en-GB"/>
        </w:rPr>
      </w:pPr>
      <w:r w:rsidRPr="0006010A">
        <w:rPr>
          <w:lang w:val="en-GB" w:bidi="en-GB"/>
        </w:rPr>
        <w:t>The Contracting Authority does not see any significant risks to the agreement process and its completion within the set timeframe, given that it is based on a choice of standard solutions and a mutually agreed approach.</w:t>
      </w:r>
    </w:p>
    <w:p w14:paraId="1B796165" w14:textId="77777777" w:rsidR="005B07D3" w:rsidRPr="0006010A" w:rsidRDefault="005B07D3" w:rsidP="005B07D3">
      <w:pPr>
        <w:ind w:firstLine="720"/>
        <w:jc w:val="both"/>
        <w:rPr>
          <w:lang w:val="en-GB"/>
        </w:rPr>
      </w:pPr>
      <w:r w:rsidRPr="0006010A">
        <w:rPr>
          <w:lang w:val="en-GB" w:bidi="en-GB"/>
        </w:rPr>
        <w:t>Please be further informed that the agreement provided for in Paragraph A.18 is aimed at specifying the vehicle configuration for the Contracting Authority's needs and not at a substantial change in the technical requirements.</w:t>
      </w:r>
    </w:p>
    <w:p w14:paraId="1A9A321D" w14:textId="77777777" w:rsidR="005B07D3" w:rsidRDefault="005B07D3" w:rsidP="005B07D3">
      <w:pPr>
        <w:ind w:right="-8" w:firstLine="720"/>
        <w:jc w:val="both"/>
        <w:rPr>
          <w:lang w:val="en-GB"/>
        </w:rPr>
      </w:pPr>
    </w:p>
    <w:p w14:paraId="3B4C7524" w14:textId="77777777" w:rsidR="00C96897" w:rsidRPr="0006010A" w:rsidRDefault="00C96897" w:rsidP="005B07D3">
      <w:pPr>
        <w:ind w:right="-8" w:firstLine="720"/>
        <w:jc w:val="both"/>
        <w:rPr>
          <w:lang w:val="en-GB"/>
        </w:rPr>
      </w:pPr>
    </w:p>
    <w:p w14:paraId="288154E2" w14:textId="77777777" w:rsidR="005B07D3" w:rsidRPr="0006010A" w:rsidRDefault="005B07D3" w:rsidP="005B07D3">
      <w:pPr>
        <w:ind w:right="-8"/>
        <w:jc w:val="both"/>
        <w:rPr>
          <w:b/>
          <w:bCs/>
          <w:lang w:val="en-GB"/>
        </w:rPr>
      </w:pPr>
      <w:r w:rsidRPr="0006010A">
        <w:rPr>
          <w:b/>
          <w:lang w:val="en-GB" w:bidi="en-GB"/>
        </w:rPr>
        <w:t>Question 7:</w:t>
      </w:r>
    </w:p>
    <w:p w14:paraId="04A22D7C" w14:textId="77777777" w:rsidR="005B07D3" w:rsidRPr="0006010A" w:rsidRDefault="005B07D3" w:rsidP="005B07D3">
      <w:pPr>
        <w:ind w:right="-8"/>
        <w:jc w:val="both"/>
        <w:rPr>
          <w:lang w:val="en-GB"/>
        </w:rPr>
      </w:pPr>
      <w:r w:rsidRPr="0006010A">
        <w:rPr>
          <w:lang w:val="en-GB" w:bidi="en-GB"/>
        </w:rPr>
        <w:t>Paragraph 13 of Category A of Annex 3.1 to the Regulations specifies that the minimum warranty must be provided for 3 years or 210,000 km (whichever comes first) or 70,000 km per year. The same is also stipulated in Paragraph 7 of Category A of Annex 3.1 to the Regulations.</w:t>
      </w:r>
    </w:p>
    <w:p w14:paraId="5CB7972E" w14:textId="77777777" w:rsidR="005B07D3" w:rsidRPr="0006010A" w:rsidRDefault="005B07D3" w:rsidP="005B07D3">
      <w:pPr>
        <w:ind w:right="-8" w:firstLine="720"/>
        <w:jc w:val="both"/>
        <w:rPr>
          <w:lang w:val="en-GB"/>
        </w:rPr>
      </w:pPr>
      <w:r w:rsidRPr="0006010A">
        <w:rPr>
          <w:lang w:val="en-GB" w:bidi="en-GB"/>
        </w:rPr>
        <w:t>However, in Paragraph 27.2.2.3 of the Regulations, additional technical tender points will be awarded if the warranty period for the bus is longer in years than that specified in the above paragraphs. For example, 4 years – 3 extra points.</w:t>
      </w:r>
    </w:p>
    <w:p w14:paraId="0A2FB534" w14:textId="77777777" w:rsidR="005B07D3" w:rsidRPr="0006010A" w:rsidRDefault="005B07D3" w:rsidP="005B07D3">
      <w:pPr>
        <w:ind w:right="-8" w:firstLine="720"/>
        <w:jc w:val="both"/>
        <w:rPr>
          <w:lang w:val="en-GB"/>
        </w:rPr>
      </w:pPr>
      <w:r w:rsidRPr="0006010A">
        <w:rPr>
          <w:lang w:val="en-GB" w:bidi="en-GB"/>
        </w:rPr>
        <w:t>In this case, can we assume that the annual mileage is 70,000 and the warranty is for 4 years or up to 280,000 km or 4 years with unlimited mileage?</w:t>
      </w:r>
    </w:p>
    <w:p w14:paraId="3E42D73C" w14:textId="77777777" w:rsidR="005B07D3" w:rsidRPr="0006010A" w:rsidRDefault="005B07D3" w:rsidP="005B07D3">
      <w:pPr>
        <w:ind w:right="-8"/>
        <w:jc w:val="both"/>
        <w:rPr>
          <w:b/>
          <w:bCs/>
          <w:lang w:val="en-GB"/>
        </w:rPr>
      </w:pPr>
    </w:p>
    <w:p w14:paraId="2547FE2D" w14:textId="77777777" w:rsidR="005B07D3" w:rsidRPr="0006010A" w:rsidRDefault="005B07D3" w:rsidP="005B07D3">
      <w:pPr>
        <w:ind w:right="-8"/>
        <w:jc w:val="both"/>
        <w:rPr>
          <w:b/>
          <w:bCs/>
          <w:lang w:val="en-GB"/>
        </w:rPr>
      </w:pPr>
      <w:r w:rsidRPr="0006010A">
        <w:rPr>
          <w:b/>
          <w:lang w:val="en-GB" w:bidi="en-GB"/>
        </w:rPr>
        <w:t>Answer 7:</w:t>
      </w:r>
    </w:p>
    <w:p w14:paraId="55EED4F8" w14:textId="77777777" w:rsidR="005B07D3" w:rsidRPr="0006010A" w:rsidRDefault="005B07D3" w:rsidP="005B07D3">
      <w:pPr>
        <w:ind w:firstLine="720"/>
        <w:jc w:val="both"/>
        <w:rPr>
          <w:lang w:val="en-GB"/>
        </w:rPr>
      </w:pPr>
      <w:r w:rsidRPr="0006010A">
        <w:rPr>
          <w:lang w:val="en-GB" w:bidi="en-GB"/>
        </w:rPr>
        <w:t>The Contracting Authority should clarify that, for the purposes of the evaluation criterion as well (Paragraphs 27.2 and 28.2(2.3) of the Regulations), the vehicle warranty period is to be interpreted in conjunction with the rate of use specified in the Technical Specification.</w:t>
      </w:r>
    </w:p>
    <w:p w14:paraId="466D1904" w14:textId="77777777" w:rsidR="005B07D3" w:rsidRPr="0006010A" w:rsidRDefault="005B07D3" w:rsidP="005B07D3">
      <w:pPr>
        <w:ind w:firstLine="720"/>
        <w:jc w:val="both"/>
        <w:rPr>
          <w:lang w:val="en-GB"/>
        </w:rPr>
      </w:pPr>
      <w:r w:rsidRPr="0006010A">
        <w:rPr>
          <w:lang w:val="en-GB" w:bidi="en-GB"/>
        </w:rPr>
        <w:t>Accordingly, it is acceptable to apply the average annual mileage defined in the Technical Specification (70,000 km/year) when setting the warranty period in years. For example, in the case of a 4-year warranty, this corresponds to a mileage of up to 280,000 km, unless more favourable conditions are agreed by the Supplier.</w:t>
      </w:r>
    </w:p>
    <w:p w14:paraId="62659002" w14:textId="77777777" w:rsidR="005B07D3" w:rsidRPr="0006010A" w:rsidRDefault="005B07D3" w:rsidP="005B07D3">
      <w:pPr>
        <w:ind w:firstLine="720"/>
        <w:jc w:val="both"/>
        <w:rPr>
          <w:lang w:val="en-GB"/>
        </w:rPr>
      </w:pPr>
      <w:r w:rsidRPr="0006010A">
        <w:rPr>
          <w:lang w:val="en-GB" w:bidi="en-GB"/>
        </w:rPr>
        <w:t>Therefore, the warranty is not interpreted as a warranty for a fixed number of years with no mileage limit.</w:t>
      </w:r>
    </w:p>
    <w:p w14:paraId="6D528998" w14:textId="77777777" w:rsidR="005B07D3" w:rsidRPr="0006010A" w:rsidRDefault="005B07D3" w:rsidP="005B07D3">
      <w:pPr>
        <w:ind w:right="372"/>
        <w:jc w:val="both"/>
        <w:outlineLvl w:val="0"/>
        <w:rPr>
          <w:lang w:val="en-GB"/>
        </w:rPr>
      </w:pPr>
    </w:p>
    <w:p w14:paraId="12758981" w14:textId="77777777" w:rsidR="005B07D3" w:rsidRPr="0006010A" w:rsidRDefault="005B07D3" w:rsidP="005B07D3">
      <w:pPr>
        <w:ind w:right="372"/>
        <w:jc w:val="both"/>
        <w:outlineLvl w:val="0"/>
        <w:rPr>
          <w:lang w:val="en-GB"/>
        </w:rPr>
      </w:pPr>
    </w:p>
    <w:p w14:paraId="4228C1F3" w14:textId="77777777" w:rsidR="005B07D3" w:rsidRPr="0006010A" w:rsidRDefault="005B07D3" w:rsidP="005B07D3">
      <w:pPr>
        <w:pStyle w:val="Footer"/>
        <w:rPr>
          <w:lang w:val="en-GB"/>
        </w:rPr>
      </w:pPr>
      <w:r w:rsidRPr="0006010A">
        <w:rPr>
          <w:lang w:val="en-GB" w:bidi="en-GB"/>
        </w:rPr>
        <w:t>Chairperson of the Procurement Commission</w:t>
      </w:r>
    </w:p>
    <w:p w14:paraId="30A567F0" w14:textId="4A749470" w:rsidR="005B07D3" w:rsidRPr="0006010A" w:rsidRDefault="005B07D3" w:rsidP="005B07D3">
      <w:pPr>
        <w:widowControl w:val="0"/>
        <w:tabs>
          <w:tab w:val="left" w:pos="764"/>
        </w:tabs>
        <w:spacing w:line="274" w:lineRule="exact"/>
        <w:rPr>
          <w:color w:val="000000"/>
          <w:lang w:val="en-GB" w:eastAsia="en-GB"/>
        </w:rPr>
      </w:pP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r>
      <w:r w:rsidRPr="0006010A">
        <w:rPr>
          <w:color w:val="000000"/>
          <w:lang w:val="en-GB" w:bidi="en-GB"/>
        </w:rPr>
        <w:tab/>
        <w:t>Karīna Meiberga</w:t>
      </w:r>
      <w:r w:rsidRPr="0006010A">
        <w:rPr>
          <w:color w:val="000000"/>
          <w:lang w:val="en-GB" w:bidi="en-GB"/>
        </w:rPr>
        <w:tab/>
        <w:t xml:space="preserve">                                      </w:t>
      </w:r>
    </w:p>
    <w:p w14:paraId="549121CD" w14:textId="77777777" w:rsidR="005B07D3" w:rsidRPr="0006010A" w:rsidRDefault="005B07D3" w:rsidP="005B07D3">
      <w:pPr>
        <w:widowControl w:val="0"/>
        <w:tabs>
          <w:tab w:val="left" w:pos="764"/>
        </w:tabs>
        <w:spacing w:line="274" w:lineRule="exact"/>
        <w:rPr>
          <w:color w:val="000000"/>
          <w:lang w:val="en-GB" w:eastAsia="en-GB"/>
        </w:rPr>
      </w:pPr>
      <w:r w:rsidRPr="0006010A">
        <w:rPr>
          <w:color w:val="000000"/>
          <w:lang w:val="en-GB" w:bidi="en-GB"/>
        </w:rPr>
        <w:t xml:space="preserve">                </w:t>
      </w:r>
    </w:p>
    <w:p w14:paraId="3F5838C5" w14:textId="77777777" w:rsidR="005B07D3" w:rsidRPr="0006010A" w:rsidRDefault="005B07D3" w:rsidP="005B07D3">
      <w:pPr>
        <w:rPr>
          <w:lang w:val="en-GB"/>
        </w:rPr>
      </w:pPr>
    </w:p>
    <w:p w14:paraId="3686AE44" w14:textId="77777777" w:rsidR="005B07D3" w:rsidRPr="0006010A" w:rsidRDefault="005B07D3" w:rsidP="005B07D3">
      <w:pPr>
        <w:tabs>
          <w:tab w:val="left" w:pos="1995"/>
        </w:tabs>
        <w:rPr>
          <w:sz w:val="16"/>
          <w:szCs w:val="16"/>
          <w:lang w:val="en-GB"/>
        </w:rPr>
      </w:pPr>
    </w:p>
    <w:p w14:paraId="29C643DE" w14:textId="77777777" w:rsidR="00AD6E80" w:rsidRPr="00071403" w:rsidRDefault="00AD6E80" w:rsidP="00611305">
      <w:pPr>
        <w:tabs>
          <w:tab w:val="left" w:pos="1995"/>
        </w:tabs>
        <w:rPr>
          <w:sz w:val="16"/>
          <w:szCs w:val="16"/>
        </w:rPr>
      </w:pPr>
    </w:p>
    <w:sectPr w:rsidR="00AD6E80" w:rsidRPr="00071403" w:rsidSect="00F25D58">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E83D" w14:textId="77777777" w:rsidR="00C47489" w:rsidRPr="008365EC" w:rsidRDefault="00C47489">
      <w:r w:rsidRPr="008365EC">
        <w:separator/>
      </w:r>
    </w:p>
  </w:endnote>
  <w:endnote w:type="continuationSeparator" w:id="0">
    <w:p w14:paraId="7B34E772" w14:textId="77777777" w:rsidR="00C47489" w:rsidRPr="008365EC" w:rsidRDefault="00C47489">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B6CE" w14:textId="77777777" w:rsidR="00C47489" w:rsidRPr="008365EC" w:rsidRDefault="00C47489">
      <w:r w:rsidRPr="008365EC">
        <w:separator/>
      </w:r>
    </w:p>
  </w:footnote>
  <w:footnote w:type="continuationSeparator" w:id="0">
    <w:p w14:paraId="3789E236" w14:textId="77777777" w:rsidR="00C47489" w:rsidRPr="008365EC" w:rsidRDefault="00C47489">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8E21A"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F2CBD47" w:rsidR="00BA1D4B" w:rsidRPr="008365EC" w:rsidRDefault="00A30B4E" w:rsidP="00BA1D4B">
    <w:pPr>
      <w:pStyle w:val="Header"/>
      <w:tabs>
        <w:tab w:val="left" w:pos="426"/>
        <w:tab w:val="left" w:pos="1418"/>
      </w:tabs>
      <w:jc w:val="both"/>
    </w:pPr>
    <w:bookmarkStart w:id="0" w:name="docDate"/>
    <w:bookmarkStart w:id="1" w:name="docNr"/>
    <w:bookmarkEnd w:id="0"/>
    <w:bookmarkEnd w:id="1"/>
    <w:r>
      <w:t>01.06.2026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0"/>
  </w:num>
  <w:num w:numId="2" w16cid:durableId="1870488046">
    <w:abstractNumId w:val="4"/>
  </w:num>
  <w:num w:numId="3" w16cid:durableId="2033219571">
    <w:abstractNumId w:val="6"/>
  </w:num>
  <w:num w:numId="4" w16cid:durableId="1779565406">
    <w:abstractNumId w:val="7"/>
  </w:num>
  <w:num w:numId="5" w16cid:durableId="745104887">
    <w:abstractNumId w:val="1"/>
  </w:num>
  <w:num w:numId="6" w16cid:durableId="300580002">
    <w:abstractNumId w:val="5"/>
  </w:num>
  <w:num w:numId="7" w16cid:durableId="1915967846">
    <w:abstractNumId w:val="2"/>
  </w:num>
  <w:num w:numId="8" w16cid:durableId="193419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6D94"/>
    <w:rsid w:val="00037BB3"/>
    <w:rsid w:val="0004246F"/>
    <w:rsid w:val="00042776"/>
    <w:rsid w:val="0004286D"/>
    <w:rsid w:val="000476FA"/>
    <w:rsid w:val="00051CF1"/>
    <w:rsid w:val="000525F0"/>
    <w:rsid w:val="00053F59"/>
    <w:rsid w:val="00055B82"/>
    <w:rsid w:val="00056137"/>
    <w:rsid w:val="00071007"/>
    <w:rsid w:val="00071403"/>
    <w:rsid w:val="000823F7"/>
    <w:rsid w:val="00083E27"/>
    <w:rsid w:val="00094E02"/>
    <w:rsid w:val="000A0105"/>
    <w:rsid w:val="000A1247"/>
    <w:rsid w:val="000A4CE4"/>
    <w:rsid w:val="000B4C19"/>
    <w:rsid w:val="000B56F3"/>
    <w:rsid w:val="000B5A63"/>
    <w:rsid w:val="000F04EB"/>
    <w:rsid w:val="000F35C1"/>
    <w:rsid w:val="000F3B09"/>
    <w:rsid w:val="000F4D78"/>
    <w:rsid w:val="000F6B23"/>
    <w:rsid w:val="0013079F"/>
    <w:rsid w:val="001349FA"/>
    <w:rsid w:val="0014150E"/>
    <w:rsid w:val="00142A15"/>
    <w:rsid w:val="0016355B"/>
    <w:rsid w:val="00163F7B"/>
    <w:rsid w:val="00172778"/>
    <w:rsid w:val="00175B46"/>
    <w:rsid w:val="00176AEB"/>
    <w:rsid w:val="0018082C"/>
    <w:rsid w:val="001817E8"/>
    <w:rsid w:val="001949B9"/>
    <w:rsid w:val="00197CAA"/>
    <w:rsid w:val="001A19C0"/>
    <w:rsid w:val="001A4A96"/>
    <w:rsid w:val="001A6CCB"/>
    <w:rsid w:val="001B000D"/>
    <w:rsid w:val="001B0DFB"/>
    <w:rsid w:val="001C1098"/>
    <w:rsid w:val="001C37D7"/>
    <w:rsid w:val="001C6F5A"/>
    <w:rsid w:val="001D43D0"/>
    <w:rsid w:val="001F123B"/>
    <w:rsid w:val="001F5D53"/>
    <w:rsid w:val="001F730D"/>
    <w:rsid w:val="0020229E"/>
    <w:rsid w:val="00204643"/>
    <w:rsid w:val="00220D37"/>
    <w:rsid w:val="00222574"/>
    <w:rsid w:val="00231433"/>
    <w:rsid w:val="00231F6F"/>
    <w:rsid w:val="00232B95"/>
    <w:rsid w:val="00233FCE"/>
    <w:rsid w:val="002355E8"/>
    <w:rsid w:val="0023780C"/>
    <w:rsid w:val="00240890"/>
    <w:rsid w:val="002425E4"/>
    <w:rsid w:val="00246DE4"/>
    <w:rsid w:val="00257800"/>
    <w:rsid w:val="00282249"/>
    <w:rsid w:val="00284596"/>
    <w:rsid w:val="00292289"/>
    <w:rsid w:val="002C0008"/>
    <w:rsid w:val="002C747A"/>
    <w:rsid w:val="002E0214"/>
    <w:rsid w:val="002E4835"/>
    <w:rsid w:val="002E786C"/>
    <w:rsid w:val="003029BF"/>
    <w:rsid w:val="00304338"/>
    <w:rsid w:val="003076C7"/>
    <w:rsid w:val="0031257F"/>
    <w:rsid w:val="0032335F"/>
    <w:rsid w:val="00325A6F"/>
    <w:rsid w:val="003414AF"/>
    <w:rsid w:val="003431DB"/>
    <w:rsid w:val="00344BFB"/>
    <w:rsid w:val="003645FD"/>
    <w:rsid w:val="003734D3"/>
    <w:rsid w:val="003817D3"/>
    <w:rsid w:val="003831A2"/>
    <w:rsid w:val="00384C24"/>
    <w:rsid w:val="003865B2"/>
    <w:rsid w:val="00386982"/>
    <w:rsid w:val="003877B2"/>
    <w:rsid w:val="003A01A5"/>
    <w:rsid w:val="003A76FA"/>
    <w:rsid w:val="003B486A"/>
    <w:rsid w:val="003C0CA0"/>
    <w:rsid w:val="003C2FBA"/>
    <w:rsid w:val="003C3AF3"/>
    <w:rsid w:val="003E205B"/>
    <w:rsid w:val="003E5070"/>
    <w:rsid w:val="003F6BC3"/>
    <w:rsid w:val="004008C2"/>
    <w:rsid w:val="00403F3D"/>
    <w:rsid w:val="00404C6B"/>
    <w:rsid w:val="00410642"/>
    <w:rsid w:val="004124BC"/>
    <w:rsid w:val="0042175E"/>
    <w:rsid w:val="004226C7"/>
    <w:rsid w:val="00423666"/>
    <w:rsid w:val="00427DCC"/>
    <w:rsid w:val="00434A29"/>
    <w:rsid w:val="004428E5"/>
    <w:rsid w:val="00446136"/>
    <w:rsid w:val="00446224"/>
    <w:rsid w:val="004542C7"/>
    <w:rsid w:val="00454D63"/>
    <w:rsid w:val="0047104A"/>
    <w:rsid w:val="004724EF"/>
    <w:rsid w:val="00472769"/>
    <w:rsid w:val="00472EEB"/>
    <w:rsid w:val="00490270"/>
    <w:rsid w:val="00492673"/>
    <w:rsid w:val="00495061"/>
    <w:rsid w:val="004A0D6C"/>
    <w:rsid w:val="004A46F2"/>
    <w:rsid w:val="004B7DA8"/>
    <w:rsid w:val="004C2F01"/>
    <w:rsid w:val="004C4326"/>
    <w:rsid w:val="004C4EA1"/>
    <w:rsid w:val="004C7363"/>
    <w:rsid w:val="004D3EB2"/>
    <w:rsid w:val="004D4267"/>
    <w:rsid w:val="004E0EFE"/>
    <w:rsid w:val="004E14A2"/>
    <w:rsid w:val="004F581B"/>
    <w:rsid w:val="004F7382"/>
    <w:rsid w:val="00500C93"/>
    <w:rsid w:val="005049FC"/>
    <w:rsid w:val="005064CE"/>
    <w:rsid w:val="00507FCF"/>
    <w:rsid w:val="005127FC"/>
    <w:rsid w:val="005154AF"/>
    <w:rsid w:val="005155A1"/>
    <w:rsid w:val="00525EB5"/>
    <w:rsid w:val="00526683"/>
    <w:rsid w:val="00535FCB"/>
    <w:rsid w:val="00542D58"/>
    <w:rsid w:val="0054525F"/>
    <w:rsid w:val="0054630E"/>
    <w:rsid w:val="00551D0D"/>
    <w:rsid w:val="005530B6"/>
    <w:rsid w:val="00556BCC"/>
    <w:rsid w:val="005607C7"/>
    <w:rsid w:val="00564212"/>
    <w:rsid w:val="00567414"/>
    <w:rsid w:val="00593771"/>
    <w:rsid w:val="00594C45"/>
    <w:rsid w:val="005A5F9B"/>
    <w:rsid w:val="005A7629"/>
    <w:rsid w:val="005B07D3"/>
    <w:rsid w:val="005B7FA3"/>
    <w:rsid w:val="005C450D"/>
    <w:rsid w:val="005C4D26"/>
    <w:rsid w:val="005D3325"/>
    <w:rsid w:val="005D3F37"/>
    <w:rsid w:val="005D7F6E"/>
    <w:rsid w:val="005E3DA9"/>
    <w:rsid w:val="005E42C6"/>
    <w:rsid w:val="005E46C2"/>
    <w:rsid w:val="005E591F"/>
    <w:rsid w:val="005F1D86"/>
    <w:rsid w:val="005F5364"/>
    <w:rsid w:val="006013BE"/>
    <w:rsid w:val="00605113"/>
    <w:rsid w:val="00605E6A"/>
    <w:rsid w:val="0061039B"/>
    <w:rsid w:val="00611305"/>
    <w:rsid w:val="006154A9"/>
    <w:rsid w:val="00621B2E"/>
    <w:rsid w:val="00630A2D"/>
    <w:rsid w:val="006339F1"/>
    <w:rsid w:val="00643F18"/>
    <w:rsid w:val="00646467"/>
    <w:rsid w:val="00681D93"/>
    <w:rsid w:val="00687345"/>
    <w:rsid w:val="006874A7"/>
    <w:rsid w:val="0068764F"/>
    <w:rsid w:val="006934FC"/>
    <w:rsid w:val="00697281"/>
    <w:rsid w:val="00697421"/>
    <w:rsid w:val="006A0886"/>
    <w:rsid w:val="006A45CD"/>
    <w:rsid w:val="006A672C"/>
    <w:rsid w:val="006B7E8D"/>
    <w:rsid w:val="006C2508"/>
    <w:rsid w:val="006C3F48"/>
    <w:rsid w:val="006D1C11"/>
    <w:rsid w:val="006D5B59"/>
    <w:rsid w:val="006F4AF6"/>
    <w:rsid w:val="00712459"/>
    <w:rsid w:val="007152FC"/>
    <w:rsid w:val="00717601"/>
    <w:rsid w:val="00730621"/>
    <w:rsid w:val="00741FB1"/>
    <w:rsid w:val="0075005B"/>
    <w:rsid w:val="007532F0"/>
    <w:rsid w:val="00756CAE"/>
    <w:rsid w:val="0076528F"/>
    <w:rsid w:val="00782B9D"/>
    <w:rsid w:val="00783CC9"/>
    <w:rsid w:val="007857EA"/>
    <w:rsid w:val="00786C3E"/>
    <w:rsid w:val="007875D1"/>
    <w:rsid w:val="007A34BE"/>
    <w:rsid w:val="007A74BA"/>
    <w:rsid w:val="007D4235"/>
    <w:rsid w:val="007D62F7"/>
    <w:rsid w:val="007F14FC"/>
    <w:rsid w:val="007F3584"/>
    <w:rsid w:val="008010C3"/>
    <w:rsid w:val="008034ED"/>
    <w:rsid w:val="008112DB"/>
    <w:rsid w:val="00813FFC"/>
    <w:rsid w:val="0081519B"/>
    <w:rsid w:val="00821A17"/>
    <w:rsid w:val="008248B8"/>
    <w:rsid w:val="00825028"/>
    <w:rsid w:val="008252B6"/>
    <w:rsid w:val="00832355"/>
    <w:rsid w:val="008365EC"/>
    <w:rsid w:val="00846A38"/>
    <w:rsid w:val="00847840"/>
    <w:rsid w:val="008533C8"/>
    <w:rsid w:val="0087576D"/>
    <w:rsid w:val="008940B5"/>
    <w:rsid w:val="00894A67"/>
    <w:rsid w:val="0089670C"/>
    <w:rsid w:val="008A2CD8"/>
    <w:rsid w:val="008B5680"/>
    <w:rsid w:val="008C273D"/>
    <w:rsid w:val="008C7639"/>
    <w:rsid w:val="008C7DD9"/>
    <w:rsid w:val="008D0382"/>
    <w:rsid w:val="008E3092"/>
    <w:rsid w:val="008E4C93"/>
    <w:rsid w:val="008F5D73"/>
    <w:rsid w:val="008F76D6"/>
    <w:rsid w:val="00901C98"/>
    <w:rsid w:val="00904B48"/>
    <w:rsid w:val="009134FF"/>
    <w:rsid w:val="00923D91"/>
    <w:rsid w:val="009258BC"/>
    <w:rsid w:val="0092743D"/>
    <w:rsid w:val="00931737"/>
    <w:rsid w:val="00934651"/>
    <w:rsid w:val="00934E5B"/>
    <w:rsid w:val="0094302F"/>
    <w:rsid w:val="00952FD4"/>
    <w:rsid w:val="009548CC"/>
    <w:rsid w:val="0095575C"/>
    <w:rsid w:val="00960D16"/>
    <w:rsid w:val="00972B4B"/>
    <w:rsid w:val="00984EA1"/>
    <w:rsid w:val="00990F49"/>
    <w:rsid w:val="009974F3"/>
    <w:rsid w:val="009978AA"/>
    <w:rsid w:val="009A1AA7"/>
    <w:rsid w:val="009B2578"/>
    <w:rsid w:val="009B3ACA"/>
    <w:rsid w:val="009E3710"/>
    <w:rsid w:val="009E5F7A"/>
    <w:rsid w:val="009F0750"/>
    <w:rsid w:val="00A075D3"/>
    <w:rsid w:val="00A23870"/>
    <w:rsid w:val="00A264CA"/>
    <w:rsid w:val="00A30B4E"/>
    <w:rsid w:val="00A3285A"/>
    <w:rsid w:val="00A35BA3"/>
    <w:rsid w:val="00A36920"/>
    <w:rsid w:val="00A42EF6"/>
    <w:rsid w:val="00A45251"/>
    <w:rsid w:val="00A466A6"/>
    <w:rsid w:val="00A47A54"/>
    <w:rsid w:val="00A52673"/>
    <w:rsid w:val="00A55640"/>
    <w:rsid w:val="00A65235"/>
    <w:rsid w:val="00A704BC"/>
    <w:rsid w:val="00A74E05"/>
    <w:rsid w:val="00A75326"/>
    <w:rsid w:val="00A90154"/>
    <w:rsid w:val="00A94E85"/>
    <w:rsid w:val="00A950BA"/>
    <w:rsid w:val="00AA0385"/>
    <w:rsid w:val="00AA0BA6"/>
    <w:rsid w:val="00AA0E4F"/>
    <w:rsid w:val="00AA3FCC"/>
    <w:rsid w:val="00AA6194"/>
    <w:rsid w:val="00AB152E"/>
    <w:rsid w:val="00AB25CE"/>
    <w:rsid w:val="00AB272A"/>
    <w:rsid w:val="00AB46EA"/>
    <w:rsid w:val="00AB5F0D"/>
    <w:rsid w:val="00AC5BB7"/>
    <w:rsid w:val="00AC6E12"/>
    <w:rsid w:val="00AC7F8B"/>
    <w:rsid w:val="00AD6E80"/>
    <w:rsid w:val="00AE08D0"/>
    <w:rsid w:val="00AE4880"/>
    <w:rsid w:val="00AE5BED"/>
    <w:rsid w:val="00AE66B7"/>
    <w:rsid w:val="00AF1038"/>
    <w:rsid w:val="00AF16F7"/>
    <w:rsid w:val="00AF3CC9"/>
    <w:rsid w:val="00B03DC1"/>
    <w:rsid w:val="00B03F61"/>
    <w:rsid w:val="00B04FCA"/>
    <w:rsid w:val="00B11F02"/>
    <w:rsid w:val="00B16827"/>
    <w:rsid w:val="00B17037"/>
    <w:rsid w:val="00B278AB"/>
    <w:rsid w:val="00B40397"/>
    <w:rsid w:val="00B5619F"/>
    <w:rsid w:val="00B62F57"/>
    <w:rsid w:val="00B6749A"/>
    <w:rsid w:val="00B67B48"/>
    <w:rsid w:val="00B739FC"/>
    <w:rsid w:val="00B74FDD"/>
    <w:rsid w:val="00B76FCA"/>
    <w:rsid w:val="00B7745C"/>
    <w:rsid w:val="00B80F87"/>
    <w:rsid w:val="00B829E7"/>
    <w:rsid w:val="00B9002B"/>
    <w:rsid w:val="00B91F97"/>
    <w:rsid w:val="00B93EE2"/>
    <w:rsid w:val="00B968F0"/>
    <w:rsid w:val="00BA1D4B"/>
    <w:rsid w:val="00BA486D"/>
    <w:rsid w:val="00BB28A2"/>
    <w:rsid w:val="00BB3132"/>
    <w:rsid w:val="00BB6551"/>
    <w:rsid w:val="00BB7662"/>
    <w:rsid w:val="00BC0733"/>
    <w:rsid w:val="00BD0053"/>
    <w:rsid w:val="00BD04C9"/>
    <w:rsid w:val="00BD40BD"/>
    <w:rsid w:val="00BD4F97"/>
    <w:rsid w:val="00BE6435"/>
    <w:rsid w:val="00BF3486"/>
    <w:rsid w:val="00C144F2"/>
    <w:rsid w:val="00C1499B"/>
    <w:rsid w:val="00C15633"/>
    <w:rsid w:val="00C2117D"/>
    <w:rsid w:val="00C2229A"/>
    <w:rsid w:val="00C24FC4"/>
    <w:rsid w:val="00C2685C"/>
    <w:rsid w:val="00C35484"/>
    <w:rsid w:val="00C43740"/>
    <w:rsid w:val="00C440B6"/>
    <w:rsid w:val="00C47489"/>
    <w:rsid w:val="00C60FF5"/>
    <w:rsid w:val="00C61343"/>
    <w:rsid w:val="00C634CD"/>
    <w:rsid w:val="00C80CAD"/>
    <w:rsid w:val="00C83E2B"/>
    <w:rsid w:val="00C84969"/>
    <w:rsid w:val="00C94F67"/>
    <w:rsid w:val="00C950CD"/>
    <w:rsid w:val="00C96897"/>
    <w:rsid w:val="00C96B4F"/>
    <w:rsid w:val="00CA73ED"/>
    <w:rsid w:val="00CB01FB"/>
    <w:rsid w:val="00CB467E"/>
    <w:rsid w:val="00CB6644"/>
    <w:rsid w:val="00CE0892"/>
    <w:rsid w:val="00CE763C"/>
    <w:rsid w:val="00CF0E0B"/>
    <w:rsid w:val="00CF2432"/>
    <w:rsid w:val="00CF3691"/>
    <w:rsid w:val="00CF78D1"/>
    <w:rsid w:val="00D0213A"/>
    <w:rsid w:val="00D045C9"/>
    <w:rsid w:val="00D05059"/>
    <w:rsid w:val="00D11D0A"/>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D61"/>
    <w:rsid w:val="00DA0C26"/>
    <w:rsid w:val="00DA6955"/>
    <w:rsid w:val="00DA6E49"/>
    <w:rsid w:val="00DB5348"/>
    <w:rsid w:val="00DC6352"/>
    <w:rsid w:val="00DD4467"/>
    <w:rsid w:val="00DE602E"/>
    <w:rsid w:val="00DE63E1"/>
    <w:rsid w:val="00DF7010"/>
    <w:rsid w:val="00E15A0F"/>
    <w:rsid w:val="00E17D97"/>
    <w:rsid w:val="00E270DB"/>
    <w:rsid w:val="00E3203C"/>
    <w:rsid w:val="00E3552D"/>
    <w:rsid w:val="00E41BD3"/>
    <w:rsid w:val="00E4450D"/>
    <w:rsid w:val="00E604D8"/>
    <w:rsid w:val="00E6066D"/>
    <w:rsid w:val="00E6219B"/>
    <w:rsid w:val="00E71BDB"/>
    <w:rsid w:val="00E74E3E"/>
    <w:rsid w:val="00E763A3"/>
    <w:rsid w:val="00E76AA5"/>
    <w:rsid w:val="00E825A9"/>
    <w:rsid w:val="00E85B8A"/>
    <w:rsid w:val="00E9627C"/>
    <w:rsid w:val="00EA33E9"/>
    <w:rsid w:val="00EA3C8D"/>
    <w:rsid w:val="00EB089E"/>
    <w:rsid w:val="00EB3D84"/>
    <w:rsid w:val="00EB4ADB"/>
    <w:rsid w:val="00EB5174"/>
    <w:rsid w:val="00ED464B"/>
    <w:rsid w:val="00ED782C"/>
    <w:rsid w:val="00EE4F1D"/>
    <w:rsid w:val="00F01C15"/>
    <w:rsid w:val="00F07192"/>
    <w:rsid w:val="00F10150"/>
    <w:rsid w:val="00F127CF"/>
    <w:rsid w:val="00F14C75"/>
    <w:rsid w:val="00F213A8"/>
    <w:rsid w:val="00F25D58"/>
    <w:rsid w:val="00F37ED3"/>
    <w:rsid w:val="00F42529"/>
    <w:rsid w:val="00F504FF"/>
    <w:rsid w:val="00F527AA"/>
    <w:rsid w:val="00F547CD"/>
    <w:rsid w:val="00F60E97"/>
    <w:rsid w:val="00F631D4"/>
    <w:rsid w:val="00F83C9D"/>
    <w:rsid w:val="00F84DED"/>
    <w:rsid w:val="00F862F0"/>
    <w:rsid w:val="00F95981"/>
    <w:rsid w:val="00FA10AA"/>
    <w:rsid w:val="00FA15B6"/>
    <w:rsid w:val="00FA2BB2"/>
    <w:rsid w:val="00FC7B99"/>
    <w:rsid w:val="00FD3DAC"/>
    <w:rsid w:val="00FD4C4F"/>
    <w:rsid w:val="00FD6730"/>
    <w:rsid w:val="00FE0013"/>
    <w:rsid w:val="00FE036D"/>
    <w:rsid w:val="00FE6162"/>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BA4EBF0D-C3B3-4F0B-AD61-C34050407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3731</Words>
  <Characters>20631</Characters>
  <Application>Microsoft Office Word</Application>
  <DocSecurity>0</DocSecurity>
  <Lines>171</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2026-06-01T11:25:00Z</dcterms:created>
  <dcterms:modified xsi:type="dcterms:W3CDTF">2026-06-01T11:26:00Z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