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4D9B"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14.2</w:t>
      </w:r>
    </w:p>
    <w:p w14:paraId="665A26B2"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Purchaser's insurance requirements:</w:t>
      </w:r>
    </w:p>
    <w:p w14:paraId="2B8B7061"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a.</w:t>
      </w:r>
    </w:p>
    <w:p w14:paraId="1F62FA6E"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 shall provide and maintain in full force for the duration of the Contract (unless specified otherwise) the following insurance coverage:</w:t>
      </w:r>
    </w:p>
    <w:p w14:paraId="332E027D" w14:textId="77777777" w:rsidR="00221020" w:rsidRPr="00C739B8" w:rsidRDefault="00221020" w:rsidP="00221020">
      <w:pPr>
        <w:jc w:val="both"/>
        <w:rPr>
          <w:rFonts w:ascii="Times New Roman" w:hAnsi="Times New Roman" w:cs="Times New Roman"/>
          <w:lang w:val="en-GB"/>
        </w:rPr>
      </w:pPr>
      <w:proofErr w:type="spellStart"/>
      <w:r w:rsidRPr="00C739B8">
        <w:rPr>
          <w:rFonts w:ascii="Times New Roman" w:hAnsi="Times New Roman" w:cs="Times New Roman"/>
          <w:lang w:val="en-GB"/>
        </w:rPr>
        <w:t>i</w:t>
      </w:r>
      <w:proofErr w:type="spellEnd"/>
    </w:p>
    <w:p w14:paraId="0722358D"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Workers' Compensation and any other statutory insurance required by Applicable Law with respect to work-related injuries or disease of employees of Purchaser applicable to Purchaser's employees in such form(s) and amount(s) as required by Applicable Law, and Employer's Liability Coverage with limits of no less than EUR 1,000,000 per occurrence for bodily injury and for bodily injury by disease, and EUR 1,000,000 in the aggregate for bodily injury by disease.</w:t>
      </w:r>
    </w:p>
    <w:p w14:paraId="466D2848"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ii</w:t>
      </w:r>
    </w:p>
    <w:p w14:paraId="64AF25A0"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Commercial General Liability insurance, in broad form including products-completed operations coverage and coverage for liability assumed under contract, providing coverage for bodily injury and property damage with limits of no less than EUR 2,000,000 per occurrence and EUR 5,000,000 in the aggregate cumulative total of underlying and excess or umbrella coverages.</w:t>
      </w:r>
    </w:p>
    <w:p w14:paraId="2E43524D"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iii</w:t>
      </w:r>
    </w:p>
    <w:p w14:paraId="67B93261"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Builder's Risk insurance providing coverage for all risks of loss on a replacement cost value basis, with limits sufficient to fund full replacement cost, applicable until Completion of the Work.</w:t>
      </w:r>
    </w:p>
    <w:p w14:paraId="46CEAE58"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iv</w:t>
      </w:r>
    </w:p>
    <w:p w14:paraId="69953C84"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 xml:space="preserve">Property insurance providing coverage for all risks of loss on a replacement cost value basis, with limits sufficient to fund full replacement cost. </w:t>
      </w:r>
    </w:p>
    <w:p w14:paraId="5434BD08" w14:textId="0AD35CA1"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 xml:space="preserve">© 2024 | </w:t>
      </w:r>
      <w:hyperlink r:id="rId4" w:history="1">
        <w:r w:rsidRPr="00C739B8">
          <w:rPr>
            <w:rStyle w:val="Hipersaite"/>
            <w:rFonts w:ascii="Times New Roman" w:hAnsi="Times New Roman" w:cs="Times New Roman"/>
            <w:lang w:val="en-GB"/>
          </w:rPr>
          <w:t>www.nelhydrogen.com</w:t>
        </w:r>
      </w:hyperlink>
      <w:r w:rsidRPr="00C739B8">
        <w:rPr>
          <w:rFonts w:ascii="Times New Roman" w:hAnsi="Times New Roman" w:cs="Times New Roman"/>
          <w:lang w:val="en-GB"/>
        </w:rPr>
        <w:t xml:space="preserve"> 17 of 25</w:t>
      </w:r>
    </w:p>
    <w:p w14:paraId="2695C347" w14:textId="34EF0A19"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Nel proprietary. This document and its accompanying elements contain information which is proprietary and confidential and the property of Nel ASA and/or its affiliates. Any disclosure, copying, distribution or use is prohibited if not otherwise explicitly agreed with Nel in writing. Any authorized reproduction, in whole or in part, must include this legend. © 2010-2024 Nel – All rights</w:t>
      </w:r>
    </w:p>
    <w:p w14:paraId="5A715036"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b.</w:t>
      </w:r>
    </w:p>
    <w:p w14:paraId="481F0427"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 shall provide Supplier, upon request, with certificates of insurance showing policy coverage and limits for policies required under clause 28.2(a).</w:t>
      </w:r>
    </w:p>
    <w:p w14:paraId="68EF3285"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c.</w:t>
      </w:r>
    </w:p>
    <w:p w14:paraId="3B71F6CD"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lastRenderedPageBreak/>
        <w:t>All liability insurance coverages (except for Workers' Compensation) required herein to be provided and maintained by Purchaser shall (</w:t>
      </w:r>
      <w:proofErr w:type="spellStart"/>
      <w:r w:rsidRPr="00C739B8">
        <w:rPr>
          <w:rFonts w:ascii="Times New Roman" w:hAnsi="Times New Roman" w:cs="Times New Roman"/>
          <w:lang w:val="en-GB"/>
        </w:rPr>
        <w:t>i</w:t>
      </w:r>
      <w:proofErr w:type="spellEnd"/>
      <w:r w:rsidRPr="00C739B8">
        <w:rPr>
          <w:rFonts w:ascii="Times New Roman" w:hAnsi="Times New Roman" w:cs="Times New Roman"/>
          <w:lang w:val="en-GB"/>
        </w:rPr>
        <w:t xml:space="preserve">) contain a "separation of insureds" or cross-liability coverage feature and (ii) name the members of the Supplier Group as additional insureds, such "additional insured" coverage to (a) insure the members of the Supplier Group with respect to damages "arising out of" Purchaser's work, (b) apply to ongoing operations, (c) apply to completed operations, and (d) apply on a primary and non-contributory basis with respect to any other applicable coverage maintained by the Supplier Group. All first-party insurance coverages shall name the members of the Supplier Group as loss payees; </w:t>
      </w:r>
      <w:proofErr w:type="gramStart"/>
      <w:r w:rsidRPr="00C739B8">
        <w:rPr>
          <w:rFonts w:ascii="Times New Roman" w:hAnsi="Times New Roman" w:cs="Times New Roman"/>
          <w:lang w:val="en-GB"/>
        </w:rPr>
        <w:t>and,</w:t>
      </w:r>
      <w:proofErr w:type="gramEnd"/>
      <w:r w:rsidRPr="00C739B8">
        <w:rPr>
          <w:rFonts w:ascii="Times New Roman" w:hAnsi="Times New Roman" w:cs="Times New Roman"/>
          <w:lang w:val="en-GB"/>
        </w:rPr>
        <w:t xml:space="preserve"> Purchaser shall waive its right of subrogation and shall cause its insurer(s) to waive the right of subrogation against members of the Supplier Group with respect to all required insurance coverages and policies.</w:t>
      </w:r>
    </w:p>
    <w:p w14:paraId="1E15F230"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d.</w:t>
      </w:r>
    </w:p>
    <w:p w14:paraId="4AF8DB80"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 shall cause all other contractors and subcontractors performing work at the Site to carry similar insurance coverage and limits (excluding Builder's All Risk insurance), which policies shall also name the members of the Supplier Group as additional insureds (for liability insurance coverages) and loss payees (for first-party insurance coverages) and shall include waivers of the right of subrogation against members of the Supplier Group as contemplated under clause 27.2(c).</w:t>
      </w:r>
    </w:p>
    <w:p w14:paraId="4809A2F4"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e.</w:t>
      </w:r>
    </w:p>
    <w:p w14:paraId="34BD423C"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Notwithstanding any other provision herein to the contrary, including Supplier's indemnification obligations under clause 12.1, Purchaser shall be solely responsible for any and all deductibles and/or retention amounts under the insurance policies required to be provided and maintained by Purchaser under this clause 28.2 and Supplier shall have no responsibility or liability therefor under the Contract, whether by indemnity or otherwise.</w:t>
      </w:r>
    </w:p>
    <w:p w14:paraId="5BA2B83C"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14.3</w:t>
      </w:r>
    </w:p>
    <w:p w14:paraId="0C82B7BB"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The Parties shall procure and maintain, or cause to be procured and maintained, in full force and effect, insurance that meets the requirements set forth in the Contract and identified as Supplier's or Purchaser's responsibility, as applicable, with one or more duly licensed insurance carriers. The failure of a Party to procure and maintain or cause to be procured and maintained such insurance and/or meet the requirements in connection therewith set forth in the Contract shall constitute a material breach of the Contract by the Party failing to do so and, in such case, the non-breaching Party shall be entitled to recover all Losses that it may incur or that may arise as a result of such breach, which Losses for the purpose of the Contract shall be deemed to be damages of the non-breaching Party. For the avoidance of doubt, any such damages shall be subject to the limitations set forth in Article 13.</w:t>
      </w:r>
    </w:p>
    <w:p w14:paraId="574F071E" w14:textId="77777777" w:rsidR="00221020" w:rsidRPr="00C739B8" w:rsidRDefault="00221020" w:rsidP="00221020">
      <w:pPr>
        <w:jc w:val="both"/>
        <w:rPr>
          <w:rFonts w:ascii="Times New Roman" w:hAnsi="Times New Roman" w:cs="Times New Roman"/>
          <w:lang w:val="en-GB"/>
        </w:rPr>
      </w:pPr>
    </w:p>
    <w:sectPr w:rsidR="00221020" w:rsidRPr="00C739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20"/>
    <w:rsid w:val="00221020"/>
    <w:rsid w:val="00590D01"/>
    <w:rsid w:val="00714F5F"/>
    <w:rsid w:val="00BF3CE5"/>
    <w:rsid w:val="00C739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A0A0"/>
  <w15:chartTrackingRefBased/>
  <w15:docId w15:val="{D1F7AE47-AA29-4ACB-AE78-0469111F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2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2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2102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2102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102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102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102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102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102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102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2102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2102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2102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2102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210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10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10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10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10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102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10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10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1020"/>
    <w:rPr>
      <w:i/>
      <w:iCs/>
      <w:color w:val="404040" w:themeColor="text1" w:themeTint="BF"/>
    </w:rPr>
  </w:style>
  <w:style w:type="paragraph" w:styleId="Sarakstarindkopa">
    <w:name w:val="List Paragraph"/>
    <w:basedOn w:val="Parasts"/>
    <w:uiPriority w:val="34"/>
    <w:qFormat/>
    <w:rsid w:val="00221020"/>
    <w:pPr>
      <w:ind w:left="720"/>
      <w:contextualSpacing/>
    </w:pPr>
  </w:style>
  <w:style w:type="character" w:styleId="Intensvsizclums">
    <w:name w:val="Intense Emphasis"/>
    <w:basedOn w:val="Noklusjumarindkopasfonts"/>
    <w:uiPriority w:val="21"/>
    <w:qFormat/>
    <w:rsid w:val="00221020"/>
    <w:rPr>
      <w:i/>
      <w:iCs/>
      <w:color w:val="0F4761" w:themeColor="accent1" w:themeShade="BF"/>
    </w:rPr>
  </w:style>
  <w:style w:type="paragraph" w:styleId="Intensvscitts">
    <w:name w:val="Intense Quote"/>
    <w:basedOn w:val="Parasts"/>
    <w:next w:val="Parasts"/>
    <w:link w:val="IntensvscittsRakstz"/>
    <w:uiPriority w:val="30"/>
    <w:qFormat/>
    <w:rsid w:val="0022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1020"/>
    <w:rPr>
      <w:i/>
      <w:iCs/>
      <w:color w:val="0F4761" w:themeColor="accent1" w:themeShade="BF"/>
    </w:rPr>
  </w:style>
  <w:style w:type="character" w:styleId="Intensvaatsauce">
    <w:name w:val="Intense Reference"/>
    <w:basedOn w:val="Noklusjumarindkopasfonts"/>
    <w:uiPriority w:val="32"/>
    <w:qFormat/>
    <w:rsid w:val="00221020"/>
    <w:rPr>
      <w:b/>
      <w:bCs/>
      <w:smallCaps/>
      <w:color w:val="0F4761" w:themeColor="accent1" w:themeShade="BF"/>
      <w:spacing w:val="5"/>
    </w:rPr>
  </w:style>
  <w:style w:type="character" w:styleId="Hipersaite">
    <w:name w:val="Hyperlink"/>
    <w:basedOn w:val="Noklusjumarindkopasfonts"/>
    <w:uiPriority w:val="99"/>
    <w:unhideWhenUsed/>
    <w:rsid w:val="00221020"/>
    <w:rPr>
      <w:color w:val="467886" w:themeColor="hyperlink"/>
      <w:u w:val="single"/>
    </w:rPr>
  </w:style>
  <w:style w:type="character" w:styleId="Neatrisintapieminana">
    <w:name w:val="Unresolved Mention"/>
    <w:basedOn w:val="Noklusjumarindkopasfonts"/>
    <w:uiPriority w:val="99"/>
    <w:semiHidden/>
    <w:unhideWhenUsed/>
    <w:rsid w:val="0022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92895">
      <w:bodyDiv w:val="1"/>
      <w:marLeft w:val="0"/>
      <w:marRight w:val="0"/>
      <w:marTop w:val="0"/>
      <w:marBottom w:val="0"/>
      <w:divBdr>
        <w:top w:val="none" w:sz="0" w:space="0" w:color="auto"/>
        <w:left w:val="none" w:sz="0" w:space="0" w:color="auto"/>
        <w:bottom w:val="none" w:sz="0" w:space="0" w:color="auto"/>
        <w:right w:val="none" w:sz="0" w:space="0" w:color="auto"/>
      </w:divBdr>
    </w:div>
    <w:div w:id="20614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lhydrogen.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3063</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2</cp:revision>
  <dcterms:created xsi:type="dcterms:W3CDTF">2026-01-15T09:20:00Z</dcterms:created>
  <dcterms:modified xsi:type="dcterms:W3CDTF">2026-01-19T11:04:00Z</dcterms:modified>
</cp:coreProperties>
</file>