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FE2E" w14:textId="0E924CA9" w:rsidR="00B67B48" w:rsidRDefault="003F55CA" w:rsidP="001C1098">
      <w:pPr>
        <w:rPr>
          <w:lang w:val="lv-LV"/>
        </w:rPr>
      </w:pPr>
      <w:r>
        <w:rPr>
          <w:lang w:val="lv-LV"/>
        </w:rPr>
        <w:t>03</w:t>
      </w:r>
      <w:r w:rsidR="00C74B9B">
        <w:rPr>
          <w:lang w:val="lv-LV"/>
        </w:rPr>
        <w:t>.03.20026.</w:t>
      </w:r>
    </w:p>
    <w:p w14:paraId="503BCFDC" w14:textId="77777777" w:rsidR="00F21FC4" w:rsidRPr="00D129C7" w:rsidRDefault="00F21FC4" w:rsidP="00F21FC4">
      <w:pPr>
        <w:rPr>
          <w:lang w:val="lv-LV"/>
        </w:rPr>
      </w:pPr>
    </w:p>
    <w:p w14:paraId="21A20943" w14:textId="77777777" w:rsidR="00F21FC4" w:rsidRPr="00D129C7" w:rsidRDefault="00F21FC4" w:rsidP="00F21FC4">
      <w:pPr>
        <w:rPr>
          <w:i/>
          <w:iCs/>
          <w:lang w:val="lv-LV"/>
        </w:rPr>
      </w:pPr>
      <w:r w:rsidRPr="00D129C7">
        <w:rPr>
          <w:i/>
          <w:iCs/>
          <w:lang w:val="lv-LV"/>
        </w:rPr>
        <w:t>Par iepirkuma procedūras</w:t>
      </w:r>
    </w:p>
    <w:p w14:paraId="4B2AAB6D" w14:textId="77777777" w:rsidR="00E94CC6" w:rsidRDefault="00F21FC4" w:rsidP="00E94CC6">
      <w:pPr>
        <w:rPr>
          <w:i/>
          <w:iCs/>
          <w:lang w:val="lv-LV"/>
        </w:rPr>
      </w:pPr>
      <w:r w:rsidRPr="00D129C7">
        <w:rPr>
          <w:i/>
          <w:iCs/>
          <w:lang w:val="lv-LV"/>
        </w:rPr>
        <w:t xml:space="preserve">“Tramvaja pieturvietu pārbūve un sliežu ceļu posmu atjaunošana </w:t>
      </w:r>
    </w:p>
    <w:p w14:paraId="604A0523" w14:textId="04C1965B" w:rsidR="00F21FC4" w:rsidRPr="00D129C7" w:rsidRDefault="00F21FC4" w:rsidP="00E94CC6">
      <w:pPr>
        <w:rPr>
          <w:i/>
          <w:iCs/>
          <w:lang w:val="lv-LV"/>
        </w:rPr>
      </w:pPr>
      <w:r w:rsidRPr="00D129C7">
        <w:rPr>
          <w:i/>
          <w:iCs/>
          <w:lang w:val="lv-LV"/>
        </w:rPr>
        <w:t>11. tramvaja maršrutā no</w:t>
      </w:r>
      <w:r w:rsidR="002F6D6D">
        <w:rPr>
          <w:i/>
          <w:iCs/>
          <w:lang w:val="lv-LV"/>
        </w:rPr>
        <w:t xml:space="preserve"> </w:t>
      </w:r>
      <w:proofErr w:type="spellStart"/>
      <w:r w:rsidRPr="00D129C7">
        <w:rPr>
          <w:i/>
          <w:iCs/>
          <w:lang w:val="lv-LV"/>
        </w:rPr>
        <w:t>Kr</w:t>
      </w:r>
      <w:proofErr w:type="spellEnd"/>
      <w:r w:rsidRPr="00D129C7">
        <w:rPr>
          <w:i/>
          <w:iCs/>
          <w:lang w:val="lv-LV"/>
        </w:rPr>
        <w:t>. Barona ielas līdz Mežaparkam. 2.kārta (</w:t>
      </w:r>
      <w:proofErr w:type="spellStart"/>
      <w:r w:rsidRPr="00D129C7">
        <w:rPr>
          <w:i/>
          <w:iCs/>
          <w:lang w:val="lv-LV"/>
        </w:rPr>
        <w:t>Rusova</w:t>
      </w:r>
      <w:proofErr w:type="spellEnd"/>
      <w:r w:rsidRPr="00D129C7">
        <w:rPr>
          <w:i/>
          <w:iCs/>
          <w:lang w:val="lv-LV"/>
        </w:rPr>
        <w:t xml:space="preserve"> iela/VID)”</w:t>
      </w:r>
    </w:p>
    <w:p w14:paraId="12B3F997" w14:textId="77777777" w:rsidR="00F21FC4" w:rsidRPr="00D129C7" w:rsidRDefault="00F21FC4" w:rsidP="00F21FC4">
      <w:pPr>
        <w:rPr>
          <w:i/>
          <w:iCs/>
          <w:lang w:val="lv-LV"/>
        </w:rPr>
      </w:pPr>
      <w:r w:rsidRPr="00D129C7">
        <w:rPr>
          <w:i/>
          <w:iCs/>
          <w:lang w:val="lv-LV"/>
        </w:rPr>
        <w:t>Identifikācijas Nr. RS/2026/14  nolikumu</w:t>
      </w:r>
    </w:p>
    <w:p w14:paraId="1D7AE296" w14:textId="77777777" w:rsidR="00F21FC4" w:rsidRPr="00D129C7" w:rsidRDefault="00F21FC4" w:rsidP="00F21FC4">
      <w:pPr>
        <w:spacing w:line="259" w:lineRule="auto"/>
        <w:rPr>
          <w:rFonts w:eastAsiaTheme="minorHAnsi"/>
          <w:i/>
          <w:iCs/>
          <w:lang w:val="lv-LV"/>
        </w:rPr>
      </w:pPr>
    </w:p>
    <w:p w14:paraId="0E5347F9" w14:textId="77777777" w:rsidR="00F21FC4" w:rsidRPr="00D129C7" w:rsidRDefault="00F21FC4" w:rsidP="00F21FC4">
      <w:pPr>
        <w:tabs>
          <w:tab w:val="left" w:pos="9356"/>
        </w:tabs>
        <w:jc w:val="both"/>
        <w:rPr>
          <w:lang w:val="lv-LV"/>
        </w:rPr>
      </w:pPr>
      <w:r w:rsidRPr="00D129C7">
        <w:rPr>
          <w:rFonts w:eastAsiaTheme="minorHAnsi"/>
          <w:lang w:val="lv-LV"/>
        </w:rPr>
        <w:tab/>
      </w:r>
      <w:r w:rsidRPr="00D129C7">
        <w:rPr>
          <w:lang w:val="lv-LV"/>
        </w:rPr>
        <w:t xml:space="preserve">Rīgas pašvaldības sabiedrības ar ierobežotu atbildību „Rīgas satiksme” Iepirkuma komisija (turpmāk – Pasūtītājs) no iespējamā pretendenta ir saņēmusi vēstuli ar lūgumu sniegt skaidrojumu par nolikumā ietvertajām prasībām. </w:t>
      </w:r>
    </w:p>
    <w:p w14:paraId="1B622698" w14:textId="77777777" w:rsidR="00F21FC4" w:rsidRPr="00D129C7" w:rsidRDefault="00F21FC4" w:rsidP="00F21FC4">
      <w:pPr>
        <w:spacing w:before="240"/>
        <w:jc w:val="both"/>
        <w:rPr>
          <w:b/>
          <w:bCs/>
          <w:i/>
          <w:iCs/>
          <w:lang w:val="lv-LV"/>
        </w:rPr>
      </w:pPr>
      <w:r w:rsidRPr="00D129C7">
        <w:rPr>
          <w:b/>
          <w:bCs/>
          <w:i/>
          <w:iCs/>
          <w:lang w:val="lv-LV"/>
        </w:rPr>
        <w:t xml:space="preserve">Jautājums:  </w:t>
      </w:r>
    </w:p>
    <w:p w14:paraId="0F46D82B" w14:textId="36937B65" w:rsidR="00F21FC4" w:rsidRPr="00C3244C" w:rsidRDefault="00125B1E" w:rsidP="00F21FC4">
      <w:pPr>
        <w:rPr>
          <w:i/>
          <w:iCs/>
          <w:lang w:val="lv-LV"/>
        </w:rPr>
      </w:pPr>
      <w:r w:rsidRPr="00C3244C">
        <w:rPr>
          <w:i/>
          <w:iCs/>
          <w:lang w:val="lv-LV"/>
        </w:rPr>
        <w:t xml:space="preserve">Būvprojekta TS-CD sadaļas rasējumā ‘’TS-CD-12-1 Šķērsprofili un detaļas’’ attēloti sekojoši </w:t>
      </w:r>
      <w:proofErr w:type="spellStart"/>
      <w:r w:rsidRPr="00C3244C">
        <w:rPr>
          <w:i/>
          <w:iCs/>
          <w:lang w:val="lv-LV"/>
        </w:rPr>
        <w:t>redeļtekņu</w:t>
      </w:r>
      <w:proofErr w:type="spellEnd"/>
      <w:r w:rsidRPr="00C3244C">
        <w:rPr>
          <w:i/>
          <w:iCs/>
          <w:lang w:val="lv-LV"/>
        </w:rPr>
        <w:t xml:space="preserve"> elementi:</w:t>
      </w:r>
    </w:p>
    <w:p w14:paraId="1D11C949" w14:textId="03D3611D" w:rsidR="00125B1E" w:rsidRPr="00125B1E" w:rsidRDefault="008D5DC9" w:rsidP="00F21FC4">
      <w:pPr>
        <w:rPr>
          <w:lang w:val="lv-LV"/>
        </w:rPr>
      </w:pPr>
      <w:r w:rsidRPr="004D02F5">
        <w:rPr>
          <w:noProof/>
        </w:rPr>
        <w:drawing>
          <wp:anchor distT="0" distB="0" distL="114300" distR="114300" simplePos="0" relativeHeight="251659264" behindDoc="0" locked="0" layoutInCell="1" allowOverlap="1" wp14:anchorId="76B54D3E" wp14:editId="5AFD8729">
            <wp:simplePos x="0" y="0"/>
            <wp:positionH relativeFrom="margin">
              <wp:posOffset>251043</wp:posOffset>
            </wp:positionH>
            <wp:positionV relativeFrom="paragraph">
              <wp:posOffset>42219</wp:posOffset>
            </wp:positionV>
            <wp:extent cx="4843780" cy="2745740"/>
            <wp:effectExtent l="0" t="0" r="0" b="0"/>
            <wp:wrapSquare wrapText="bothSides"/>
            <wp:docPr id="405255271" name="Picture 2" descr="A blueprint of a conveyor be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55271" name="Picture 2" descr="A blueprint of a conveyor bel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3780" cy="2745740"/>
                    </a:xfrm>
                    <a:prstGeom prst="rect">
                      <a:avLst/>
                    </a:prstGeom>
                    <a:noFill/>
                  </pic:spPr>
                </pic:pic>
              </a:graphicData>
            </a:graphic>
            <wp14:sizeRelH relativeFrom="margin">
              <wp14:pctWidth>0</wp14:pctWidth>
            </wp14:sizeRelH>
            <wp14:sizeRelV relativeFrom="margin">
              <wp14:pctHeight>0</wp14:pctHeight>
            </wp14:sizeRelV>
          </wp:anchor>
        </w:drawing>
      </w:r>
    </w:p>
    <w:p w14:paraId="7BF02FF6" w14:textId="7386D2CD" w:rsidR="003F5827" w:rsidRDefault="003F5827" w:rsidP="00F21FC4">
      <w:pPr>
        <w:rPr>
          <w:lang w:val="lv-LV"/>
        </w:rPr>
      </w:pPr>
    </w:p>
    <w:p w14:paraId="1336C6BE" w14:textId="728F7048" w:rsidR="003F5827" w:rsidRDefault="003F5827" w:rsidP="00F21FC4">
      <w:pPr>
        <w:rPr>
          <w:lang w:val="lv-LV"/>
        </w:rPr>
      </w:pPr>
    </w:p>
    <w:p w14:paraId="55FD4FF9" w14:textId="77777777" w:rsidR="003F5827" w:rsidRPr="00D129C7" w:rsidRDefault="003F5827" w:rsidP="00F21FC4">
      <w:pPr>
        <w:rPr>
          <w:lang w:val="lv-LV"/>
        </w:rPr>
      </w:pPr>
    </w:p>
    <w:p w14:paraId="642DE5B2" w14:textId="77777777" w:rsidR="008D5DC9" w:rsidRDefault="008D5DC9" w:rsidP="00F21FC4">
      <w:pPr>
        <w:contextualSpacing/>
        <w:jc w:val="both"/>
        <w:rPr>
          <w:b/>
          <w:bCs/>
          <w:lang w:val="lv-LV" w:eastAsia="lv-LV"/>
        </w:rPr>
      </w:pPr>
    </w:p>
    <w:p w14:paraId="3C9354DD" w14:textId="77777777" w:rsidR="008D5DC9" w:rsidRDefault="008D5DC9" w:rsidP="00F21FC4">
      <w:pPr>
        <w:contextualSpacing/>
        <w:jc w:val="both"/>
        <w:rPr>
          <w:b/>
          <w:bCs/>
          <w:lang w:val="lv-LV" w:eastAsia="lv-LV"/>
        </w:rPr>
      </w:pPr>
    </w:p>
    <w:p w14:paraId="4B2C4CFE" w14:textId="77777777" w:rsidR="008D5DC9" w:rsidRDefault="008D5DC9" w:rsidP="00F21FC4">
      <w:pPr>
        <w:contextualSpacing/>
        <w:jc w:val="both"/>
        <w:rPr>
          <w:b/>
          <w:bCs/>
          <w:lang w:val="lv-LV" w:eastAsia="lv-LV"/>
        </w:rPr>
      </w:pPr>
    </w:p>
    <w:p w14:paraId="771EF000" w14:textId="77777777" w:rsidR="008D5DC9" w:rsidRDefault="008D5DC9" w:rsidP="00F21FC4">
      <w:pPr>
        <w:contextualSpacing/>
        <w:jc w:val="both"/>
        <w:rPr>
          <w:b/>
          <w:bCs/>
          <w:lang w:val="lv-LV" w:eastAsia="lv-LV"/>
        </w:rPr>
      </w:pPr>
    </w:p>
    <w:p w14:paraId="49E39CAC" w14:textId="77777777" w:rsidR="008D5DC9" w:rsidRDefault="008D5DC9" w:rsidP="00F21FC4">
      <w:pPr>
        <w:contextualSpacing/>
        <w:jc w:val="both"/>
        <w:rPr>
          <w:b/>
          <w:bCs/>
          <w:lang w:val="lv-LV" w:eastAsia="lv-LV"/>
        </w:rPr>
      </w:pPr>
    </w:p>
    <w:p w14:paraId="28973D3C" w14:textId="77777777" w:rsidR="008D5DC9" w:rsidRDefault="008D5DC9" w:rsidP="00F21FC4">
      <w:pPr>
        <w:contextualSpacing/>
        <w:jc w:val="both"/>
        <w:rPr>
          <w:b/>
          <w:bCs/>
          <w:lang w:val="lv-LV" w:eastAsia="lv-LV"/>
        </w:rPr>
      </w:pPr>
    </w:p>
    <w:p w14:paraId="394D8452" w14:textId="77777777" w:rsidR="008D5DC9" w:rsidRDefault="008D5DC9" w:rsidP="00F21FC4">
      <w:pPr>
        <w:contextualSpacing/>
        <w:jc w:val="both"/>
        <w:rPr>
          <w:b/>
          <w:bCs/>
          <w:lang w:val="lv-LV" w:eastAsia="lv-LV"/>
        </w:rPr>
      </w:pPr>
    </w:p>
    <w:p w14:paraId="5FE96E44" w14:textId="77777777" w:rsidR="008D5DC9" w:rsidRDefault="008D5DC9" w:rsidP="00F21FC4">
      <w:pPr>
        <w:contextualSpacing/>
        <w:jc w:val="both"/>
        <w:rPr>
          <w:b/>
          <w:bCs/>
          <w:lang w:val="lv-LV" w:eastAsia="lv-LV"/>
        </w:rPr>
      </w:pPr>
    </w:p>
    <w:p w14:paraId="174E0595" w14:textId="77777777" w:rsidR="008D5DC9" w:rsidRDefault="008D5DC9" w:rsidP="00F21FC4">
      <w:pPr>
        <w:contextualSpacing/>
        <w:jc w:val="both"/>
        <w:rPr>
          <w:b/>
          <w:bCs/>
          <w:lang w:val="lv-LV" w:eastAsia="lv-LV"/>
        </w:rPr>
      </w:pPr>
    </w:p>
    <w:p w14:paraId="4A61C969" w14:textId="77777777" w:rsidR="008D5DC9" w:rsidRDefault="008D5DC9" w:rsidP="00F21FC4">
      <w:pPr>
        <w:contextualSpacing/>
        <w:jc w:val="both"/>
        <w:rPr>
          <w:b/>
          <w:bCs/>
          <w:lang w:val="lv-LV" w:eastAsia="lv-LV"/>
        </w:rPr>
      </w:pPr>
    </w:p>
    <w:p w14:paraId="44BE661D" w14:textId="77777777" w:rsidR="008D5DC9" w:rsidRDefault="008D5DC9" w:rsidP="00F21FC4">
      <w:pPr>
        <w:contextualSpacing/>
        <w:jc w:val="both"/>
        <w:rPr>
          <w:b/>
          <w:bCs/>
          <w:lang w:val="lv-LV" w:eastAsia="lv-LV"/>
        </w:rPr>
      </w:pPr>
    </w:p>
    <w:p w14:paraId="1FA1566F" w14:textId="77777777" w:rsidR="008D5DC9" w:rsidRDefault="008D5DC9" w:rsidP="00F21FC4">
      <w:pPr>
        <w:contextualSpacing/>
        <w:jc w:val="both"/>
        <w:rPr>
          <w:b/>
          <w:bCs/>
          <w:lang w:val="lv-LV" w:eastAsia="lv-LV"/>
        </w:rPr>
      </w:pPr>
    </w:p>
    <w:p w14:paraId="6C5F6859" w14:textId="77777777" w:rsidR="008D5DC9" w:rsidRDefault="008D5DC9" w:rsidP="00F21FC4">
      <w:pPr>
        <w:contextualSpacing/>
        <w:jc w:val="both"/>
        <w:rPr>
          <w:b/>
          <w:bCs/>
          <w:lang w:val="lv-LV" w:eastAsia="lv-LV"/>
        </w:rPr>
      </w:pPr>
    </w:p>
    <w:p w14:paraId="2D52590B" w14:textId="77777777" w:rsidR="00C3244C" w:rsidRPr="00C3244C" w:rsidRDefault="00C3244C" w:rsidP="00C3244C">
      <w:pPr>
        <w:pStyle w:val="NoSpacing"/>
        <w:ind w:firstLine="720"/>
        <w:jc w:val="both"/>
        <w:rPr>
          <w:rFonts w:ascii="Times New Roman" w:hAnsi="Times New Roman" w:cs="Times New Roman"/>
          <w:i/>
          <w:iCs/>
          <w:sz w:val="24"/>
          <w:szCs w:val="24"/>
        </w:rPr>
      </w:pPr>
      <w:r w:rsidRPr="00C3244C">
        <w:rPr>
          <w:rFonts w:ascii="Times New Roman" w:hAnsi="Times New Roman" w:cs="Times New Roman"/>
          <w:i/>
          <w:iCs/>
          <w:sz w:val="24"/>
          <w:szCs w:val="24"/>
        </w:rPr>
        <w:t xml:space="preserve">Savukārt, darbu daudzumu sarakstā nav minēta neviena pozīcija, saistībā ar ūdens </w:t>
      </w:r>
      <w:proofErr w:type="spellStart"/>
      <w:r w:rsidRPr="00C3244C">
        <w:rPr>
          <w:rFonts w:ascii="Times New Roman" w:hAnsi="Times New Roman" w:cs="Times New Roman"/>
          <w:i/>
          <w:iCs/>
          <w:sz w:val="24"/>
          <w:szCs w:val="24"/>
        </w:rPr>
        <w:t>novades</w:t>
      </w:r>
      <w:proofErr w:type="spellEnd"/>
      <w:r w:rsidRPr="00C3244C">
        <w:rPr>
          <w:rFonts w:ascii="Times New Roman" w:hAnsi="Times New Roman" w:cs="Times New Roman"/>
          <w:i/>
          <w:iCs/>
          <w:sz w:val="24"/>
          <w:szCs w:val="24"/>
        </w:rPr>
        <w:t xml:space="preserve"> </w:t>
      </w:r>
      <w:proofErr w:type="spellStart"/>
      <w:r w:rsidRPr="00C3244C">
        <w:rPr>
          <w:rFonts w:ascii="Times New Roman" w:hAnsi="Times New Roman" w:cs="Times New Roman"/>
          <w:i/>
          <w:iCs/>
          <w:sz w:val="24"/>
          <w:szCs w:val="24"/>
        </w:rPr>
        <w:t>redeļteknēm</w:t>
      </w:r>
      <w:proofErr w:type="spellEnd"/>
      <w:r w:rsidRPr="00C3244C">
        <w:rPr>
          <w:rFonts w:ascii="Times New Roman" w:hAnsi="Times New Roman" w:cs="Times New Roman"/>
          <w:i/>
          <w:iCs/>
          <w:sz w:val="24"/>
          <w:szCs w:val="24"/>
        </w:rPr>
        <w:t xml:space="preserve">. </w:t>
      </w:r>
    </w:p>
    <w:p w14:paraId="4B2EB836" w14:textId="77777777" w:rsidR="00C3244C" w:rsidRPr="00C3244C" w:rsidRDefault="00C3244C" w:rsidP="00C3244C">
      <w:pPr>
        <w:pStyle w:val="NoSpacing"/>
        <w:ind w:firstLine="720"/>
        <w:jc w:val="both"/>
        <w:rPr>
          <w:rFonts w:ascii="Times New Roman" w:hAnsi="Times New Roman" w:cs="Times New Roman"/>
          <w:i/>
          <w:iCs/>
          <w:sz w:val="24"/>
          <w:szCs w:val="24"/>
        </w:rPr>
      </w:pPr>
      <w:r w:rsidRPr="00C3244C">
        <w:rPr>
          <w:rFonts w:ascii="Times New Roman" w:hAnsi="Times New Roman" w:cs="Times New Roman"/>
          <w:i/>
          <w:iCs/>
          <w:sz w:val="24"/>
          <w:szCs w:val="24"/>
        </w:rPr>
        <w:t>Lūdzam Pasūtītāju skaidrot nesakritības, nepieciešamības gadījumā veicot grozījumus iepirkuma dokumentācijā.</w:t>
      </w:r>
    </w:p>
    <w:p w14:paraId="64EE8551" w14:textId="77777777" w:rsidR="008D5DC9" w:rsidRPr="00C3244C" w:rsidRDefault="008D5DC9" w:rsidP="00F21FC4">
      <w:pPr>
        <w:contextualSpacing/>
        <w:jc w:val="both"/>
        <w:rPr>
          <w:b/>
          <w:bCs/>
          <w:i/>
          <w:iCs/>
          <w:lang w:val="lv-LV" w:eastAsia="lv-LV"/>
        </w:rPr>
      </w:pPr>
    </w:p>
    <w:p w14:paraId="087913FF" w14:textId="050A062E" w:rsidR="009358F4" w:rsidRPr="009358F4" w:rsidRDefault="00F21FC4" w:rsidP="00BF770F">
      <w:pPr>
        <w:contextualSpacing/>
        <w:jc w:val="both"/>
        <w:rPr>
          <w:rFonts w:eastAsiaTheme="minorHAnsi"/>
          <w:kern w:val="2"/>
          <w:lang w:val="lv-LV"/>
          <w14:ligatures w14:val="standardContextual"/>
        </w:rPr>
      </w:pPr>
      <w:r w:rsidRPr="009358F4">
        <w:rPr>
          <w:b/>
          <w:bCs/>
          <w:lang w:val="lv-LV" w:eastAsia="lv-LV"/>
        </w:rPr>
        <w:t>Atbilde:</w:t>
      </w:r>
      <w:r w:rsidRPr="009358F4">
        <w:rPr>
          <w:lang w:val="lv-LV"/>
        </w:rPr>
        <w:t xml:space="preserve"> </w:t>
      </w:r>
      <w:r w:rsidR="00BF770F">
        <w:rPr>
          <w:lang w:val="lv-LV"/>
        </w:rPr>
        <w:t xml:space="preserve"> Paskaidrojam, ka b</w:t>
      </w:r>
      <w:r w:rsidR="009358F4" w:rsidRPr="009358F4">
        <w:rPr>
          <w:rFonts w:eastAsiaTheme="minorHAnsi"/>
          <w:kern w:val="2"/>
          <w:lang w:val="lv-LV"/>
          <w14:ligatures w14:val="standardContextual"/>
        </w:rPr>
        <w:t xml:space="preserve">ūvprojektā “Tramvaja pieturvietu pārbūve un sliežu ceļu posmu atjaunošana 11. tramvaja maršrutā no </w:t>
      </w:r>
      <w:proofErr w:type="spellStart"/>
      <w:r w:rsidR="009358F4" w:rsidRPr="009358F4">
        <w:rPr>
          <w:rFonts w:eastAsiaTheme="minorHAnsi"/>
          <w:kern w:val="2"/>
          <w:lang w:val="lv-LV"/>
          <w14:ligatures w14:val="standardContextual"/>
        </w:rPr>
        <w:t>Kr</w:t>
      </w:r>
      <w:proofErr w:type="spellEnd"/>
      <w:r w:rsidR="009358F4" w:rsidRPr="009358F4">
        <w:rPr>
          <w:rFonts w:eastAsiaTheme="minorHAnsi"/>
          <w:kern w:val="2"/>
          <w:lang w:val="lv-LV"/>
          <w14:ligatures w14:val="standardContextual"/>
        </w:rPr>
        <w:t xml:space="preserve">. Barona ielas līdz Mežaparkam” 2026. gada 6. februārī tika veiktas izmaiņas, kas apstiprinātas </w:t>
      </w:r>
      <w:r w:rsidR="002F6D6D">
        <w:rPr>
          <w:rFonts w:eastAsiaTheme="minorHAnsi"/>
          <w:kern w:val="2"/>
          <w:lang w:val="lv-LV"/>
          <w14:ligatures w14:val="standardContextual"/>
        </w:rPr>
        <w:t xml:space="preserve">ar </w:t>
      </w:r>
      <w:r w:rsidR="009358F4" w:rsidRPr="009358F4">
        <w:rPr>
          <w:rFonts w:eastAsiaTheme="minorHAnsi"/>
          <w:kern w:val="2"/>
          <w:lang w:val="lv-LV"/>
          <w14:ligatures w14:val="standardContextual"/>
        </w:rPr>
        <w:t>institūcij</w:t>
      </w:r>
      <w:r w:rsidR="002F6D6D">
        <w:rPr>
          <w:rFonts w:eastAsiaTheme="minorHAnsi"/>
          <w:kern w:val="2"/>
          <w:lang w:val="lv-LV"/>
          <w14:ligatures w14:val="standardContextual"/>
        </w:rPr>
        <w:t>as</w:t>
      </w:r>
      <w:r w:rsidR="009358F4" w:rsidRPr="009358F4">
        <w:rPr>
          <w:rFonts w:eastAsiaTheme="minorHAnsi"/>
          <w:kern w:val="2"/>
          <w:lang w:val="lv-LV"/>
          <w14:ligatures w14:val="standardContextual"/>
        </w:rPr>
        <w:t>, kura pilda būvvaldes funkciju, lēmumu Nr.</w:t>
      </w:r>
      <w:bookmarkStart w:id="0" w:name="DOCUMENT_NUMBER"/>
      <w:r w:rsidR="009358F4" w:rsidRPr="009358F4">
        <w:rPr>
          <w:rFonts w:eastAsiaTheme="minorHAnsi"/>
          <w:kern w:val="2"/>
          <w:lang w:val="lv-LV"/>
          <w14:ligatures w14:val="standardContextual"/>
        </w:rPr>
        <w:t xml:space="preserve"> BIS-BV-4.10-2026-951 (</w:t>
      </w:r>
      <w:r w:rsidR="009358F4" w:rsidRPr="009358F4">
        <w:rPr>
          <w:rFonts w:eastAsiaTheme="minorHAnsi"/>
          <w:kern w:val="2"/>
          <w:lang w:val="lv-LV"/>
          <w14:ligatures w14:val="standardContextual"/>
        </w:rPr>
        <w:fldChar w:fldCharType="begin"/>
      </w:r>
      <w:r w:rsidR="009358F4" w:rsidRPr="009358F4">
        <w:rPr>
          <w:rFonts w:eastAsiaTheme="minorHAnsi"/>
          <w:kern w:val="2"/>
          <w:lang w:val="lv-LV"/>
          <w14:ligatures w14:val="standardContextual"/>
        </w:rPr>
        <w:instrText>DOCPROPERTY #DOC_NR#</w:instrText>
      </w:r>
      <w:r w:rsidR="009358F4" w:rsidRPr="009358F4">
        <w:rPr>
          <w:rFonts w:eastAsiaTheme="minorHAnsi"/>
          <w:kern w:val="2"/>
          <w:lang w:val="lv-LV"/>
          <w14:ligatures w14:val="standardContextual"/>
        </w:rPr>
        <w:fldChar w:fldCharType="separate"/>
      </w:r>
      <w:r w:rsidR="009358F4" w:rsidRPr="009358F4">
        <w:rPr>
          <w:rFonts w:eastAsiaTheme="minorHAnsi"/>
          <w:kern w:val="2"/>
          <w:lang w:val="lv-LV"/>
          <w14:ligatures w14:val="standardContextual"/>
        </w:rPr>
        <w:t>DA-26-3499-nd</w:t>
      </w:r>
      <w:r w:rsidR="009358F4" w:rsidRPr="009358F4">
        <w:rPr>
          <w:rFonts w:eastAsiaTheme="minorHAnsi"/>
          <w:kern w:val="2"/>
          <w:lang w:val="lv-LV"/>
          <w14:ligatures w14:val="standardContextual"/>
        </w:rPr>
        <w:fldChar w:fldCharType="end"/>
      </w:r>
      <w:r w:rsidR="009358F4" w:rsidRPr="009358F4">
        <w:rPr>
          <w:rFonts w:eastAsiaTheme="minorHAnsi"/>
          <w:kern w:val="2"/>
          <w:lang w:val="lv-LV"/>
          <w14:ligatures w14:val="standardContextual"/>
        </w:rPr>
        <w:t>)</w:t>
      </w:r>
      <w:bookmarkEnd w:id="0"/>
      <w:r w:rsidR="009358F4" w:rsidRPr="009358F4">
        <w:rPr>
          <w:rFonts w:eastAsiaTheme="minorHAnsi"/>
          <w:kern w:val="2"/>
          <w:lang w:val="lv-LV"/>
          <w14:ligatures w14:val="standardContextual"/>
        </w:rPr>
        <w:t xml:space="preserve">. Ar attiecīgajām izmaiņām </w:t>
      </w:r>
      <w:r w:rsidR="002F6D6D">
        <w:rPr>
          <w:rFonts w:eastAsiaTheme="minorHAnsi"/>
          <w:kern w:val="2"/>
          <w:lang w:val="lv-LV"/>
          <w14:ligatures w14:val="standardContextual"/>
        </w:rPr>
        <w:t xml:space="preserve">minētais </w:t>
      </w:r>
      <w:r w:rsidR="009358F4" w:rsidRPr="009358F4">
        <w:rPr>
          <w:rFonts w:eastAsiaTheme="minorHAnsi"/>
          <w:kern w:val="2"/>
          <w:lang w:val="lv-LV"/>
          <w14:ligatures w14:val="standardContextual"/>
        </w:rPr>
        <w:t xml:space="preserve">būvprojekts tika sadalīts kārtās, nemainot katras pieturvietas tehniskos risinājumus. Kārtu dalījums ir skatāms rasējumā GP-1A_Vispārīgo_rādītāju_lapa. </w:t>
      </w:r>
    </w:p>
    <w:p w14:paraId="2800D277" w14:textId="504AFE0F" w:rsidR="009358F4" w:rsidRPr="009358F4" w:rsidRDefault="009358F4" w:rsidP="0048250C">
      <w:pPr>
        <w:overflowPunct w:val="0"/>
        <w:autoSpaceDE w:val="0"/>
        <w:ind w:right="-43" w:firstLine="720"/>
        <w:jc w:val="both"/>
        <w:textAlignment w:val="baseline"/>
        <w:rPr>
          <w:rFonts w:eastAsiaTheme="minorHAnsi"/>
          <w:kern w:val="2"/>
          <w:lang w:val="lv-LV"/>
          <w14:ligatures w14:val="standardContextual"/>
        </w:rPr>
      </w:pPr>
      <w:r w:rsidRPr="009358F4">
        <w:rPr>
          <w:rFonts w:eastAsiaTheme="minorHAnsi"/>
          <w:kern w:val="2"/>
          <w:lang w:val="lv-LV"/>
          <w14:ligatures w14:val="standardContextual"/>
        </w:rPr>
        <w:lastRenderedPageBreak/>
        <w:t xml:space="preserve">TS-CD daļas rasējumā “TS-CD-12-1 Šķērsprofili un detaļas” ir uzrādītas konstrukciju un detaļu detalizācijas, kas attiecas ne tikai uz pieturvietas </w:t>
      </w:r>
      <w:proofErr w:type="spellStart"/>
      <w:r w:rsidRPr="009358F4">
        <w:rPr>
          <w:rFonts w:eastAsiaTheme="minorHAnsi"/>
          <w:kern w:val="2"/>
          <w:lang w:val="lv-LV"/>
          <w14:ligatures w14:val="standardContextual"/>
        </w:rPr>
        <w:t>Rusova</w:t>
      </w:r>
      <w:proofErr w:type="spellEnd"/>
      <w:r w:rsidRPr="009358F4">
        <w:rPr>
          <w:rFonts w:eastAsiaTheme="minorHAnsi"/>
          <w:kern w:val="2"/>
          <w:lang w:val="lv-LV"/>
          <w14:ligatures w14:val="standardContextual"/>
        </w:rPr>
        <w:t xml:space="preserve"> iela/VID risinājumiem, bet arī pārējo kārtu risinājumiem. Attiecīgi detalizācija “Ūdens uztvērējs (</w:t>
      </w:r>
      <w:proofErr w:type="spellStart"/>
      <w:r w:rsidRPr="009358F4">
        <w:rPr>
          <w:rFonts w:eastAsiaTheme="minorHAnsi"/>
          <w:kern w:val="2"/>
          <w:lang w:val="lv-LV"/>
          <w14:ligatures w14:val="standardContextual"/>
        </w:rPr>
        <w:t>redeļtekne</w:t>
      </w:r>
      <w:proofErr w:type="spellEnd"/>
      <w:r w:rsidRPr="009358F4">
        <w:rPr>
          <w:rFonts w:eastAsiaTheme="minorHAnsi"/>
          <w:kern w:val="2"/>
          <w:lang w:val="lv-LV"/>
          <w14:ligatures w14:val="standardContextual"/>
        </w:rPr>
        <w:t xml:space="preserve">) sliežu ceļā” nav pielietojama pieturvietā </w:t>
      </w:r>
      <w:proofErr w:type="spellStart"/>
      <w:r w:rsidRPr="009358F4">
        <w:rPr>
          <w:rFonts w:eastAsiaTheme="minorHAnsi"/>
          <w:kern w:val="2"/>
          <w:lang w:val="lv-LV"/>
          <w14:ligatures w14:val="standardContextual"/>
        </w:rPr>
        <w:t>Rusova</w:t>
      </w:r>
      <w:proofErr w:type="spellEnd"/>
      <w:r w:rsidRPr="009358F4">
        <w:rPr>
          <w:rFonts w:eastAsiaTheme="minorHAnsi"/>
          <w:kern w:val="2"/>
          <w:lang w:val="lv-LV"/>
          <w14:ligatures w14:val="standardContextual"/>
        </w:rPr>
        <w:t xml:space="preserve"> iela/VID, bet gan citās pieturvietās. </w:t>
      </w:r>
    </w:p>
    <w:p w14:paraId="4296D4E1" w14:textId="77777777" w:rsidR="009358F4" w:rsidRPr="009358F4" w:rsidRDefault="009358F4" w:rsidP="0048250C">
      <w:pPr>
        <w:ind w:firstLine="720"/>
        <w:jc w:val="both"/>
        <w:rPr>
          <w:rFonts w:eastAsiaTheme="minorHAnsi"/>
          <w:kern w:val="2"/>
          <w:sz w:val="20"/>
          <w:szCs w:val="22"/>
          <w:lang w:val="lv-LV"/>
          <w14:ligatures w14:val="standardContextual"/>
        </w:rPr>
      </w:pPr>
      <w:r w:rsidRPr="009358F4">
        <w:rPr>
          <w:rFonts w:eastAsiaTheme="minorHAnsi"/>
          <w:kern w:val="2"/>
          <w:lang w:val="lv-LV"/>
          <w14:ligatures w14:val="standardContextual"/>
        </w:rPr>
        <w:t xml:space="preserve">TS-CD daļas rasējumā “TS-CD-2-6_Rusova_iela_VID_R2” nav uzrādītas </w:t>
      </w:r>
      <w:proofErr w:type="spellStart"/>
      <w:r w:rsidRPr="009358F4">
        <w:rPr>
          <w:rFonts w:eastAsiaTheme="minorHAnsi"/>
          <w:kern w:val="2"/>
          <w:lang w:val="lv-LV"/>
          <w14:ligatures w14:val="standardContextual"/>
        </w:rPr>
        <w:t>redeļteknes</w:t>
      </w:r>
      <w:proofErr w:type="spellEnd"/>
      <w:r w:rsidRPr="009358F4">
        <w:rPr>
          <w:rFonts w:eastAsiaTheme="minorHAnsi"/>
          <w:kern w:val="2"/>
          <w:lang w:val="lv-LV"/>
          <w14:ligatures w14:val="standardContextual"/>
        </w:rPr>
        <w:t>, tādēļ arī būvdarbu apjomos tās nav paredzētas un grozījumi iepirkuma dokumentācijā nav nepieciešami.</w:t>
      </w:r>
      <w:r w:rsidRPr="009358F4">
        <w:rPr>
          <w:rFonts w:eastAsiaTheme="minorHAnsi"/>
          <w:kern w:val="2"/>
          <w:sz w:val="20"/>
          <w:szCs w:val="22"/>
          <w:lang w:val="lv-LV"/>
          <w14:ligatures w14:val="standardContextual"/>
        </w:rPr>
        <w:t xml:space="preserve"> </w:t>
      </w:r>
    </w:p>
    <w:p w14:paraId="425C4765" w14:textId="77777777" w:rsidR="00F21FC4" w:rsidRPr="009358F4" w:rsidRDefault="00F21FC4" w:rsidP="00F21FC4">
      <w:pPr>
        <w:contextualSpacing/>
        <w:jc w:val="both"/>
        <w:rPr>
          <w:b/>
          <w:bCs/>
          <w:lang w:val="lv-LV" w:eastAsia="lv-LV"/>
        </w:rPr>
      </w:pPr>
    </w:p>
    <w:p w14:paraId="358B5E3C" w14:textId="77777777" w:rsidR="00936B91" w:rsidRPr="00936B91" w:rsidRDefault="00936B91" w:rsidP="00936B91">
      <w:pPr>
        <w:pStyle w:val="NoSpacing"/>
        <w:jc w:val="both"/>
        <w:rPr>
          <w:rFonts w:ascii="Times New Roman" w:hAnsi="Times New Roman" w:cs="Times New Roman"/>
          <w:b/>
          <w:bCs/>
          <w:i/>
          <w:iCs/>
          <w:sz w:val="24"/>
          <w:szCs w:val="24"/>
        </w:rPr>
      </w:pPr>
      <w:r w:rsidRPr="00936B91">
        <w:rPr>
          <w:rFonts w:ascii="Times New Roman" w:hAnsi="Times New Roman" w:cs="Times New Roman"/>
          <w:b/>
          <w:bCs/>
          <w:i/>
          <w:iCs/>
          <w:sz w:val="24"/>
          <w:szCs w:val="24"/>
        </w:rPr>
        <w:t xml:space="preserve">Jautājums: </w:t>
      </w:r>
    </w:p>
    <w:p w14:paraId="4005FD8A" w14:textId="10695FC2" w:rsidR="00936B91" w:rsidRPr="00936B91" w:rsidRDefault="00936B91" w:rsidP="00936B91">
      <w:pPr>
        <w:pStyle w:val="NoSpacing"/>
        <w:ind w:firstLine="709"/>
        <w:jc w:val="both"/>
        <w:rPr>
          <w:rFonts w:ascii="Times New Roman" w:hAnsi="Times New Roman" w:cs="Times New Roman"/>
          <w:i/>
          <w:iCs/>
          <w:sz w:val="24"/>
          <w:szCs w:val="24"/>
        </w:rPr>
      </w:pPr>
      <w:r w:rsidRPr="00936B91">
        <w:rPr>
          <w:rFonts w:ascii="Times New Roman" w:hAnsi="Times New Roman" w:cs="Times New Roman"/>
          <w:i/>
          <w:iCs/>
          <w:sz w:val="24"/>
          <w:szCs w:val="24"/>
        </w:rPr>
        <w:t xml:space="preserve">Darba daudzumu saraksta TS-CD sadaļā, darbu sadaļā Nr. 5.2 (Ietves, iebrauktuvju asfalta segumi) izbūvējamā asfalta seguma kvadratūra ir 240 m2, savukārt šajā sadaļā iekļauto izbūvējamo šķembu un smilts apjomi ir attiecīgi 24 m3 (izbūvējami 15 cm biezumā) un 68 m3 (izbūvējami 30 cm biezumā), kas atbilst kvadratūrai attiecīgi 160 m2 un 226,67 m2. </w:t>
      </w:r>
    </w:p>
    <w:p w14:paraId="40DC71DF" w14:textId="77777777" w:rsidR="00936B91" w:rsidRPr="00936B91" w:rsidRDefault="00936B91" w:rsidP="00936B91">
      <w:pPr>
        <w:pStyle w:val="NoSpacing"/>
        <w:ind w:firstLine="709"/>
        <w:jc w:val="both"/>
        <w:rPr>
          <w:rFonts w:ascii="Times New Roman" w:hAnsi="Times New Roman" w:cs="Times New Roman"/>
          <w:i/>
          <w:iCs/>
          <w:sz w:val="24"/>
          <w:szCs w:val="24"/>
        </w:rPr>
      </w:pPr>
      <w:r w:rsidRPr="00936B91">
        <w:rPr>
          <w:rFonts w:ascii="Times New Roman" w:hAnsi="Times New Roman" w:cs="Times New Roman"/>
          <w:i/>
          <w:iCs/>
          <w:sz w:val="24"/>
          <w:szCs w:val="24"/>
        </w:rPr>
        <w:t>Lūdzam Pasūtītāju skaidrot nesakritības norādītajos apjomos, nepieciešamības gadījumā veicot grozījumus darba daudzumu sarakstā.</w:t>
      </w:r>
    </w:p>
    <w:p w14:paraId="44463EFB" w14:textId="77777777" w:rsidR="0048250C" w:rsidRDefault="0048250C" w:rsidP="0048250C">
      <w:pPr>
        <w:pStyle w:val="NoSpacing"/>
        <w:jc w:val="both"/>
      </w:pPr>
    </w:p>
    <w:p w14:paraId="4A3A4D0B" w14:textId="578E3BE6" w:rsidR="00BF770F" w:rsidRPr="0048250C" w:rsidRDefault="00936B91" w:rsidP="0048250C">
      <w:pPr>
        <w:pStyle w:val="NoSpacing"/>
        <w:jc w:val="both"/>
        <w:rPr>
          <w:rFonts w:ascii="Times New Roman" w:hAnsi="Times New Roman" w:cs="Times New Roman"/>
          <w:sz w:val="24"/>
          <w:szCs w:val="24"/>
        </w:rPr>
      </w:pPr>
      <w:r w:rsidRPr="0048250C">
        <w:rPr>
          <w:rFonts w:ascii="Times New Roman" w:hAnsi="Times New Roman" w:cs="Times New Roman"/>
          <w:b/>
          <w:bCs/>
          <w:sz w:val="24"/>
          <w:szCs w:val="24"/>
        </w:rPr>
        <w:t>Atbilde:</w:t>
      </w:r>
      <w:r w:rsidRPr="0048250C">
        <w:rPr>
          <w:rFonts w:ascii="Times New Roman" w:hAnsi="Times New Roman" w:cs="Times New Roman"/>
          <w:sz w:val="24"/>
          <w:szCs w:val="24"/>
        </w:rPr>
        <w:t xml:space="preserve"> </w:t>
      </w:r>
      <w:r w:rsidR="003243BD">
        <w:rPr>
          <w:rFonts w:ascii="Times New Roman" w:hAnsi="Times New Roman" w:cs="Times New Roman"/>
          <w:sz w:val="24"/>
          <w:szCs w:val="24"/>
        </w:rPr>
        <w:t>Informējam, ka a</w:t>
      </w:r>
      <w:r w:rsidR="00BF770F" w:rsidRPr="0048250C">
        <w:rPr>
          <w:rFonts w:ascii="Times New Roman" w:hAnsi="Times New Roman" w:cs="Times New Roman"/>
          <w:sz w:val="24"/>
          <w:szCs w:val="24"/>
        </w:rPr>
        <w:t xml:space="preserve">tbilstoši TS-CD daļas rasējumam “TS-CD-2-6_Rusova_iela_VID_R2” asfalta segumi ir paredzēti gan pilnas konstrukcijas, gan nepilnas konstrukcijas (sk. rasējuma apzīmējumus). Attiecīgi zonās, kur paredzēta nepilna konstrukcija ir nepieciešams paredzēt tikai asfalta segumu atbilstoši </w:t>
      </w:r>
      <w:r w:rsidR="003243BD">
        <w:rPr>
          <w:rFonts w:ascii="Times New Roman" w:hAnsi="Times New Roman" w:cs="Times New Roman"/>
          <w:sz w:val="24"/>
          <w:szCs w:val="24"/>
        </w:rPr>
        <w:t xml:space="preserve">Darbu daudzumu un izmaksu saraksta </w:t>
      </w:r>
      <w:r w:rsidR="00BF770F" w:rsidRPr="0048250C">
        <w:rPr>
          <w:rFonts w:ascii="Times New Roman" w:hAnsi="Times New Roman" w:cs="Times New Roman"/>
          <w:sz w:val="24"/>
          <w:szCs w:val="24"/>
        </w:rPr>
        <w:t>5.2.1. pozīcijai</w:t>
      </w:r>
      <w:r w:rsidR="003243BD">
        <w:rPr>
          <w:rFonts w:ascii="Times New Roman" w:hAnsi="Times New Roman" w:cs="Times New Roman"/>
          <w:sz w:val="24"/>
          <w:szCs w:val="24"/>
        </w:rPr>
        <w:t xml:space="preserve">, </w:t>
      </w:r>
      <w:r w:rsidR="00BF770F" w:rsidRPr="0048250C">
        <w:rPr>
          <w:rFonts w:ascii="Times New Roman" w:hAnsi="Times New Roman" w:cs="Times New Roman"/>
          <w:sz w:val="24"/>
          <w:szCs w:val="24"/>
        </w:rPr>
        <w:t xml:space="preserve">bet zonās, kur paredzēta pilna konstrukcija ir jāparedz darbi un materiāli atbilstoši </w:t>
      </w:r>
      <w:r w:rsidR="003243BD">
        <w:rPr>
          <w:rFonts w:ascii="Times New Roman" w:hAnsi="Times New Roman" w:cs="Times New Roman"/>
          <w:sz w:val="24"/>
          <w:szCs w:val="24"/>
        </w:rPr>
        <w:t>Darbu dau</w:t>
      </w:r>
      <w:r w:rsidR="00E57778">
        <w:rPr>
          <w:rFonts w:ascii="Times New Roman" w:hAnsi="Times New Roman" w:cs="Times New Roman"/>
          <w:sz w:val="24"/>
          <w:szCs w:val="24"/>
        </w:rPr>
        <w:t xml:space="preserve">dzumu un izmaksu saraksta </w:t>
      </w:r>
      <w:r w:rsidR="00BF770F" w:rsidRPr="0048250C">
        <w:rPr>
          <w:rFonts w:ascii="Times New Roman" w:hAnsi="Times New Roman" w:cs="Times New Roman"/>
          <w:sz w:val="24"/>
          <w:szCs w:val="24"/>
        </w:rPr>
        <w:t xml:space="preserve">5.2.1, 5.2.2 un 5.2.3. pozīcijām. Tādēļ dažādu konstrukciju kārtu izbūves, darbu apjomi ir atšķirīgi. </w:t>
      </w:r>
      <w:r w:rsidR="00E57778">
        <w:rPr>
          <w:rFonts w:ascii="Times New Roman" w:hAnsi="Times New Roman" w:cs="Times New Roman"/>
          <w:sz w:val="24"/>
          <w:szCs w:val="24"/>
        </w:rPr>
        <w:t>Vienlaicīgi</w:t>
      </w:r>
      <w:r w:rsidR="00BF770F" w:rsidRPr="0048250C">
        <w:rPr>
          <w:rFonts w:ascii="Times New Roman" w:hAnsi="Times New Roman" w:cs="Times New Roman"/>
          <w:sz w:val="24"/>
          <w:szCs w:val="24"/>
        </w:rPr>
        <w:t xml:space="preserve"> vēršam uzmanību, ka salizturīgā kārta ir izbūvējama trapeces formā t.s. zem ietves apmales </w:t>
      </w:r>
      <w:proofErr w:type="spellStart"/>
      <w:r w:rsidR="00BF770F" w:rsidRPr="0048250C">
        <w:rPr>
          <w:rFonts w:ascii="Times New Roman" w:hAnsi="Times New Roman" w:cs="Times New Roman"/>
          <w:sz w:val="24"/>
          <w:szCs w:val="24"/>
        </w:rPr>
        <w:t>minerālmateriāla</w:t>
      </w:r>
      <w:proofErr w:type="spellEnd"/>
      <w:r w:rsidR="00BF770F" w:rsidRPr="0048250C">
        <w:rPr>
          <w:rFonts w:ascii="Times New Roman" w:hAnsi="Times New Roman" w:cs="Times New Roman"/>
          <w:sz w:val="24"/>
          <w:szCs w:val="24"/>
        </w:rPr>
        <w:t xml:space="preserve"> pamata, kādēļ tās orientējošais izbūves laukums ir lielāks kā </w:t>
      </w:r>
      <w:proofErr w:type="spellStart"/>
      <w:r w:rsidR="00BF770F" w:rsidRPr="0048250C">
        <w:rPr>
          <w:rFonts w:ascii="Times New Roman" w:hAnsi="Times New Roman" w:cs="Times New Roman"/>
          <w:sz w:val="24"/>
          <w:szCs w:val="24"/>
        </w:rPr>
        <w:t>minerālmateriāla</w:t>
      </w:r>
      <w:proofErr w:type="spellEnd"/>
      <w:r w:rsidR="00BF770F" w:rsidRPr="0048250C">
        <w:rPr>
          <w:rFonts w:ascii="Times New Roman" w:hAnsi="Times New Roman" w:cs="Times New Roman"/>
          <w:sz w:val="24"/>
          <w:szCs w:val="24"/>
        </w:rPr>
        <w:t xml:space="preserve"> kārtai. </w:t>
      </w:r>
    </w:p>
    <w:p w14:paraId="1446C909" w14:textId="77777777" w:rsidR="00C3244C" w:rsidRDefault="00C3244C" w:rsidP="00F21FC4">
      <w:pPr>
        <w:spacing w:after="200" w:line="276" w:lineRule="auto"/>
        <w:ind w:right="-8"/>
        <w:jc w:val="both"/>
        <w:rPr>
          <w:lang w:val="lv-LV"/>
        </w:rPr>
      </w:pPr>
    </w:p>
    <w:p w14:paraId="4D5F176D" w14:textId="77777777" w:rsidR="00F21FC4" w:rsidRPr="00D129C7" w:rsidRDefault="00F21FC4" w:rsidP="00F21FC4">
      <w:pPr>
        <w:spacing w:after="200" w:line="276" w:lineRule="auto"/>
        <w:ind w:right="-8"/>
        <w:jc w:val="both"/>
        <w:rPr>
          <w:lang w:val="lv-LV"/>
        </w:rPr>
      </w:pPr>
      <w:r w:rsidRPr="00D129C7">
        <w:rPr>
          <w:lang w:val="lv-LV"/>
        </w:rPr>
        <w:t>Iepirkumu komisijas priekšsēdētāja                                                                                      I.</w:t>
      </w:r>
      <w:r>
        <w:rPr>
          <w:lang w:val="lv-LV"/>
        </w:rPr>
        <w:t xml:space="preserve"> </w:t>
      </w:r>
      <w:r w:rsidRPr="00D129C7">
        <w:rPr>
          <w:lang w:val="lv-LV"/>
        </w:rPr>
        <w:t>Novika</w:t>
      </w:r>
    </w:p>
    <w:p w14:paraId="54128C16" w14:textId="77777777" w:rsidR="00F21FC4" w:rsidRPr="00D129C7" w:rsidRDefault="00F21FC4" w:rsidP="00F21FC4">
      <w:pPr>
        <w:rPr>
          <w:lang w:val="lv-LV"/>
        </w:rPr>
      </w:pPr>
    </w:p>
    <w:p w14:paraId="50FCE667" w14:textId="77777777" w:rsidR="00F21FC4" w:rsidRPr="00D129C7" w:rsidRDefault="00F21FC4" w:rsidP="00F21FC4">
      <w:pPr>
        <w:rPr>
          <w:lang w:val="lv-LV"/>
        </w:rPr>
      </w:pPr>
    </w:p>
    <w:p w14:paraId="111FDE61" w14:textId="77777777" w:rsidR="00F21FC4" w:rsidRPr="00D129C7" w:rsidRDefault="00F21FC4" w:rsidP="00F21FC4">
      <w:pPr>
        <w:rPr>
          <w:lang w:val="lv-LV"/>
        </w:rPr>
      </w:pPr>
    </w:p>
    <w:p w14:paraId="0EA2E45E" w14:textId="77777777" w:rsidR="00F21FC4" w:rsidRPr="00D129C7" w:rsidRDefault="00F21FC4" w:rsidP="00F21FC4">
      <w:pPr>
        <w:tabs>
          <w:tab w:val="left" w:pos="1995"/>
        </w:tabs>
        <w:rPr>
          <w:rFonts w:ascii="Times New Roman Bold" w:hAnsi="Times New Roman Bold"/>
          <w:sz w:val="16"/>
          <w:szCs w:val="16"/>
          <w:lang w:val="lv-LV"/>
        </w:rPr>
      </w:pPr>
    </w:p>
    <w:p w14:paraId="25103DA9" w14:textId="6AA3B46E" w:rsidR="001C1098" w:rsidRDefault="001C1098" w:rsidP="001C1098">
      <w:pPr>
        <w:rPr>
          <w:lang w:val="lv-LV"/>
        </w:rPr>
      </w:pPr>
    </w:p>
    <w:p w14:paraId="385A7C49" w14:textId="025ED191" w:rsidR="001C1098" w:rsidRDefault="001C1098" w:rsidP="001C1098">
      <w:pPr>
        <w:rPr>
          <w:lang w:val="lv-LV"/>
        </w:rPr>
      </w:pPr>
    </w:p>
    <w:p w14:paraId="16C47929" w14:textId="0A68E460" w:rsidR="001C1098" w:rsidRDefault="001C1098" w:rsidP="001C1098">
      <w:pPr>
        <w:rPr>
          <w:lang w:val="lv-LV"/>
        </w:rPr>
      </w:pPr>
    </w:p>
    <w:p w14:paraId="750DFF7A" w14:textId="7B85F819" w:rsidR="001C1098" w:rsidRDefault="001C1098" w:rsidP="001C1098">
      <w:pPr>
        <w:rPr>
          <w:lang w:val="lv-LV"/>
        </w:rPr>
      </w:pPr>
    </w:p>
    <w:sectPr w:rsidR="001C1098" w:rsidSect="00D45D5E">
      <w:headerReference w:type="even" r:id="rId13"/>
      <w:headerReference w:type="default" r:id="rId14"/>
      <w:footerReference w:type="even" r:id="rId15"/>
      <w:footerReference w:type="default" r:id="rId16"/>
      <w:headerReference w:type="first" r:id="rId17"/>
      <w:footerReference w:type="first" r:id="rId18"/>
      <w:pgSz w:w="11900" w:h="16840" w:code="9"/>
      <w:pgMar w:top="1134" w:right="851" w:bottom="1276"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8243" w14:textId="77777777" w:rsidR="004124BC" w:rsidRDefault="004124BC">
      <w:r>
        <w:separator/>
      </w:r>
    </w:p>
  </w:endnote>
  <w:endnote w:type="continuationSeparator" w:id="0">
    <w:p w14:paraId="5FBBA391" w14:textId="77777777" w:rsidR="004124BC" w:rsidRDefault="0041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9EF4" w14:textId="77777777" w:rsidR="00E3203C" w:rsidRDefault="00E3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66145749"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2722" w14:textId="77777777" w:rsidR="004124BC" w:rsidRDefault="004124BC">
      <w:r>
        <w:separator/>
      </w:r>
    </w:p>
  </w:footnote>
  <w:footnote w:type="continuationSeparator" w:id="0">
    <w:p w14:paraId="73658E09" w14:textId="77777777" w:rsidR="004124BC" w:rsidRDefault="0041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540F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1822225043" name="Picture 1822225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0BDB44F9" w:rsidR="00BA1D4B" w:rsidRDefault="00BA1D4B" w:rsidP="00BA1D4B">
    <w:pPr>
      <w:pStyle w:val="Header"/>
      <w:tabs>
        <w:tab w:val="left" w:pos="426"/>
        <w:tab w:val="left" w:pos="1418"/>
      </w:tabs>
      <w:jc w:val="both"/>
    </w:pPr>
    <w:bookmarkStart w:id="1" w:name="docDate"/>
    <w:bookmarkEnd w:id="1"/>
    <w:r>
      <w:t xml:space="preserve"> Nr.</w:t>
    </w:r>
    <w:bookmarkStart w:id="2" w:name="docN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DFC3D04"/>
    <w:multiLevelType w:val="hybridMultilevel"/>
    <w:tmpl w:val="BD3411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6D3A36"/>
    <w:multiLevelType w:val="hybridMultilevel"/>
    <w:tmpl w:val="A26690E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388720862">
    <w:abstractNumId w:val="0"/>
  </w:num>
  <w:num w:numId="2" w16cid:durableId="1918440240">
    <w:abstractNumId w:val="1"/>
  </w:num>
  <w:num w:numId="3" w16cid:durableId="1289240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4286D"/>
    <w:rsid w:val="000525F0"/>
    <w:rsid w:val="00083E27"/>
    <w:rsid w:val="00125B1E"/>
    <w:rsid w:val="00176AEB"/>
    <w:rsid w:val="001B000D"/>
    <w:rsid w:val="001C1098"/>
    <w:rsid w:val="001D43D0"/>
    <w:rsid w:val="00233FCE"/>
    <w:rsid w:val="002C6950"/>
    <w:rsid w:val="002E0214"/>
    <w:rsid w:val="002E786C"/>
    <w:rsid w:val="002F6D6D"/>
    <w:rsid w:val="003243BD"/>
    <w:rsid w:val="00325A6F"/>
    <w:rsid w:val="00384C24"/>
    <w:rsid w:val="003877B2"/>
    <w:rsid w:val="003A76FA"/>
    <w:rsid w:val="003C2FBA"/>
    <w:rsid w:val="003C7524"/>
    <w:rsid w:val="003F55CA"/>
    <w:rsid w:val="003F5827"/>
    <w:rsid w:val="004124BC"/>
    <w:rsid w:val="00444B56"/>
    <w:rsid w:val="00446224"/>
    <w:rsid w:val="00454D63"/>
    <w:rsid w:val="0048250C"/>
    <w:rsid w:val="00491E45"/>
    <w:rsid w:val="00495061"/>
    <w:rsid w:val="004A0D6C"/>
    <w:rsid w:val="004C2F01"/>
    <w:rsid w:val="004C4EA1"/>
    <w:rsid w:val="004F581B"/>
    <w:rsid w:val="0054525F"/>
    <w:rsid w:val="005D3F37"/>
    <w:rsid w:val="00611305"/>
    <w:rsid w:val="006339F1"/>
    <w:rsid w:val="00640095"/>
    <w:rsid w:val="00681D93"/>
    <w:rsid w:val="006874A7"/>
    <w:rsid w:val="00697421"/>
    <w:rsid w:val="006A57AF"/>
    <w:rsid w:val="006A672C"/>
    <w:rsid w:val="00712459"/>
    <w:rsid w:val="00756CAE"/>
    <w:rsid w:val="007857EA"/>
    <w:rsid w:val="007875D1"/>
    <w:rsid w:val="007A34BE"/>
    <w:rsid w:val="007D62F7"/>
    <w:rsid w:val="008034ED"/>
    <w:rsid w:val="00832355"/>
    <w:rsid w:val="008533C8"/>
    <w:rsid w:val="008D5DC9"/>
    <w:rsid w:val="008E3092"/>
    <w:rsid w:val="008E4C93"/>
    <w:rsid w:val="00901C98"/>
    <w:rsid w:val="00904B48"/>
    <w:rsid w:val="009134FF"/>
    <w:rsid w:val="00931737"/>
    <w:rsid w:val="009358F4"/>
    <w:rsid w:val="00936B91"/>
    <w:rsid w:val="00A075D3"/>
    <w:rsid w:val="00A3285A"/>
    <w:rsid w:val="00A52673"/>
    <w:rsid w:val="00A55640"/>
    <w:rsid w:val="00A615B2"/>
    <w:rsid w:val="00A90154"/>
    <w:rsid w:val="00AA0E4F"/>
    <w:rsid w:val="00AB152E"/>
    <w:rsid w:val="00AD6E80"/>
    <w:rsid w:val="00B0522F"/>
    <w:rsid w:val="00B17037"/>
    <w:rsid w:val="00B67B48"/>
    <w:rsid w:val="00BA1D4B"/>
    <w:rsid w:val="00BF770F"/>
    <w:rsid w:val="00C2117D"/>
    <w:rsid w:val="00C3244C"/>
    <w:rsid w:val="00C418BA"/>
    <w:rsid w:val="00C74B9B"/>
    <w:rsid w:val="00C84969"/>
    <w:rsid w:val="00C950CD"/>
    <w:rsid w:val="00C96B4F"/>
    <w:rsid w:val="00CA73ED"/>
    <w:rsid w:val="00D43D83"/>
    <w:rsid w:val="00D45D5E"/>
    <w:rsid w:val="00D81F1C"/>
    <w:rsid w:val="00D86507"/>
    <w:rsid w:val="00DA0C26"/>
    <w:rsid w:val="00DC6352"/>
    <w:rsid w:val="00E3203C"/>
    <w:rsid w:val="00E57778"/>
    <w:rsid w:val="00E85B09"/>
    <w:rsid w:val="00E94CC6"/>
    <w:rsid w:val="00EB036F"/>
    <w:rsid w:val="00EB089E"/>
    <w:rsid w:val="00F01C15"/>
    <w:rsid w:val="00F213A8"/>
    <w:rsid w:val="00F21FC4"/>
    <w:rsid w:val="00F527AA"/>
    <w:rsid w:val="00F631D4"/>
    <w:rsid w:val="00F730B5"/>
    <w:rsid w:val="00F83C9D"/>
    <w:rsid w:val="00F84DED"/>
    <w:rsid w:val="00FE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locked/>
    <w:rsid w:val="003C7524"/>
    <w:rPr>
      <w:color w:val="0563C1" w:themeColor="hyperlink"/>
      <w:u w:val="single"/>
    </w:rPr>
  </w:style>
  <w:style w:type="character" w:styleId="UnresolvedMention">
    <w:name w:val="Unresolved Mention"/>
    <w:basedOn w:val="DefaultParagraphFont"/>
    <w:uiPriority w:val="99"/>
    <w:semiHidden/>
    <w:unhideWhenUsed/>
    <w:rsid w:val="003C7524"/>
    <w:rPr>
      <w:color w:val="605E5C"/>
      <w:shd w:val="clear" w:color="auto" w:fill="E1DFDD"/>
    </w:rPr>
  </w:style>
  <w:style w:type="paragraph" w:customStyle="1" w:styleId="TableContents">
    <w:name w:val="Table Contents"/>
    <w:basedOn w:val="Normal"/>
    <w:rsid w:val="00F730B5"/>
    <w:pPr>
      <w:widowControl w:val="0"/>
      <w:suppressLineNumbers/>
      <w:suppressAutoHyphens/>
    </w:pPr>
    <w:rPr>
      <w:rFonts w:eastAsia="SimSun" w:cs="Lucida Sans"/>
      <w:kern w:val="2"/>
      <w:lang w:val="en" w:eastAsia="zh-CN" w:bidi="hi-IN"/>
    </w:rPr>
  </w:style>
  <w:style w:type="paragraph" w:styleId="ListParagraph">
    <w:name w:val="List Paragraph"/>
    <w:basedOn w:val="Normal"/>
    <w:uiPriority w:val="34"/>
    <w:qFormat/>
    <w:rsid w:val="00F730B5"/>
    <w:pPr>
      <w:spacing w:after="160" w:line="259" w:lineRule="auto"/>
      <w:ind w:left="720"/>
      <w:contextualSpacing/>
    </w:pPr>
    <w:rPr>
      <w:rFonts w:asciiTheme="minorHAnsi" w:eastAsiaTheme="minorHAnsi" w:hAnsiTheme="minorHAnsi" w:cstheme="minorBidi"/>
      <w:kern w:val="2"/>
      <w:sz w:val="22"/>
      <w:szCs w:val="22"/>
      <w:lang w:val="lv-LV"/>
      <w14:ligatures w14:val="standardContextual"/>
    </w:rPr>
  </w:style>
  <w:style w:type="paragraph" w:styleId="NoSpacing">
    <w:name w:val="No Spacing"/>
    <w:uiPriority w:val="1"/>
    <w:qFormat/>
    <w:rsid w:val="00C3244C"/>
    <w:rPr>
      <w:rFonts w:ascii="Arial" w:eastAsiaTheme="minorHAnsi" w:hAnsi="Arial" w:cs="Arial"/>
      <w:kern w:val="2"/>
      <w:szCs w:val="22"/>
      <w:lang w:val="lv-LV"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87378">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68BB1D-D2BA-434E-BE58-CDE8A6432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4.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5.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382</Words>
  <Characters>2917</Characters>
  <Application>Microsoft Office Word</Application>
  <DocSecurity>0</DocSecurity>
  <Lines>24</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19</cp:revision>
  <cp:lastPrinted>2021-09-09T02:05:00Z</cp:lastPrinted>
  <dcterms:created xsi:type="dcterms:W3CDTF">2026-03-03T12:09:00Z</dcterms:created>
  <dcterms:modified xsi:type="dcterms:W3CDTF">2026-03-03T13:19:00Z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