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8365EC" w:rsidRDefault="00BA486D" w:rsidP="00AC5BB7"/>
    <w:p w14:paraId="6EA4AEF1" w14:textId="77777777" w:rsidR="007C6A66" w:rsidRDefault="007C6A66" w:rsidP="00AC5BB7"/>
    <w:p w14:paraId="612E20EB" w14:textId="10920AA1" w:rsidR="006807B6" w:rsidRPr="008365EC" w:rsidRDefault="00107A28" w:rsidP="006807B6">
      <w:r>
        <w:t>25</w:t>
      </w:r>
      <w:r w:rsidR="006807B6" w:rsidRPr="008365EC">
        <w:t>.0</w:t>
      </w:r>
      <w:r w:rsidR="006807B6">
        <w:t>6</w:t>
      </w:r>
      <w:r w:rsidR="006807B6" w:rsidRPr="008365EC">
        <w:t>.2026.</w:t>
      </w:r>
    </w:p>
    <w:p w14:paraId="7C72DCF1" w14:textId="77777777" w:rsidR="007C6A66" w:rsidRDefault="007C6A66" w:rsidP="008755B4">
      <w:pPr>
        <w:jc w:val="right"/>
        <w:rPr>
          <w:b/>
          <w:bCs/>
        </w:rPr>
      </w:pPr>
    </w:p>
    <w:p w14:paraId="35327DC8" w14:textId="77777777" w:rsidR="002E4C2C" w:rsidRPr="008365EC" w:rsidRDefault="002E4C2C" w:rsidP="002E4C2C">
      <w:pPr>
        <w:jc w:val="right"/>
        <w:rPr>
          <w:b/>
          <w:bCs/>
        </w:rPr>
      </w:pPr>
    </w:p>
    <w:p w14:paraId="5BDD3E68" w14:textId="3ED84571" w:rsidR="00B74FDD" w:rsidRPr="008365EC" w:rsidRDefault="00B74FDD" w:rsidP="00B74FDD">
      <w:pPr>
        <w:pStyle w:val="Default"/>
        <w:tabs>
          <w:tab w:val="left" w:pos="5387"/>
        </w:tabs>
        <w:ind w:right="4103"/>
        <w:jc w:val="both"/>
        <w:rPr>
          <w:iCs/>
        </w:rPr>
      </w:pPr>
      <w:r w:rsidRPr="008365EC">
        <w:rPr>
          <w:iCs/>
        </w:rPr>
        <w:t>Par iepirkumu procedūras “Autobusu piegāde” (ID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00EBB098" w:rsidR="007F3584" w:rsidRDefault="0074484F" w:rsidP="00957C68">
      <w:pPr>
        <w:ind w:right="-8"/>
        <w:jc w:val="both"/>
        <w:rPr>
          <w:b/>
          <w:bCs/>
        </w:rPr>
      </w:pPr>
      <w:r>
        <w:rPr>
          <w:b/>
          <w:bCs/>
        </w:rPr>
        <w:t xml:space="preserve">1. </w:t>
      </w:r>
      <w:r w:rsidR="00C70715">
        <w:rPr>
          <w:b/>
          <w:bCs/>
        </w:rPr>
        <w:t>J</w:t>
      </w:r>
      <w:r w:rsidR="007F3584" w:rsidRPr="008365EC">
        <w:rPr>
          <w:b/>
          <w:bCs/>
        </w:rPr>
        <w:t>autājums:</w:t>
      </w:r>
    </w:p>
    <w:p w14:paraId="0155E29D" w14:textId="77777777" w:rsidR="00B7351A" w:rsidRPr="00FF2040" w:rsidRDefault="00B7351A" w:rsidP="007C20CA">
      <w:pPr>
        <w:tabs>
          <w:tab w:val="left" w:pos="1134"/>
        </w:tabs>
        <w:jc w:val="both"/>
      </w:pPr>
      <w:r w:rsidRPr="00AD010D">
        <w:t>Veicot 3.2. pielikuma “Tehniskā specifikācija 18 metru posmainajam dīzeļautobusam” analīzi, jo īpaši attiecībā uz 2. sadaļu “MOTORS UN TRANSMISIJA”, mēs pievērsām uzmanību šīs sadaļas 2.3. punktam “Motora dzesēšana”, kura noslēgumā ir noteikta šāda prasība: “Papildus jānodrošina dzesēšanas šķidruma sildīšanas sistēmu, ko pieslēdz ārējam 230 VAC barošanai caur kontaktu savienojumu, kas ir savietojams ar Pasūtītāja rīcībā esošo tīklu (DEFA 460785).” Mēs vēlētos lūgt no Jūsu puses papildu informāciju un precizējumus par minēto prasību. Lūdzam paskaidrot, kāda tieši sistēma ir domāta ar prasību nodrošināt dzesēšanas šķidruma sildīšanas sistēmu, kas pieslēdzama ārējam 230 VAC barošanas avotam.</w:t>
      </w:r>
    </w:p>
    <w:p w14:paraId="5D1B749F" w14:textId="77777777" w:rsidR="00B7351A" w:rsidRPr="00073823" w:rsidRDefault="00B7351A" w:rsidP="00073823">
      <w:pPr>
        <w:pStyle w:val="NormalWeb"/>
        <w:spacing w:before="0" w:beforeAutospacing="0" w:after="0" w:afterAutospacing="0"/>
        <w:ind w:firstLine="720"/>
        <w:jc w:val="both"/>
      </w:pPr>
    </w:p>
    <w:p w14:paraId="54BCF287" w14:textId="0917E258" w:rsidR="007F3584" w:rsidRPr="008365EC" w:rsidRDefault="00AE7A34" w:rsidP="007F3584">
      <w:pPr>
        <w:ind w:right="-8"/>
        <w:jc w:val="both"/>
        <w:rPr>
          <w:b/>
          <w:bCs/>
        </w:rPr>
      </w:pPr>
      <w:r>
        <w:rPr>
          <w:b/>
          <w:bCs/>
        </w:rPr>
        <w:t>A</w:t>
      </w:r>
      <w:r w:rsidR="007F3584" w:rsidRPr="008365EC">
        <w:rPr>
          <w:b/>
          <w:bCs/>
        </w:rPr>
        <w:t>tbilde:</w:t>
      </w:r>
    </w:p>
    <w:p w14:paraId="074F06FC" w14:textId="4B3C4F7B" w:rsidR="007C20CA" w:rsidRDefault="0098587D" w:rsidP="007C20CA">
      <w:pPr>
        <w:ind w:right="-8" w:firstLine="720"/>
        <w:jc w:val="both"/>
      </w:pPr>
      <w:r w:rsidRPr="008365EC">
        <w:t xml:space="preserve">Pasūtītājs, skaidro, </w:t>
      </w:r>
      <w:r w:rsidR="007C20CA">
        <w:t>ka minētā prasība attiecas uz dzesēšanas šķidruma iepriekšējas uzsildīšanas sistēmu (engine coolant pre-heating system), kas, izmantojot ārēju 230 VAC barošanas avotu, nodrošina motora dzesēšanas šķidruma uzsildīšanu pirms dzinēja iedarbināšanas.</w:t>
      </w:r>
    </w:p>
    <w:p w14:paraId="7DCB9C7A" w14:textId="77777777" w:rsidR="007C20CA" w:rsidRDefault="007C20CA" w:rsidP="007C20CA">
      <w:pPr>
        <w:ind w:right="-8" w:firstLine="720"/>
        <w:jc w:val="both"/>
      </w:pPr>
      <w:r>
        <w:t>Šāda sistēma tiek izmantota, lai atvieglotu dzinēja iedarbināšanu zemās apkārtējās vides temperatūrās; samazinātu dzinēja nolietojumu aukststarta laikā; sekmētu ātrāku salona apsildes (HVAC) sistēmas darbības uzsākšanu un stabilu mikroklimata nodrošināšanu ziemas apstākļos.</w:t>
      </w:r>
    </w:p>
    <w:p w14:paraId="71CF3F4F" w14:textId="073EF799" w:rsidR="009449AA" w:rsidRPr="009449AA" w:rsidRDefault="007C20CA" w:rsidP="007C20CA">
      <w:pPr>
        <w:ind w:right="-8" w:firstLine="720"/>
        <w:jc w:val="both"/>
      </w:pPr>
      <w:r>
        <w:t>Dzesēšanas šķidruma sildīšanas sistēmai jābūt pieslēdzamai ārējam 230 VAC barošanas avotam, izmantojot savienojumu, kas ir savietojams ar Pasūtītāja rīcībā esošo infrastruktūru (DEFA 460785 vai ekvivalents risinājums).</w:t>
      </w:r>
    </w:p>
    <w:p w14:paraId="7E64D96F" w14:textId="77777777" w:rsidR="00D076AF" w:rsidRDefault="00D076AF" w:rsidP="0098587D">
      <w:pPr>
        <w:ind w:right="-8" w:firstLine="720"/>
        <w:jc w:val="both"/>
      </w:pPr>
    </w:p>
    <w:p w14:paraId="0E215E09" w14:textId="77777777" w:rsidR="0074484F" w:rsidRDefault="0074484F" w:rsidP="0074484F">
      <w:pPr>
        <w:ind w:right="-8"/>
        <w:jc w:val="both"/>
        <w:rPr>
          <w:b/>
          <w:bCs/>
        </w:rPr>
      </w:pPr>
    </w:p>
    <w:p w14:paraId="62E3ACB4" w14:textId="77777777" w:rsidR="0074484F" w:rsidRDefault="0074484F" w:rsidP="0074484F">
      <w:pPr>
        <w:ind w:right="-8"/>
        <w:jc w:val="both"/>
        <w:rPr>
          <w:b/>
          <w:bCs/>
        </w:rPr>
      </w:pPr>
    </w:p>
    <w:p w14:paraId="1DE7CC9C" w14:textId="70FC37D6" w:rsidR="0074484F" w:rsidRDefault="0074484F" w:rsidP="0074484F">
      <w:pPr>
        <w:ind w:right="-8"/>
        <w:jc w:val="both"/>
        <w:rPr>
          <w:b/>
          <w:bCs/>
        </w:rPr>
      </w:pPr>
      <w:r>
        <w:rPr>
          <w:b/>
          <w:bCs/>
        </w:rPr>
        <w:t>2. J</w:t>
      </w:r>
      <w:r w:rsidRPr="008365EC">
        <w:rPr>
          <w:b/>
          <w:bCs/>
        </w:rPr>
        <w:t>autājums:</w:t>
      </w:r>
    </w:p>
    <w:p w14:paraId="4C905A44" w14:textId="77777777" w:rsidR="000A62F3" w:rsidRPr="00AD010D" w:rsidRDefault="000A62F3" w:rsidP="007C20CA">
      <w:pPr>
        <w:tabs>
          <w:tab w:val="left" w:pos="1134"/>
        </w:tabs>
        <w:jc w:val="both"/>
      </w:pPr>
      <w:r w:rsidRPr="00217ECD">
        <w:t>Veicot 3.</w:t>
      </w:r>
      <w:r w:rsidRPr="00FF2040">
        <w:t>1</w:t>
      </w:r>
      <w:r w:rsidRPr="00217ECD">
        <w:t xml:space="preserve">. pielikuma “Tehniskā specifikācija 18 metru posmainajam </w:t>
      </w:r>
      <w:r w:rsidRPr="00FF2040">
        <w:t>elektroautobusiem</w:t>
      </w:r>
      <w:r w:rsidRPr="00217ECD">
        <w:t>” analīzi, jo īpaši attiecībā uz 1.7. sadaļu “P</w:t>
      </w:r>
      <w:r>
        <w:t>ASAŽIERU</w:t>
      </w:r>
      <w:r w:rsidRPr="00217ECD">
        <w:t xml:space="preserve"> </w:t>
      </w:r>
      <w:r>
        <w:t>SALONS</w:t>
      </w:r>
      <w:r w:rsidRPr="00217ECD">
        <w:t>”, mēs pievērsām uzmanību šīs sadaļas 1.7.6. punktam “Pieturēšanās stieņi un rokturi”, kurā ir noteikta šāda prasība: “</w:t>
      </w:r>
      <w:r w:rsidRPr="000A62F3">
        <w:rPr>
          <w:sz w:val="22"/>
          <w:szCs w:val="22"/>
        </w:rPr>
        <w:t>Vertikālajiem pieturēšanās stieņiem jābūt aprīkotiem ar kontrastējošiem elementiem, kas uzlabo to redzamību pasažieriem, tostarp personām ar redzes traucējumiem. Ja tiek izmantots apgaismojums (piemēram, LED), tam jānodrošina pietiekams kontrasts un redzamība dažādos apgaismojuma apstākļos, izmantojot dzelteni‑oranžu vai citu vizuāli kontrastējošu krāsu</w:t>
      </w:r>
      <w:r w:rsidRPr="00217ECD">
        <w:t>.”</w:t>
      </w:r>
      <w:r>
        <w:t xml:space="preserve"> </w:t>
      </w:r>
      <w:r w:rsidRPr="00217ECD">
        <w:t xml:space="preserve">Ja mēs pareizi saprotam minēto prasību, tā paredz, ka Pretendents var izvēlēties starp vertikālajos pieturēšanās stieņos iebūvētiem LED </w:t>
      </w:r>
      <w:r w:rsidRPr="00217ECD">
        <w:lastRenderedPageBreak/>
        <w:t xml:space="preserve">gaismas elementiem vai citiem kontrastējošiem elementiem, kas nodrošina prasīto redzamību un kontrastu pasažieriem, tostarp personām ar redzes traucējumiem. </w:t>
      </w:r>
      <w:r>
        <w:t>T</w:t>
      </w:r>
      <w:r w:rsidRPr="00217ECD">
        <w:t>omēr vienlaikus 1.12. sadaļas “I</w:t>
      </w:r>
      <w:r>
        <w:t>EKŠĒJAIS</w:t>
      </w:r>
      <w:r w:rsidRPr="00217ECD">
        <w:t xml:space="preserve"> </w:t>
      </w:r>
      <w:r>
        <w:t>APGAISMOJUMS</w:t>
      </w:r>
      <w:r w:rsidRPr="00217ECD">
        <w:t>” 1.12.1. punktā “Salona apgaismojums” ir noteikta šāda prasība: “</w:t>
      </w:r>
      <w:r w:rsidRPr="00E94287">
        <w:t>Vertikālo pieturēšanās stieņu virsmā jābūt iebūvētiem kontrastējošiem gaismas elementiem (diodēm) dzelteni-oranžā krāsā, atbilstoši vājredzīgo pasažieru prasībām</w:t>
      </w:r>
      <w:r w:rsidRPr="00217ECD">
        <w:t>.”</w:t>
      </w:r>
      <w:r>
        <w:t xml:space="preserve"> </w:t>
      </w:r>
      <w:r w:rsidRPr="00217ECD">
        <w:t>Ja mēs pareizi saprotam minēto prasību, tā nozīmē, ka ir pieļaujami tikai vertikālajos pieturēšanās stieņos iebūvēti LED gaismas elementi un citi kontrastējoši risinājumi netiek pieļauti.</w:t>
      </w:r>
      <w:r w:rsidRPr="00FF2040">
        <w:t xml:space="preserve"> Ņemot vērā iepriekš minēto, mēs vēlētos lūgt no Jūsu puses papildu informāciju un precizējumus par minēto prasību. Vai Pretendents var izvēlēties starp vertikālajos pieturēšanās stieņos iebūvētiem LED gaismas elementiem un citiem kontrastējošiem elementiem, kas nodrošina prasīto redzamību un kontrastu pasažieriem, tostarp personām ar redzes traucējumiem, vai arī ir pieļaujami tikai vertikālajos pieturēšanās stieņos iebūvēti LED gaismas elementi?</w:t>
      </w:r>
    </w:p>
    <w:p w14:paraId="22CC72F6" w14:textId="77777777" w:rsidR="0074484F" w:rsidRPr="00A50347" w:rsidRDefault="0074484F" w:rsidP="0074484F">
      <w:pPr>
        <w:pStyle w:val="NormalWeb"/>
        <w:spacing w:before="0" w:beforeAutospacing="0" w:after="0" w:afterAutospacing="0"/>
        <w:ind w:firstLine="720"/>
        <w:jc w:val="both"/>
        <w:rPr>
          <w:i/>
          <w:iCs/>
        </w:rPr>
      </w:pPr>
    </w:p>
    <w:p w14:paraId="18631046" w14:textId="77777777" w:rsidR="0074484F" w:rsidRPr="008365EC" w:rsidRDefault="0074484F" w:rsidP="0074484F">
      <w:pPr>
        <w:ind w:right="-8"/>
        <w:jc w:val="both"/>
        <w:rPr>
          <w:b/>
          <w:bCs/>
        </w:rPr>
      </w:pPr>
      <w:r>
        <w:rPr>
          <w:b/>
          <w:bCs/>
        </w:rPr>
        <w:t>A</w:t>
      </w:r>
      <w:r w:rsidRPr="008365EC">
        <w:rPr>
          <w:b/>
          <w:bCs/>
        </w:rPr>
        <w:t>tbilde:</w:t>
      </w:r>
    </w:p>
    <w:p w14:paraId="6CE9D4AE" w14:textId="013285D6" w:rsidR="00100A68" w:rsidRPr="00100A68" w:rsidRDefault="0074484F" w:rsidP="00100A68">
      <w:pPr>
        <w:ind w:right="-8" w:firstLine="720"/>
        <w:jc w:val="both"/>
      </w:pPr>
      <w:r w:rsidRPr="008365EC">
        <w:t>Pasūtītājs, skaidro,</w:t>
      </w:r>
      <w:r w:rsidR="00100A68">
        <w:t xml:space="preserve"> ka</w:t>
      </w:r>
      <w:r w:rsidRPr="008365EC">
        <w:t xml:space="preserve"> </w:t>
      </w:r>
      <w:r w:rsidR="00100A68" w:rsidRPr="00100A68">
        <w:t>Tehniskās specifikācijas 1.7.6. punktā noteiktās prasības mērķis ir nodrošināt pieturēšanās stieņu pietiekamu redzamību un kontrastu pasažieriem, tostarp personām ar redzes traucējumiem.</w:t>
      </w:r>
    </w:p>
    <w:p w14:paraId="6190F8EA" w14:textId="77777777" w:rsidR="00100A68" w:rsidRPr="00100A68" w:rsidRDefault="00100A68" w:rsidP="00100A68">
      <w:pPr>
        <w:ind w:right="-8" w:firstLine="720"/>
        <w:jc w:val="both"/>
      </w:pPr>
      <w:r w:rsidRPr="00100A68">
        <w:t>Pretendents var izvēlēties piemērotāko tehnisko risinājumu (piemēram, LED vai citus kontrastējošus elementus), ja tiek nodrošināta prasītā redzamība.</w:t>
      </w:r>
    </w:p>
    <w:p w14:paraId="1B853699" w14:textId="11AA23D2" w:rsidR="0074484F" w:rsidRPr="00100A68" w:rsidRDefault="00100A68" w:rsidP="00100A68">
      <w:pPr>
        <w:ind w:right="-8" w:firstLine="720"/>
        <w:jc w:val="both"/>
      </w:pPr>
      <w:r w:rsidRPr="00100A68">
        <w:t>Vienlaikus Pasūtītājs informē, ka tehniskās specifikācijas 1.12.1. punktā noteiktā prasība par obligātu LED elementu integrāciju ir pārskatīta un svītrota.</w:t>
      </w:r>
    </w:p>
    <w:p w14:paraId="4890A3C2" w14:textId="77777777" w:rsidR="0015272B" w:rsidRPr="00E3176A" w:rsidRDefault="0015272B" w:rsidP="0015272B">
      <w:pPr>
        <w:ind w:firstLine="720"/>
        <w:jc w:val="both"/>
        <w:rPr>
          <w:b/>
          <w:bCs/>
        </w:rPr>
      </w:pPr>
      <w:r w:rsidRPr="00E3176A">
        <w:t xml:space="preserve">Lūdzam skatīt iepirkuma procedūras nolikuma 2026.gada 19.jūnija grozījumus, kas publicēti </w:t>
      </w:r>
      <w:hyperlink r:id="rId12" w:history="1">
        <w:r w:rsidRPr="00E3176A">
          <w:rPr>
            <w:rStyle w:val="Hyperlink"/>
          </w:rPr>
          <w:t>www.eis.gov.lv</w:t>
        </w:r>
      </w:hyperlink>
      <w:r w:rsidRPr="00E3176A">
        <w:t xml:space="preserve"> un </w:t>
      </w:r>
      <w:hyperlink r:id="rId13" w:history="1">
        <w:r w:rsidRPr="00E3176A">
          <w:rPr>
            <w:rStyle w:val="Hyperlink"/>
          </w:rPr>
          <w:t>www.rigassatiksme.lv</w:t>
        </w:r>
      </w:hyperlink>
      <w:r w:rsidRPr="00E3176A">
        <w:t xml:space="preserve">.   </w:t>
      </w:r>
    </w:p>
    <w:p w14:paraId="7F2B1651" w14:textId="77777777" w:rsidR="0074484F" w:rsidRDefault="0074484F" w:rsidP="0074484F">
      <w:pPr>
        <w:ind w:right="-8"/>
        <w:jc w:val="both"/>
        <w:rPr>
          <w:b/>
          <w:bCs/>
        </w:rPr>
      </w:pPr>
    </w:p>
    <w:p w14:paraId="3F79DB72" w14:textId="77777777" w:rsidR="0074484F" w:rsidRDefault="0074484F" w:rsidP="0074484F">
      <w:pPr>
        <w:ind w:right="-8"/>
        <w:jc w:val="both"/>
        <w:rPr>
          <w:b/>
          <w:bCs/>
        </w:rPr>
      </w:pPr>
    </w:p>
    <w:p w14:paraId="6C3F3FDA" w14:textId="19E8E87C" w:rsidR="0074484F" w:rsidRDefault="0074484F" w:rsidP="00D53A36">
      <w:pPr>
        <w:ind w:right="-8"/>
        <w:jc w:val="both"/>
        <w:rPr>
          <w:b/>
          <w:bCs/>
        </w:rPr>
      </w:pPr>
      <w:r>
        <w:rPr>
          <w:b/>
          <w:bCs/>
        </w:rPr>
        <w:t>3. J</w:t>
      </w:r>
      <w:r w:rsidRPr="008365EC">
        <w:rPr>
          <w:b/>
          <w:bCs/>
        </w:rPr>
        <w:t>autājums:</w:t>
      </w:r>
    </w:p>
    <w:p w14:paraId="24E00961" w14:textId="77777777" w:rsidR="006B60DF" w:rsidRPr="00FF2040" w:rsidRDefault="006B60DF" w:rsidP="00D53A36">
      <w:pPr>
        <w:tabs>
          <w:tab w:val="left" w:pos="1134"/>
        </w:tabs>
        <w:jc w:val="both"/>
      </w:pPr>
      <w:r w:rsidRPr="00217ECD">
        <w:t>Veicot 3.2. pielikuma “Tehniskā specifikācija 18 metru posmainajam dīzeļautobusam” analīzi, jo īpaši attiecībā uz 1.7. sadaļu “P</w:t>
      </w:r>
      <w:r>
        <w:t>ASAŽIERU</w:t>
      </w:r>
      <w:r w:rsidRPr="00217ECD">
        <w:t xml:space="preserve"> </w:t>
      </w:r>
      <w:r>
        <w:t>SALONS</w:t>
      </w:r>
      <w:r w:rsidRPr="00217ECD">
        <w:t>”, mēs pievērsām uzmanību šīs sadaļas 1.7.6. punktam “Pieturēšanās stieņi un rokturi”, kurā ir noteikta šāda prasība: “</w:t>
      </w:r>
      <w:r w:rsidRPr="006B60DF">
        <w:rPr>
          <w:sz w:val="22"/>
          <w:szCs w:val="22"/>
        </w:rPr>
        <w:t>Vertikālajiem pieturēšanās stieņiem jābūt aprīkotiem ar kontrastējošiem elementiem, kas uzlabo to redzamību pasažieriem, tostarp personām ar redzes traucējumiem. Ja tiek izmantots apgaismojums (piemēram, LED), tam jānodrošina pietiekams kontrasts un redzamība dažādos apgaismojuma apstākļos, izmantojot dzelteni‑oranžu vai citu vizuāli kontrastējošu krāsu</w:t>
      </w:r>
      <w:r w:rsidRPr="00217ECD">
        <w:t>.”</w:t>
      </w:r>
      <w:r>
        <w:t xml:space="preserve"> </w:t>
      </w:r>
      <w:r w:rsidRPr="00217ECD">
        <w:t xml:space="preserve">Ja mēs pareizi saprotam minēto prasību, tā paredz, ka Pretendents var izvēlēties starp vertikālajos pieturēšanās stieņos iebūvētiem LED gaismas elementiem vai citiem kontrastējošiem elementiem, kas nodrošina prasīto redzamību un kontrastu pasažieriem, tostarp personām ar redzes traucējumiem. </w:t>
      </w:r>
      <w:r>
        <w:t>T</w:t>
      </w:r>
      <w:r w:rsidRPr="00217ECD">
        <w:t>omēr vienlaikus 1.12. sadaļas “I</w:t>
      </w:r>
      <w:r>
        <w:t>EKŠĒJAIS</w:t>
      </w:r>
      <w:r w:rsidRPr="00217ECD">
        <w:t xml:space="preserve"> </w:t>
      </w:r>
      <w:r>
        <w:t>APGAISMOJUMS</w:t>
      </w:r>
      <w:r w:rsidRPr="00217ECD">
        <w:t>” 1.12.1. punktā “Salona apgaismojums” ir noteikta šāda prasība: “</w:t>
      </w:r>
      <w:r w:rsidRPr="00E94287">
        <w:t>Vertikālo pieturēšanās stieņu virsmā jābūt iebūvētiem kontrastējošiem gaismas elementiem (diodēm) dzelteni-oranžā krāsā, atbilstoši vājredzīgo pasažieru prasībām</w:t>
      </w:r>
      <w:r w:rsidRPr="00217ECD">
        <w:t>.”</w:t>
      </w:r>
      <w:r>
        <w:t xml:space="preserve"> </w:t>
      </w:r>
      <w:r w:rsidRPr="00217ECD">
        <w:t>Ja mēs pareizi saprotam minēto prasību, tā nozīmē, ka ir pieļaujami tikai vertikālajos pieturēšanās stieņos iebūvēti LED gaismas elementi un citi kontrastējoši risinājumi netiek pieļauti.</w:t>
      </w:r>
      <w:r w:rsidRPr="00FF2040">
        <w:t xml:space="preserve"> Ņemot vērā iepriekš minēto, mēs vēlētos lūgt no Jūsu puses papildu informāciju un precizējumus par minēto prasību. Vai Pretendents var izvēlēties starp vertikālajos pieturēšanās stieņos iebūvētiem LED gaismas elementiem un citiem kontrastējošiem elementiem, kas nodrošina prasīto redzamību un kontrastu pasažieriem, tostarp personām ar redzes traucējumiem, vai arī ir pieļaujami tikai vertikālajos pieturēšanās stieņos iebūvēti LED gaismas elementi?</w:t>
      </w:r>
    </w:p>
    <w:p w14:paraId="6F0A95C9" w14:textId="77777777" w:rsidR="0074484F" w:rsidRDefault="0074484F" w:rsidP="00D53A36">
      <w:pPr>
        <w:pStyle w:val="NormalWeb"/>
        <w:spacing w:before="0" w:beforeAutospacing="0" w:after="0" w:afterAutospacing="0"/>
        <w:ind w:firstLine="720"/>
        <w:jc w:val="both"/>
        <w:rPr>
          <w:i/>
          <w:iCs/>
        </w:rPr>
      </w:pPr>
    </w:p>
    <w:p w14:paraId="63E507F3" w14:textId="77777777" w:rsidR="008F5BE4" w:rsidRPr="00A50347" w:rsidRDefault="008F5BE4" w:rsidP="00D53A36">
      <w:pPr>
        <w:pStyle w:val="NormalWeb"/>
        <w:spacing w:before="0" w:beforeAutospacing="0" w:after="0" w:afterAutospacing="0"/>
        <w:ind w:firstLine="720"/>
        <w:jc w:val="both"/>
        <w:rPr>
          <w:i/>
          <w:iCs/>
        </w:rPr>
      </w:pPr>
    </w:p>
    <w:p w14:paraId="04213C1B" w14:textId="77777777" w:rsidR="0074484F" w:rsidRPr="008365EC" w:rsidRDefault="0074484F" w:rsidP="00D53A36">
      <w:pPr>
        <w:ind w:right="-8"/>
        <w:jc w:val="both"/>
        <w:rPr>
          <w:b/>
          <w:bCs/>
        </w:rPr>
      </w:pPr>
      <w:r>
        <w:rPr>
          <w:b/>
          <w:bCs/>
        </w:rPr>
        <w:t>A</w:t>
      </w:r>
      <w:r w:rsidRPr="008365EC">
        <w:rPr>
          <w:b/>
          <w:bCs/>
        </w:rPr>
        <w:t>tbilde:</w:t>
      </w:r>
    </w:p>
    <w:p w14:paraId="1F2D24B7" w14:textId="1AE8D582" w:rsidR="00300FBB" w:rsidRDefault="0074484F" w:rsidP="00300FBB">
      <w:pPr>
        <w:ind w:right="-8" w:firstLine="720"/>
        <w:jc w:val="both"/>
      </w:pPr>
      <w:r w:rsidRPr="008365EC">
        <w:t xml:space="preserve">Pasūtītājs, skaidro, </w:t>
      </w:r>
      <w:r w:rsidR="00300FBB">
        <w:t>ka Tehniskās specifikācijas 1.7.6. punktā noteiktās prasības mērķis ir nodrošināt pieturēšanās stieņu pietiekamu redzamību un kontrastu pasažieriem, tostarp personām ar redzes traucējumiem.</w:t>
      </w:r>
    </w:p>
    <w:p w14:paraId="21E6360E" w14:textId="77777777" w:rsidR="00300FBB" w:rsidRDefault="00300FBB" w:rsidP="00300FBB">
      <w:pPr>
        <w:ind w:right="-8" w:firstLine="720"/>
        <w:jc w:val="both"/>
      </w:pPr>
      <w:r>
        <w:lastRenderedPageBreak/>
        <w:t>Pretendents var izvēlēties piemērotāko tehnisko risinājumu (piemēram, LED vai citus kontrastējošus elementus), ja tiek nodrošināta prasītā redzamība.</w:t>
      </w:r>
    </w:p>
    <w:p w14:paraId="206C2ADF" w14:textId="17B48C0F" w:rsidR="00D53A36" w:rsidRDefault="00300FBB" w:rsidP="00300FBB">
      <w:pPr>
        <w:ind w:right="-8" w:firstLine="720"/>
        <w:jc w:val="both"/>
      </w:pPr>
      <w:r>
        <w:t>Vienlaikus Pasūtītājs informē, ka tehniskās specifikācijas 1.12.1. punktā noteiktā prasība par obligātu LED elementu integrāciju ir pārskatīta un svītrota.</w:t>
      </w:r>
    </w:p>
    <w:p w14:paraId="259E87A6" w14:textId="77777777" w:rsidR="00300FBB" w:rsidRPr="00E3176A" w:rsidRDefault="00300FBB" w:rsidP="00300FBB">
      <w:pPr>
        <w:ind w:firstLine="720"/>
        <w:jc w:val="both"/>
        <w:rPr>
          <w:b/>
          <w:bCs/>
        </w:rPr>
      </w:pPr>
      <w:r w:rsidRPr="00E3176A">
        <w:t xml:space="preserve">Lūdzam skatīt iepirkuma procedūras nolikuma 2026.gada 19.jūnija grozījumus, kas publicēti </w:t>
      </w:r>
      <w:hyperlink r:id="rId14" w:history="1">
        <w:r w:rsidRPr="00E3176A">
          <w:rPr>
            <w:rStyle w:val="Hyperlink"/>
          </w:rPr>
          <w:t>www.eis.gov.lv</w:t>
        </w:r>
      </w:hyperlink>
      <w:r w:rsidRPr="00E3176A">
        <w:t xml:space="preserve"> un </w:t>
      </w:r>
      <w:hyperlink r:id="rId15" w:history="1">
        <w:r w:rsidRPr="00E3176A">
          <w:rPr>
            <w:rStyle w:val="Hyperlink"/>
          </w:rPr>
          <w:t>www.rigassatiksme.lv</w:t>
        </w:r>
      </w:hyperlink>
      <w:r w:rsidRPr="00E3176A">
        <w:t xml:space="preserve">.   </w:t>
      </w:r>
    </w:p>
    <w:p w14:paraId="3209AC88" w14:textId="77777777" w:rsidR="00300FBB" w:rsidRPr="009449AA" w:rsidRDefault="00300FBB" w:rsidP="00300FBB">
      <w:pPr>
        <w:ind w:right="-8" w:firstLine="720"/>
        <w:jc w:val="both"/>
      </w:pPr>
    </w:p>
    <w:p w14:paraId="308ED1E3" w14:textId="77777777" w:rsidR="008168DF" w:rsidRDefault="008168DF" w:rsidP="007F3584">
      <w:pPr>
        <w:pStyle w:val="Footer"/>
      </w:pPr>
    </w:p>
    <w:p w14:paraId="751AA916" w14:textId="500BDA2C" w:rsidR="00586EBF" w:rsidRDefault="00586EBF" w:rsidP="00586EBF">
      <w:pPr>
        <w:ind w:right="-8"/>
        <w:jc w:val="both"/>
        <w:rPr>
          <w:b/>
          <w:bCs/>
        </w:rPr>
      </w:pPr>
      <w:r>
        <w:rPr>
          <w:b/>
          <w:bCs/>
        </w:rPr>
        <w:t>4. J</w:t>
      </w:r>
      <w:r w:rsidRPr="008365EC">
        <w:rPr>
          <w:b/>
          <w:bCs/>
        </w:rPr>
        <w:t>autājums:</w:t>
      </w:r>
    </w:p>
    <w:p w14:paraId="742A5F13" w14:textId="1C6A1A49" w:rsidR="00586EBF" w:rsidRPr="00FF2040" w:rsidRDefault="00586EBF" w:rsidP="00126EF0">
      <w:pPr>
        <w:tabs>
          <w:tab w:val="left" w:pos="1134"/>
        </w:tabs>
        <w:jc w:val="both"/>
      </w:pPr>
      <w:r>
        <w:t>Veicot Nolikuma sadaļas “I. Vispārīgā informācija” analīzi, jo īpaši attiecībā uz šīs sadaļas 6. punktu “Piedāvājumu iesniegšanas un atvēršanas vieta, datums, laiks un kārtība”, konstatējām, ka saskaņā ar 6.2. punktu piedāvājumu iesniegšanas termiņš ir noteikts līdz 2026. gada 1. jūlijam plkst. 10.00.</w:t>
      </w:r>
      <w:r w:rsidRPr="005B4251">
        <w:t xml:space="preserve"> </w:t>
      </w:r>
      <w:r>
        <w:t>Ņemot vērā lielo darba apjomu, kas nepieciešams visu iepirkuma dokumentācijā noteikto prasību izpildei, kā arī piedāvājuma sagatavošanai nepieciešamo papildu laiku dokumentu noformēšanai, lūdzam pagarināt piedāvājumu iesniegšanas termiņu par vienu kalendāro mēnesi no sākotnēji noteiktā termiņa.</w:t>
      </w:r>
    </w:p>
    <w:p w14:paraId="00D9279E" w14:textId="77777777" w:rsidR="00586EBF" w:rsidRDefault="00586EBF" w:rsidP="00586EBF">
      <w:pPr>
        <w:ind w:right="-8"/>
        <w:jc w:val="both"/>
        <w:rPr>
          <w:b/>
          <w:bCs/>
        </w:rPr>
      </w:pPr>
    </w:p>
    <w:p w14:paraId="0C3A2A7C" w14:textId="77777777" w:rsidR="008F5BE4" w:rsidRDefault="008F5BE4" w:rsidP="00586EBF">
      <w:pPr>
        <w:ind w:right="-8"/>
        <w:jc w:val="both"/>
        <w:rPr>
          <w:b/>
          <w:bCs/>
        </w:rPr>
      </w:pPr>
    </w:p>
    <w:p w14:paraId="190A4654" w14:textId="542A9669" w:rsidR="00586EBF" w:rsidRPr="008365EC" w:rsidRDefault="00586EBF" w:rsidP="00586EBF">
      <w:pPr>
        <w:ind w:right="-8"/>
        <w:jc w:val="both"/>
        <w:rPr>
          <w:b/>
          <w:bCs/>
        </w:rPr>
      </w:pPr>
      <w:r>
        <w:rPr>
          <w:b/>
          <w:bCs/>
        </w:rPr>
        <w:t>A</w:t>
      </w:r>
      <w:r w:rsidRPr="008365EC">
        <w:rPr>
          <w:b/>
          <w:bCs/>
        </w:rPr>
        <w:t>tbilde:</w:t>
      </w:r>
    </w:p>
    <w:p w14:paraId="73867DEF" w14:textId="77777777" w:rsidR="006509D1" w:rsidRPr="00FA4078" w:rsidRDefault="006509D1" w:rsidP="006509D1">
      <w:pPr>
        <w:ind w:firstLine="720"/>
        <w:jc w:val="both"/>
      </w:pPr>
      <w:r w:rsidRPr="00300FBB">
        <w:t>Atbilde sniegta 2026.gada 16.jūnijā – piedāvājumu iesniegšanas termiņš pagarināts līdz 2026.gada 4.augusta plkst. 10.00.</w:t>
      </w:r>
    </w:p>
    <w:p w14:paraId="0E567312" w14:textId="77777777" w:rsidR="0074484F" w:rsidRDefault="0074484F" w:rsidP="007F3584">
      <w:pPr>
        <w:pStyle w:val="Footer"/>
      </w:pPr>
    </w:p>
    <w:p w14:paraId="1CC14AE9" w14:textId="77777777" w:rsidR="0074484F" w:rsidRDefault="0074484F" w:rsidP="007F3584">
      <w:pPr>
        <w:pStyle w:val="Footer"/>
      </w:pPr>
    </w:p>
    <w:p w14:paraId="0A735439" w14:textId="77777777" w:rsidR="0074484F" w:rsidRDefault="0074484F" w:rsidP="007F3584">
      <w:pPr>
        <w:pStyle w:val="Footer"/>
      </w:pPr>
    </w:p>
    <w:p w14:paraId="7BB0C705" w14:textId="477DC3DF" w:rsidR="00B9002B" w:rsidRDefault="007F3584" w:rsidP="009967D9">
      <w:pPr>
        <w:pStyle w:val="Footer"/>
        <w:rPr>
          <w:color w:val="000000"/>
          <w:lang w:eastAsia="en-GB"/>
        </w:rPr>
      </w:pPr>
      <w:r w:rsidRPr="008365EC">
        <w:t>Iepirkuma komisijas priekšsēdētāja</w:t>
      </w:r>
      <w:r w:rsidR="00B001FD">
        <w:t xml:space="preserve"> vietniece</w:t>
      </w:r>
      <w:r w:rsidR="00F60E97" w:rsidRPr="008365EC">
        <w:rPr>
          <w:color w:val="000000"/>
          <w:lang w:eastAsia="en-GB"/>
        </w:rPr>
        <w:tab/>
      </w:r>
      <w:r w:rsidR="00B001FD">
        <w:rPr>
          <w:color w:val="000000"/>
          <w:lang w:eastAsia="en-GB"/>
        </w:rPr>
        <w:t>Laine Hodaseviča</w:t>
      </w:r>
    </w:p>
    <w:p w14:paraId="43135673" w14:textId="77777777" w:rsidR="00F917E4" w:rsidRDefault="00F917E4" w:rsidP="00F917E4">
      <w:pPr>
        <w:widowControl w:val="0"/>
        <w:tabs>
          <w:tab w:val="left" w:pos="764"/>
        </w:tabs>
        <w:rPr>
          <w:color w:val="000000"/>
          <w:sz w:val="20"/>
          <w:szCs w:val="20"/>
          <w:lang w:eastAsia="en-GB"/>
        </w:rPr>
      </w:pPr>
    </w:p>
    <w:p w14:paraId="388583AD" w14:textId="77777777" w:rsidR="00436DBD" w:rsidRDefault="00436DBD" w:rsidP="00F917E4">
      <w:pPr>
        <w:widowControl w:val="0"/>
        <w:tabs>
          <w:tab w:val="left" w:pos="764"/>
        </w:tabs>
        <w:rPr>
          <w:color w:val="000000"/>
          <w:sz w:val="20"/>
          <w:szCs w:val="20"/>
          <w:lang w:eastAsia="en-GB"/>
        </w:rPr>
      </w:pPr>
    </w:p>
    <w:p w14:paraId="64C3DB50" w14:textId="77777777" w:rsidR="007C6A66" w:rsidRDefault="007C6A66" w:rsidP="00F917E4">
      <w:pPr>
        <w:widowControl w:val="0"/>
        <w:tabs>
          <w:tab w:val="left" w:pos="764"/>
        </w:tabs>
        <w:rPr>
          <w:color w:val="000000"/>
          <w:sz w:val="20"/>
          <w:szCs w:val="20"/>
          <w:lang w:eastAsia="en-GB"/>
        </w:rPr>
      </w:pPr>
    </w:p>
    <w:p w14:paraId="51CEE019" w14:textId="77777777" w:rsidR="00107A28" w:rsidRDefault="00107A28">
      <w:pPr>
        <w:rPr>
          <w:lang w:val="en-US"/>
        </w:rPr>
      </w:pPr>
      <w:r>
        <w:rPr>
          <w:lang w:val="en-US"/>
        </w:rPr>
        <w:br w:type="page"/>
      </w:r>
    </w:p>
    <w:p w14:paraId="4C27F217" w14:textId="42DA74DD" w:rsidR="00026EEF" w:rsidRPr="00126EF0" w:rsidRDefault="00107A28" w:rsidP="00107A28">
      <w:pPr>
        <w:rPr>
          <w:lang w:val="en-US"/>
        </w:rPr>
      </w:pPr>
      <w:r>
        <w:rPr>
          <w:lang w:val="en-US"/>
        </w:rPr>
        <w:lastRenderedPageBreak/>
        <w:t>25.06</w:t>
      </w:r>
      <w:r w:rsidR="00026EEF" w:rsidRPr="00126EF0">
        <w:rPr>
          <w:lang w:val="en-US"/>
        </w:rPr>
        <w:t xml:space="preserve">.2026.   </w:t>
      </w:r>
    </w:p>
    <w:p w14:paraId="337F3885" w14:textId="77777777" w:rsidR="00026EEF" w:rsidRPr="00126EF0" w:rsidRDefault="00026EEF" w:rsidP="00026EEF">
      <w:pPr>
        <w:jc w:val="right"/>
        <w:rPr>
          <w:lang w:val="en-US"/>
        </w:rPr>
      </w:pPr>
    </w:p>
    <w:p w14:paraId="32A809D4" w14:textId="77777777" w:rsidR="00026EEF" w:rsidRPr="00126EF0" w:rsidRDefault="00026EEF" w:rsidP="00026EEF">
      <w:pPr>
        <w:jc w:val="right"/>
        <w:rPr>
          <w:lang w:val="en-US"/>
        </w:rPr>
      </w:pPr>
    </w:p>
    <w:p w14:paraId="738DD6BD" w14:textId="77777777" w:rsidR="00026EEF" w:rsidRPr="00126EF0" w:rsidRDefault="00026EEF" w:rsidP="00026EEF">
      <w:pPr>
        <w:pStyle w:val="Default"/>
        <w:tabs>
          <w:tab w:val="left" w:pos="5387"/>
        </w:tabs>
        <w:ind w:right="4103"/>
        <w:jc w:val="both"/>
        <w:rPr>
          <w:iCs/>
          <w:lang w:val="en-US"/>
        </w:rPr>
      </w:pPr>
      <w:r w:rsidRPr="00126EF0">
        <w:rPr>
          <w:lang w:val="en-US" w:bidi="en-GB"/>
        </w:rPr>
        <w:t>Regarding the requirements of the open procedure "Supply of buses" (ID No RS 2026/17)</w:t>
      </w:r>
    </w:p>
    <w:p w14:paraId="237410DD" w14:textId="77777777" w:rsidR="00026EEF" w:rsidRPr="00126EF0" w:rsidRDefault="00026EEF" w:rsidP="00026EEF">
      <w:pPr>
        <w:ind w:right="417"/>
        <w:rPr>
          <w:i/>
          <w:lang w:val="en-US"/>
        </w:rPr>
      </w:pPr>
    </w:p>
    <w:p w14:paraId="36B7C008" w14:textId="77777777" w:rsidR="00026EEF" w:rsidRPr="00126EF0" w:rsidRDefault="00026EEF" w:rsidP="00026EEF">
      <w:pPr>
        <w:tabs>
          <w:tab w:val="right" w:pos="9355"/>
        </w:tabs>
        <w:ind w:right="-45" w:firstLine="426"/>
        <w:jc w:val="both"/>
        <w:rPr>
          <w:lang w:val="en-US"/>
        </w:rPr>
      </w:pPr>
      <w:r w:rsidRPr="00126EF0">
        <w:rPr>
          <w:lang w:val="en-US"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6767D341" w14:textId="77777777" w:rsidR="00590847" w:rsidRPr="00126EF0" w:rsidRDefault="00590847" w:rsidP="00590847">
      <w:pPr>
        <w:ind w:right="-8"/>
        <w:jc w:val="both"/>
        <w:rPr>
          <w:b/>
          <w:lang w:val="en-US" w:bidi="en-GB"/>
        </w:rPr>
      </w:pPr>
    </w:p>
    <w:p w14:paraId="14F3ECAE" w14:textId="77777777" w:rsidR="00590847" w:rsidRPr="00126EF0" w:rsidRDefault="00590847" w:rsidP="00590847">
      <w:pPr>
        <w:ind w:right="-8"/>
        <w:jc w:val="both"/>
        <w:rPr>
          <w:b/>
          <w:lang w:val="en-US" w:bidi="en-GB"/>
        </w:rPr>
      </w:pPr>
    </w:p>
    <w:p w14:paraId="3033139F" w14:textId="593E6AA1" w:rsidR="00590847" w:rsidRPr="00126EF0" w:rsidRDefault="00590847" w:rsidP="00590847">
      <w:pPr>
        <w:ind w:right="-8"/>
        <w:jc w:val="both"/>
        <w:rPr>
          <w:b/>
          <w:bCs/>
          <w:lang w:val="en-US"/>
        </w:rPr>
      </w:pPr>
      <w:r w:rsidRPr="00126EF0">
        <w:rPr>
          <w:b/>
          <w:lang w:val="en-US" w:bidi="en-GB"/>
        </w:rPr>
        <w:t>Question 1:</w:t>
      </w:r>
    </w:p>
    <w:p w14:paraId="4EE5E7BD" w14:textId="6AA44A77" w:rsidR="00AC04DA" w:rsidRPr="00AC04DA" w:rsidRDefault="00AC04DA" w:rsidP="00AC04DA">
      <w:pPr>
        <w:jc w:val="both"/>
        <w:rPr>
          <w:lang w:val="en-US" w:bidi="en-GB"/>
        </w:rPr>
      </w:pPr>
      <w:r w:rsidRPr="00AC04DA">
        <w:rPr>
          <w:lang w:val="en-US" w:bidi="en-GB"/>
        </w:rPr>
        <w:t>During the review of Annex 3.2 “Technical Specification for the 18-Metre Articulated Diesel Bus”, in particular Section 2 “ENGINE AND TRANSMISSION”, we noted Clause 2.3 “Engine Cooling”, which concludes with the following requirement:</w:t>
      </w:r>
      <w:r w:rsidR="00D95782" w:rsidRPr="00126EF0">
        <w:rPr>
          <w:lang w:val="en-US" w:bidi="en-GB"/>
        </w:rPr>
        <w:t xml:space="preserve"> </w:t>
      </w:r>
      <w:r w:rsidRPr="00AC04DA">
        <w:rPr>
          <w:lang w:val="en-US" w:bidi="en-GB"/>
        </w:rPr>
        <w:t>“Additionally, a coolant heating system shall be provided, connectable to an external 230 VAC power supply via a plug connection that is compatible with the network available to the Contracting Authority (DEFA 460785).”</w:t>
      </w:r>
      <w:r w:rsidR="00D95782" w:rsidRPr="00126EF0">
        <w:rPr>
          <w:lang w:val="en-US" w:bidi="en-GB"/>
        </w:rPr>
        <w:t xml:space="preserve"> </w:t>
      </w:r>
      <w:r w:rsidRPr="00AC04DA">
        <w:rPr>
          <w:lang w:val="en-US" w:bidi="en-GB"/>
        </w:rPr>
        <w:t>We would kindly request additional information and clarification regarding the above requirement. Please explain what specific system is meant by the requirement to provide a coolant heating system that can be connected to an external 230 VAC power supply source.</w:t>
      </w:r>
    </w:p>
    <w:p w14:paraId="49AACCF9" w14:textId="77777777" w:rsidR="004D17BC" w:rsidRPr="00126EF0" w:rsidRDefault="004D17BC" w:rsidP="00D95782">
      <w:pPr>
        <w:pStyle w:val="NormalWeb"/>
        <w:spacing w:before="0" w:beforeAutospacing="0" w:after="0" w:afterAutospacing="0"/>
        <w:jc w:val="center"/>
        <w:rPr>
          <w:i/>
          <w:iCs/>
          <w:lang w:val="en-US"/>
        </w:rPr>
      </w:pPr>
      <w:r w:rsidRPr="00126EF0">
        <w:rPr>
          <w:i/>
          <w:iCs/>
          <w:lang w:val="en-US"/>
        </w:rPr>
        <w:t>(Translated from Latvian using the machine translation tool “Copilot”)</w:t>
      </w:r>
    </w:p>
    <w:p w14:paraId="55DB23DF" w14:textId="77777777" w:rsidR="00CD2E6D" w:rsidRPr="00126EF0" w:rsidRDefault="00CD2E6D" w:rsidP="006807B6">
      <w:pPr>
        <w:rPr>
          <w:lang w:val="en-US" w:bidi="en-GB"/>
        </w:rPr>
      </w:pPr>
    </w:p>
    <w:p w14:paraId="3A197579" w14:textId="77777777" w:rsidR="001E4FED" w:rsidRPr="00126EF0" w:rsidRDefault="001E4FED" w:rsidP="001E4FED">
      <w:pPr>
        <w:ind w:right="-8"/>
        <w:jc w:val="both"/>
        <w:rPr>
          <w:b/>
          <w:bCs/>
          <w:lang w:val="en-US"/>
        </w:rPr>
      </w:pPr>
      <w:r w:rsidRPr="00126EF0">
        <w:rPr>
          <w:b/>
          <w:lang w:val="en-US" w:bidi="en-GB"/>
        </w:rPr>
        <w:t>Answer:</w:t>
      </w:r>
    </w:p>
    <w:p w14:paraId="2DC43287" w14:textId="77777777" w:rsidR="00F01610" w:rsidRPr="00126EF0" w:rsidRDefault="00F01610" w:rsidP="00F01610">
      <w:pPr>
        <w:tabs>
          <w:tab w:val="right" w:pos="9355"/>
        </w:tabs>
        <w:ind w:right="-45" w:firstLine="426"/>
        <w:jc w:val="both"/>
        <w:rPr>
          <w:lang w:val="en-US" w:bidi="en-GB"/>
        </w:rPr>
      </w:pPr>
      <w:r w:rsidRPr="00126EF0">
        <w:rPr>
          <w:lang w:val="en-US" w:bidi="en-GB"/>
        </w:rPr>
        <w:t>The requirement refers to an engine coolant pre-heating system, which uses an external 230 VAC power supply to warm up the engine coolant prior to engine start.</w:t>
      </w:r>
    </w:p>
    <w:p w14:paraId="5AD31E83" w14:textId="77777777" w:rsidR="00F01610" w:rsidRPr="00126EF0" w:rsidRDefault="00F01610" w:rsidP="00F01610">
      <w:pPr>
        <w:tabs>
          <w:tab w:val="right" w:pos="9355"/>
        </w:tabs>
        <w:ind w:right="-45" w:firstLine="426"/>
        <w:jc w:val="both"/>
        <w:rPr>
          <w:lang w:val="en-US" w:bidi="en-GB"/>
        </w:rPr>
      </w:pPr>
      <w:r w:rsidRPr="00126EF0">
        <w:rPr>
          <w:lang w:val="en-US" w:bidi="en-GB"/>
        </w:rPr>
        <w:t>Such a system is intended to facilitate engine start in low ambient temperatures; reduce engine wear during cold starts; support faster activation of the cabin heating (HVAC) system and ensure thermal comfort in winter conditions.</w:t>
      </w:r>
    </w:p>
    <w:p w14:paraId="2AA8ACF6" w14:textId="70466DA4" w:rsidR="00CD2E6D" w:rsidRPr="00126EF0" w:rsidRDefault="00F01610" w:rsidP="00F01610">
      <w:pPr>
        <w:tabs>
          <w:tab w:val="right" w:pos="9355"/>
        </w:tabs>
        <w:ind w:right="-45" w:firstLine="426"/>
        <w:jc w:val="both"/>
        <w:rPr>
          <w:lang w:val="en-US" w:bidi="en-GB"/>
        </w:rPr>
      </w:pPr>
      <w:r w:rsidRPr="00126EF0">
        <w:rPr>
          <w:lang w:val="en-US" w:bidi="en-GB"/>
        </w:rPr>
        <w:t>The coolant pre-heating system shall be capable of being connected to an external 230 VAC power supply via a connection compatible with the Contracting Authority’s existing infrastructure (DEFA 460785 or an equivalent solution).</w:t>
      </w:r>
    </w:p>
    <w:p w14:paraId="4ACAB2DD" w14:textId="77777777" w:rsidR="00CD2E6D" w:rsidRPr="00126EF0" w:rsidRDefault="00CD2E6D" w:rsidP="00CD2E6D">
      <w:pPr>
        <w:ind w:right="372"/>
        <w:jc w:val="both"/>
        <w:outlineLvl w:val="0"/>
        <w:rPr>
          <w:lang w:val="en-US"/>
        </w:rPr>
      </w:pPr>
    </w:p>
    <w:p w14:paraId="729F53F8" w14:textId="77777777" w:rsidR="00F94D7D" w:rsidRPr="00126EF0" w:rsidRDefault="00F94D7D" w:rsidP="00CD2E6D">
      <w:pPr>
        <w:ind w:right="372"/>
        <w:jc w:val="both"/>
        <w:outlineLvl w:val="0"/>
        <w:rPr>
          <w:lang w:val="en-US"/>
        </w:rPr>
      </w:pPr>
    </w:p>
    <w:p w14:paraId="33135D2D" w14:textId="31022C8C" w:rsidR="00F94D7D" w:rsidRPr="00126EF0" w:rsidRDefault="00F94D7D" w:rsidP="00F94D7D">
      <w:pPr>
        <w:ind w:right="-8"/>
        <w:jc w:val="both"/>
        <w:rPr>
          <w:b/>
          <w:bCs/>
          <w:lang w:val="en-US"/>
        </w:rPr>
      </w:pPr>
      <w:r w:rsidRPr="00126EF0">
        <w:rPr>
          <w:b/>
          <w:lang w:val="en-US" w:bidi="en-GB"/>
        </w:rPr>
        <w:t>Question 2:</w:t>
      </w:r>
    </w:p>
    <w:p w14:paraId="5ED065CE" w14:textId="1215B321" w:rsidR="006A4C7F" w:rsidRPr="006A4C7F" w:rsidRDefault="006A4C7F" w:rsidP="006A4C7F">
      <w:pPr>
        <w:jc w:val="both"/>
        <w:rPr>
          <w:lang w:val="en-US" w:bidi="en-GB"/>
        </w:rPr>
      </w:pPr>
      <w:r w:rsidRPr="006A4C7F">
        <w:rPr>
          <w:lang w:val="en-US" w:bidi="en-GB"/>
        </w:rPr>
        <w:t>During the review of Annex 3.1 “Technical Specification for 18-Metre Articulated Electric Buses”, in particular Section 1.7 “PASSENGER COMPARTMENT”, we noted Clause 1.7.6 “Handrails and Grab Handles”, which contains the following requirement:</w:t>
      </w:r>
      <w:r w:rsidR="00484C92" w:rsidRPr="00126EF0">
        <w:rPr>
          <w:lang w:val="en-US" w:bidi="en-GB"/>
        </w:rPr>
        <w:t xml:space="preserve"> </w:t>
      </w:r>
      <w:r w:rsidRPr="006A4C7F">
        <w:rPr>
          <w:lang w:val="en-US" w:bidi="en-GB"/>
        </w:rPr>
        <w:t>“Vertical handrails shall be equipped with contrasting elements that improve their visibility for passengers, including persons with visual impairments. If lighting is used (e.g. LED), it shall provide sufficient contrast and visibility under various lighting conditions, using a yellow-orange or another visually contrasting colour.”</w:t>
      </w:r>
    </w:p>
    <w:p w14:paraId="7BDE7AD5" w14:textId="77777777" w:rsidR="006A4C7F" w:rsidRPr="006A4C7F" w:rsidRDefault="006A4C7F" w:rsidP="006A4C7F">
      <w:pPr>
        <w:jc w:val="both"/>
        <w:rPr>
          <w:lang w:val="en-US" w:bidi="en-GB"/>
        </w:rPr>
      </w:pPr>
      <w:r w:rsidRPr="006A4C7F">
        <w:rPr>
          <w:lang w:val="en-US" w:bidi="en-GB"/>
        </w:rPr>
        <w:t>If we correctly understand the above requirement, it allows the Tenderer to choose between LED lighting elements integrated into the vertical handrails or other contrasting elements that provide the required visibility and contrast for passengers, including persons with visual impairments.</w:t>
      </w:r>
    </w:p>
    <w:p w14:paraId="211B25E8" w14:textId="77777777" w:rsidR="006A4C7F" w:rsidRPr="006A4C7F" w:rsidRDefault="006A4C7F" w:rsidP="006A4C7F">
      <w:pPr>
        <w:jc w:val="both"/>
        <w:rPr>
          <w:lang w:val="en-US" w:bidi="en-GB"/>
        </w:rPr>
      </w:pPr>
      <w:r w:rsidRPr="006A4C7F">
        <w:rPr>
          <w:lang w:val="en-US" w:bidi="en-GB"/>
        </w:rPr>
        <w:t>At the same time, Clause 1.12.1 “Interior Lighting” of Section 1.12 “INTERIOR LIGHTING” contains the following requirement:</w:t>
      </w:r>
    </w:p>
    <w:p w14:paraId="2989F7BF" w14:textId="77777777" w:rsidR="006A4C7F" w:rsidRPr="006A4C7F" w:rsidRDefault="006A4C7F" w:rsidP="006A4C7F">
      <w:pPr>
        <w:jc w:val="both"/>
        <w:rPr>
          <w:lang w:val="en-US" w:bidi="en-GB"/>
        </w:rPr>
      </w:pPr>
      <w:r w:rsidRPr="006A4C7F">
        <w:rPr>
          <w:lang w:val="en-US" w:bidi="en-GB"/>
        </w:rPr>
        <w:t>“The surface of the vertical handrails shall incorporate contrasting light elements (LEDs) in a yellow-orange colour, in accordance with the requirements for visually impaired passengers.”</w:t>
      </w:r>
    </w:p>
    <w:p w14:paraId="2CF21249" w14:textId="77777777" w:rsidR="006A4C7F" w:rsidRPr="006A4C7F" w:rsidRDefault="006A4C7F" w:rsidP="006A4C7F">
      <w:pPr>
        <w:jc w:val="both"/>
        <w:rPr>
          <w:lang w:val="en-US" w:bidi="en-GB"/>
        </w:rPr>
      </w:pPr>
      <w:r w:rsidRPr="006A4C7F">
        <w:rPr>
          <w:lang w:val="en-US" w:bidi="en-GB"/>
        </w:rPr>
        <w:t>If we correctly understand this requirement, it means that only LED lighting elements integrated into the vertical handrails are permitted and that other contrasting solutions are not acceptable.</w:t>
      </w:r>
    </w:p>
    <w:p w14:paraId="5DB44153" w14:textId="77777777" w:rsidR="006A4C7F" w:rsidRPr="006A4C7F" w:rsidRDefault="006A4C7F" w:rsidP="006A4C7F">
      <w:pPr>
        <w:jc w:val="both"/>
        <w:rPr>
          <w:lang w:val="en-US" w:bidi="en-GB"/>
        </w:rPr>
      </w:pPr>
      <w:r w:rsidRPr="006A4C7F">
        <w:rPr>
          <w:lang w:val="en-US" w:bidi="en-GB"/>
        </w:rPr>
        <w:lastRenderedPageBreak/>
        <w:t>In view of the above, we would kindly request additional information and clarification regarding this requirement. Is the Tenderer allowed to choose between LED lighting elements integrated into the vertical handrails and other contrasting elements that provide the required visibility and contrast for passengers, including persons with visual impairments, or are only LED lighting elements integrated into the vertical handrails permitted?</w:t>
      </w:r>
    </w:p>
    <w:p w14:paraId="131E1975" w14:textId="77777777" w:rsidR="004D17BC" w:rsidRPr="00126EF0" w:rsidRDefault="004D17BC" w:rsidP="004D17BC">
      <w:pPr>
        <w:pStyle w:val="NormalWeb"/>
        <w:spacing w:before="0" w:beforeAutospacing="0" w:after="0" w:afterAutospacing="0"/>
        <w:ind w:firstLine="720"/>
        <w:jc w:val="both"/>
        <w:rPr>
          <w:i/>
          <w:iCs/>
          <w:lang w:val="en-US"/>
        </w:rPr>
      </w:pPr>
      <w:r w:rsidRPr="00126EF0">
        <w:rPr>
          <w:i/>
          <w:iCs/>
          <w:lang w:val="en-US"/>
        </w:rPr>
        <w:t>(Translated from Latvian using the machine translation tool “Copilot”)</w:t>
      </w:r>
    </w:p>
    <w:p w14:paraId="1F3F76F9" w14:textId="77777777" w:rsidR="00F94D7D" w:rsidRPr="00126EF0" w:rsidRDefault="00F94D7D" w:rsidP="00F94D7D">
      <w:pPr>
        <w:rPr>
          <w:lang w:val="en-US" w:bidi="en-GB"/>
        </w:rPr>
      </w:pPr>
    </w:p>
    <w:p w14:paraId="60C3FF6A" w14:textId="77777777" w:rsidR="00F94D7D" w:rsidRPr="00126EF0" w:rsidRDefault="00F94D7D" w:rsidP="00F94D7D">
      <w:pPr>
        <w:ind w:right="-8"/>
        <w:jc w:val="both"/>
        <w:rPr>
          <w:b/>
          <w:bCs/>
          <w:lang w:val="en-US"/>
        </w:rPr>
      </w:pPr>
      <w:r w:rsidRPr="00126EF0">
        <w:rPr>
          <w:b/>
          <w:lang w:val="en-US" w:bidi="en-GB"/>
        </w:rPr>
        <w:t>Answer:</w:t>
      </w:r>
    </w:p>
    <w:p w14:paraId="0C786B31" w14:textId="77777777" w:rsidR="00547559" w:rsidRPr="00126EF0" w:rsidRDefault="00547559" w:rsidP="00E50436">
      <w:pPr>
        <w:tabs>
          <w:tab w:val="right" w:pos="9355"/>
        </w:tabs>
        <w:ind w:right="-45" w:firstLine="426"/>
        <w:jc w:val="both"/>
        <w:rPr>
          <w:lang w:val="en-US" w:bidi="en-GB"/>
        </w:rPr>
      </w:pPr>
      <w:r w:rsidRPr="00126EF0">
        <w:rPr>
          <w:lang w:val="en-US" w:bidi="en-GB"/>
        </w:rPr>
        <w:t>The requirement set out in Clause 1.7.6 is intended to ensure sufficient visibility and contrast of vertical grab poles for passengers, including persons with visual impairments.</w:t>
      </w:r>
    </w:p>
    <w:p w14:paraId="02B4DB98" w14:textId="77777777" w:rsidR="00547559" w:rsidRPr="00126EF0" w:rsidRDefault="00547559" w:rsidP="00E50436">
      <w:pPr>
        <w:tabs>
          <w:tab w:val="right" w:pos="9355"/>
        </w:tabs>
        <w:ind w:right="-45" w:firstLine="426"/>
        <w:jc w:val="both"/>
        <w:rPr>
          <w:lang w:val="en-US" w:bidi="en-GB"/>
        </w:rPr>
      </w:pPr>
      <w:r w:rsidRPr="00126EF0">
        <w:rPr>
          <w:lang w:val="en-US" w:bidi="en-GB"/>
        </w:rPr>
        <w:t>Tenderers may choose the appropriate technical solution (e.g. integrated LED elements or other contrasting elements), provided that the required visibility is ensured.</w:t>
      </w:r>
    </w:p>
    <w:p w14:paraId="6F5910CF" w14:textId="77777777" w:rsidR="00547559" w:rsidRPr="00126EF0" w:rsidRDefault="00547559" w:rsidP="00E50436">
      <w:pPr>
        <w:tabs>
          <w:tab w:val="right" w:pos="9355"/>
        </w:tabs>
        <w:ind w:right="-45" w:firstLine="426"/>
        <w:jc w:val="both"/>
        <w:rPr>
          <w:lang w:val="en-US" w:bidi="en-GB"/>
        </w:rPr>
      </w:pPr>
      <w:r w:rsidRPr="00126EF0">
        <w:rPr>
          <w:lang w:val="en-US" w:bidi="en-GB"/>
        </w:rPr>
        <w:t>At the same time, the Contracting Authority confirms that the requirement specified in Clause 1.12.1 regarding mandatory LED elements has been reviewed and removed.</w:t>
      </w:r>
    </w:p>
    <w:p w14:paraId="5CBFF916" w14:textId="77777777" w:rsidR="00F94D7D" w:rsidRPr="00126EF0" w:rsidRDefault="00F94D7D" w:rsidP="00CD2E6D">
      <w:pPr>
        <w:ind w:right="372"/>
        <w:jc w:val="both"/>
        <w:outlineLvl w:val="0"/>
        <w:rPr>
          <w:lang w:val="en-US"/>
        </w:rPr>
      </w:pPr>
    </w:p>
    <w:p w14:paraId="2E33BFB8" w14:textId="77777777" w:rsidR="00F94D7D" w:rsidRPr="00126EF0" w:rsidRDefault="00F94D7D" w:rsidP="00CD2E6D">
      <w:pPr>
        <w:ind w:right="372"/>
        <w:jc w:val="both"/>
        <w:outlineLvl w:val="0"/>
        <w:rPr>
          <w:lang w:val="en-US"/>
        </w:rPr>
      </w:pPr>
    </w:p>
    <w:p w14:paraId="4DF98654" w14:textId="64CF780F" w:rsidR="00F94D7D" w:rsidRPr="00126EF0" w:rsidRDefault="00F94D7D" w:rsidP="00F94D7D">
      <w:pPr>
        <w:ind w:right="-8"/>
        <w:jc w:val="both"/>
        <w:rPr>
          <w:b/>
          <w:bCs/>
          <w:lang w:val="en-US"/>
        </w:rPr>
      </w:pPr>
      <w:r w:rsidRPr="00126EF0">
        <w:rPr>
          <w:b/>
          <w:lang w:val="en-US" w:bidi="en-GB"/>
        </w:rPr>
        <w:t>Question 3:</w:t>
      </w:r>
    </w:p>
    <w:p w14:paraId="6983B806" w14:textId="77777777" w:rsidR="00146B55" w:rsidRPr="00146B55" w:rsidRDefault="00146B55" w:rsidP="00146B55">
      <w:pPr>
        <w:jc w:val="both"/>
        <w:rPr>
          <w:lang w:val="en-US" w:bidi="en-GB"/>
        </w:rPr>
      </w:pPr>
      <w:r w:rsidRPr="00146B55">
        <w:rPr>
          <w:lang w:val="en-US" w:bidi="en-GB"/>
        </w:rPr>
        <w:t>During the review of Annex 3.2 “Technical Specification for the 18-Metre Articulated Diesel Bus”, in particular Section 1.7 “PASSENGER COMPARTMENT”, we noted Clause 1.7.6 “Handrails and Grab Handles”, which contains the following requirement:</w:t>
      </w:r>
    </w:p>
    <w:p w14:paraId="7D37BD8E" w14:textId="77777777" w:rsidR="00146B55" w:rsidRPr="00146B55" w:rsidRDefault="00146B55" w:rsidP="00146B55">
      <w:pPr>
        <w:jc w:val="both"/>
        <w:rPr>
          <w:lang w:val="en-US" w:bidi="en-GB"/>
        </w:rPr>
      </w:pPr>
      <w:r w:rsidRPr="00146B55">
        <w:rPr>
          <w:lang w:val="en-US" w:bidi="en-GB"/>
        </w:rPr>
        <w:t>“Vertical handrails shall be equipped with contrasting elements that improve their visibility for passengers, including persons with visual impairments. If lighting is used (e.g. LED), it shall provide sufficient contrast and visibility under various lighting conditions, using a yellow-orange or another visually contrasting colour.”</w:t>
      </w:r>
    </w:p>
    <w:p w14:paraId="5E6FE8B2" w14:textId="77777777" w:rsidR="00146B55" w:rsidRPr="00146B55" w:rsidRDefault="00146B55" w:rsidP="00146B55">
      <w:pPr>
        <w:jc w:val="both"/>
        <w:rPr>
          <w:lang w:val="en-US" w:bidi="en-GB"/>
        </w:rPr>
      </w:pPr>
      <w:r w:rsidRPr="00146B55">
        <w:rPr>
          <w:lang w:val="en-US" w:bidi="en-GB"/>
        </w:rPr>
        <w:t>If we correctly understand the above requirement, it allows the Tenderer to choose between LED lighting elements integrated into the vertical handrails or other contrasting elements that provide the required visibility and contrast for passengers, including persons with visual impairments.</w:t>
      </w:r>
    </w:p>
    <w:p w14:paraId="063ED51A" w14:textId="77777777" w:rsidR="00146B55" w:rsidRPr="00146B55" w:rsidRDefault="00146B55" w:rsidP="00146B55">
      <w:pPr>
        <w:jc w:val="both"/>
        <w:rPr>
          <w:lang w:val="en-US" w:bidi="en-GB"/>
        </w:rPr>
      </w:pPr>
      <w:r w:rsidRPr="00146B55">
        <w:rPr>
          <w:lang w:val="en-US" w:bidi="en-GB"/>
        </w:rPr>
        <w:t>At the same time, Clause 1.12.1 “Interior Lighting” of Section 1.12 “INTERIOR LIGHTING” contains the following requirement:</w:t>
      </w:r>
    </w:p>
    <w:p w14:paraId="3381F128" w14:textId="77777777" w:rsidR="00146B55" w:rsidRPr="00146B55" w:rsidRDefault="00146B55" w:rsidP="00146B55">
      <w:pPr>
        <w:jc w:val="both"/>
        <w:rPr>
          <w:lang w:val="en-US" w:bidi="en-GB"/>
        </w:rPr>
      </w:pPr>
      <w:r w:rsidRPr="00146B55">
        <w:rPr>
          <w:lang w:val="en-US" w:bidi="en-GB"/>
        </w:rPr>
        <w:t>“The surface of the vertical handrails shall incorporate contrasting light elements (LEDs) in a yellow-orange colour, in accordance with the requirements for visually impaired passengers.”</w:t>
      </w:r>
    </w:p>
    <w:p w14:paraId="1B0D538A" w14:textId="77777777" w:rsidR="00146B55" w:rsidRPr="00146B55" w:rsidRDefault="00146B55" w:rsidP="00146B55">
      <w:pPr>
        <w:jc w:val="both"/>
        <w:rPr>
          <w:lang w:val="en-US" w:bidi="en-GB"/>
        </w:rPr>
      </w:pPr>
      <w:r w:rsidRPr="00146B55">
        <w:rPr>
          <w:lang w:val="en-US" w:bidi="en-GB"/>
        </w:rPr>
        <w:t>If we correctly understand this requirement, it means that only LED lighting elements integrated into the vertical handrails are permitted and that other contrasting solutions are not acceptable.</w:t>
      </w:r>
    </w:p>
    <w:p w14:paraId="694A9DF6" w14:textId="77777777" w:rsidR="00146B55" w:rsidRPr="00146B55" w:rsidRDefault="00146B55" w:rsidP="00146B55">
      <w:pPr>
        <w:jc w:val="both"/>
        <w:rPr>
          <w:lang w:val="en-US" w:bidi="en-GB"/>
        </w:rPr>
      </w:pPr>
      <w:r w:rsidRPr="00146B55">
        <w:rPr>
          <w:lang w:val="en-US" w:bidi="en-GB"/>
        </w:rPr>
        <w:t>In view of the above, we would kindly request additional information and clarification regarding this requirement. Is the Tenderer allowed to choose between LED lighting elements integrated into the vertical handrails and other contrasting elements that provide the required visibility and contrast for passengers, including persons with visual impairments, or are only LED lighting elements integrated into the vertical handrails permitted?</w:t>
      </w:r>
    </w:p>
    <w:p w14:paraId="5303CA7E" w14:textId="77777777" w:rsidR="004D17BC" w:rsidRPr="00126EF0" w:rsidRDefault="004D17BC" w:rsidP="004D17BC">
      <w:pPr>
        <w:pStyle w:val="NormalWeb"/>
        <w:spacing w:before="0" w:beforeAutospacing="0" w:after="0" w:afterAutospacing="0"/>
        <w:ind w:firstLine="720"/>
        <w:jc w:val="both"/>
        <w:rPr>
          <w:i/>
          <w:iCs/>
          <w:lang w:val="en-US"/>
        </w:rPr>
      </w:pPr>
      <w:r w:rsidRPr="00126EF0">
        <w:rPr>
          <w:i/>
          <w:iCs/>
          <w:lang w:val="en-US"/>
        </w:rPr>
        <w:t>(Translated from Latvian using the machine translation tool “Copilot”)</w:t>
      </w:r>
    </w:p>
    <w:p w14:paraId="23520BEF" w14:textId="77777777" w:rsidR="00F94D7D" w:rsidRPr="00126EF0" w:rsidRDefault="00F94D7D" w:rsidP="00F94D7D">
      <w:pPr>
        <w:rPr>
          <w:lang w:val="en-US" w:bidi="en-GB"/>
        </w:rPr>
      </w:pPr>
    </w:p>
    <w:p w14:paraId="1DA08DF1" w14:textId="77777777" w:rsidR="00F94D7D" w:rsidRPr="00126EF0" w:rsidRDefault="00F94D7D" w:rsidP="00F94D7D">
      <w:pPr>
        <w:ind w:right="-8"/>
        <w:jc w:val="both"/>
        <w:rPr>
          <w:b/>
          <w:bCs/>
          <w:lang w:val="en-US"/>
        </w:rPr>
      </w:pPr>
      <w:r w:rsidRPr="00126EF0">
        <w:rPr>
          <w:b/>
          <w:lang w:val="en-US" w:bidi="en-GB"/>
        </w:rPr>
        <w:t>Answer:</w:t>
      </w:r>
    </w:p>
    <w:p w14:paraId="5552FB56" w14:textId="77777777" w:rsidR="00E50436" w:rsidRPr="00126EF0" w:rsidRDefault="00E50436" w:rsidP="00E50436">
      <w:pPr>
        <w:tabs>
          <w:tab w:val="right" w:pos="9355"/>
        </w:tabs>
        <w:ind w:right="-45" w:firstLine="426"/>
        <w:jc w:val="both"/>
        <w:rPr>
          <w:lang w:val="en-US" w:bidi="en-GB"/>
        </w:rPr>
      </w:pPr>
      <w:r w:rsidRPr="00126EF0">
        <w:rPr>
          <w:lang w:val="en-US" w:bidi="en-GB"/>
        </w:rPr>
        <w:t>The requirement set out in Clause 1.7.6 is intended to ensure sufficient visibility and contrast of vertical grab poles for passengers, including persons with visual impairments.</w:t>
      </w:r>
    </w:p>
    <w:p w14:paraId="6B80F00D" w14:textId="77777777" w:rsidR="00E50436" w:rsidRPr="00126EF0" w:rsidRDefault="00E50436" w:rsidP="00E50436">
      <w:pPr>
        <w:tabs>
          <w:tab w:val="right" w:pos="9355"/>
        </w:tabs>
        <w:ind w:right="-45" w:firstLine="426"/>
        <w:jc w:val="both"/>
        <w:rPr>
          <w:lang w:val="en-US" w:bidi="en-GB"/>
        </w:rPr>
      </w:pPr>
      <w:r w:rsidRPr="00126EF0">
        <w:rPr>
          <w:lang w:val="en-US" w:bidi="en-GB"/>
        </w:rPr>
        <w:t>Tenderers may choose the appropriate technical solution (e.g. integrated LED elements or other contrasting elements), provided that the required visibility is ensured.</w:t>
      </w:r>
    </w:p>
    <w:p w14:paraId="4C860C72" w14:textId="77777777" w:rsidR="00E50436" w:rsidRPr="00126EF0" w:rsidRDefault="00E50436" w:rsidP="00E50436">
      <w:pPr>
        <w:tabs>
          <w:tab w:val="right" w:pos="9355"/>
        </w:tabs>
        <w:ind w:right="-45" w:firstLine="426"/>
        <w:jc w:val="both"/>
        <w:rPr>
          <w:lang w:val="en-US" w:bidi="en-GB"/>
        </w:rPr>
      </w:pPr>
      <w:r w:rsidRPr="00126EF0">
        <w:rPr>
          <w:lang w:val="en-US" w:bidi="en-GB"/>
        </w:rPr>
        <w:t>At the same time, the Contracting Authority confirms that the requirement specified in Clause 1.12.1 regarding mandatory LED elements has been reviewed and removed.</w:t>
      </w:r>
    </w:p>
    <w:p w14:paraId="671ED326" w14:textId="77777777" w:rsidR="00F94D7D" w:rsidRPr="00126EF0" w:rsidRDefault="00F94D7D" w:rsidP="00CD2E6D">
      <w:pPr>
        <w:ind w:right="372"/>
        <w:jc w:val="both"/>
        <w:outlineLvl w:val="0"/>
        <w:rPr>
          <w:lang w:val="en-US"/>
        </w:rPr>
      </w:pPr>
    </w:p>
    <w:p w14:paraId="210F6C27" w14:textId="0C4501D4" w:rsidR="00F94D7D" w:rsidRPr="00126EF0" w:rsidRDefault="00F94D7D" w:rsidP="00F94D7D">
      <w:pPr>
        <w:ind w:right="-8"/>
        <w:jc w:val="both"/>
        <w:rPr>
          <w:b/>
          <w:bCs/>
          <w:lang w:val="en-US"/>
        </w:rPr>
      </w:pPr>
      <w:r w:rsidRPr="00126EF0">
        <w:rPr>
          <w:b/>
          <w:lang w:val="en-US" w:bidi="en-GB"/>
        </w:rPr>
        <w:t>Question 4:</w:t>
      </w:r>
    </w:p>
    <w:p w14:paraId="68A418EE" w14:textId="77777777" w:rsidR="009E1482" w:rsidRPr="009E1482" w:rsidRDefault="009E1482" w:rsidP="009E1482">
      <w:pPr>
        <w:jc w:val="both"/>
        <w:rPr>
          <w:lang w:val="en-US" w:bidi="en-GB"/>
        </w:rPr>
      </w:pPr>
      <w:r w:rsidRPr="009E1482">
        <w:rPr>
          <w:lang w:val="en-US" w:bidi="en-GB"/>
        </w:rPr>
        <w:t xml:space="preserve">During the review of Section I “General Information” of the Tender Regulations, in particular Clause 6 “Place, Date, Time and Procedure for Submission and Opening of Tenders”, we noted </w:t>
      </w:r>
      <w:r w:rsidRPr="009E1482">
        <w:rPr>
          <w:lang w:val="en-US" w:bidi="en-GB"/>
        </w:rPr>
        <w:lastRenderedPageBreak/>
        <w:t xml:space="preserve">that, pursuant to Clause 6.2, the deadline for the submission of tenders has been set as </w:t>
      </w:r>
      <w:r w:rsidRPr="009E1482">
        <w:rPr>
          <w:b/>
          <w:bCs/>
          <w:lang w:val="en-US" w:bidi="en-GB"/>
        </w:rPr>
        <w:t>1 July 2026 at 10:00 a.m.</w:t>
      </w:r>
    </w:p>
    <w:p w14:paraId="7A5D4510" w14:textId="77777777" w:rsidR="009E1482" w:rsidRPr="009E1482" w:rsidRDefault="009E1482" w:rsidP="009E1482">
      <w:pPr>
        <w:jc w:val="both"/>
        <w:rPr>
          <w:lang w:val="en-US" w:bidi="en-GB"/>
        </w:rPr>
      </w:pPr>
      <w:r w:rsidRPr="009E1482">
        <w:rPr>
          <w:lang w:val="en-US" w:bidi="en-GB"/>
        </w:rPr>
        <w:t xml:space="preserve">Taking into account the substantial amount of work required to comply with all requirements set out in the procurement documentation, as well as the additional time necessary for the preparation and formalisation of the tender documents, we kindly request that the deadline for the submission of tenders be extended by </w:t>
      </w:r>
      <w:r w:rsidRPr="009E1482">
        <w:rPr>
          <w:b/>
          <w:bCs/>
          <w:lang w:val="en-US" w:bidi="en-GB"/>
        </w:rPr>
        <w:t>one calendar month</w:t>
      </w:r>
      <w:r w:rsidRPr="009E1482">
        <w:rPr>
          <w:lang w:val="en-US" w:bidi="en-GB"/>
        </w:rPr>
        <w:t xml:space="preserve"> from the originally established deadline.</w:t>
      </w:r>
    </w:p>
    <w:p w14:paraId="5F4EB640" w14:textId="77777777" w:rsidR="004D17BC" w:rsidRPr="00126EF0" w:rsidRDefault="004D17BC" w:rsidP="004D17BC">
      <w:pPr>
        <w:pStyle w:val="NormalWeb"/>
        <w:spacing w:before="0" w:beforeAutospacing="0" w:after="0" w:afterAutospacing="0"/>
        <w:ind w:firstLine="720"/>
        <w:jc w:val="both"/>
        <w:rPr>
          <w:i/>
          <w:iCs/>
          <w:lang w:val="en-US"/>
        </w:rPr>
      </w:pPr>
      <w:r w:rsidRPr="00126EF0">
        <w:rPr>
          <w:i/>
          <w:iCs/>
          <w:lang w:val="en-US"/>
        </w:rPr>
        <w:t>(Translated from Latvian using the machine translation tool “Copilot”)</w:t>
      </w:r>
    </w:p>
    <w:p w14:paraId="20BFEF8F" w14:textId="77777777" w:rsidR="00F94D7D" w:rsidRPr="00126EF0" w:rsidRDefault="00F94D7D" w:rsidP="00F94D7D">
      <w:pPr>
        <w:rPr>
          <w:lang w:val="en-US" w:bidi="en-GB"/>
        </w:rPr>
      </w:pPr>
    </w:p>
    <w:p w14:paraId="7E560967" w14:textId="77777777" w:rsidR="00F94D7D" w:rsidRPr="00126EF0" w:rsidRDefault="00F94D7D" w:rsidP="00F94D7D">
      <w:pPr>
        <w:ind w:right="-8"/>
        <w:jc w:val="both"/>
        <w:rPr>
          <w:b/>
          <w:bCs/>
          <w:lang w:val="en-US"/>
        </w:rPr>
      </w:pPr>
      <w:r w:rsidRPr="00126EF0">
        <w:rPr>
          <w:b/>
          <w:lang w:val="en-US" w:bidi="en-GB"/>
        </w:rPr>
        <w:t>Answer:</w:t>
      </w:r>
    </w:p>
    <w:p w14:paraId="0AAD3D3F" w14:textId="5F132F0E" w:rsidR="00F94D7D" w:rsidRPr="00126EF0" w:rsidRDefault="00126EF0" w:rsidP="00126EF0">
      <w:pPr>
        <w:ind w:right="-8"/>
        <w:jc w:val="both"/>
        <w:outlineLvl w:val="0"/>
        <w:rPr>
          <w:lang w:val="en-US"/>
        </w:rPr>
      </w:pPr>
      <w:r w:rsidRPr="00126EF0">
        <w:rPr>
          <w:lang w:val="en-US"/>
        </w:rPr>
        <w:t>Response provided on 16 June 2026 – the tender submission deadline has been extended until 4 August 2026 at 10:00 a.m.</w:t>
      </w:r>
    </w:p>
    <w:p w14:paraId="74D35C40" w14:textId="77777777" w:rsidR="00E50436" w:rsidRPr="00126EF0" w:rsidRDefault="00E50436" w:rsidP="00CD2E6D">
      <w:pPr>
        <w:ind w:right="372"/>
        <w:jc w:val="both"/>
        <w:outlineLvl w:val="0"/>
        <w:rPr>
          <w:lang w:val="en-US"/>
        </w:rPr>
      </w:pPr>
    </w:p>
    <w:p w14:paraId="35D8A819" w14:textId="77777777" w:rsidR="00E50436" w:rsidRPr="00126EF0" w:rsidRDefault="00E50436" w:rsidP="00CD2E6D">
      <w:pPr>
        <w:ind w:right="372"/>
        <w:jc w:val="both"/>
        <w:outlineLvl w:val="0"/>
        <w:rPr>
          <w:lang w:val="en-US"/>
        </w:rPr>
      </w:pPr>
    </w:p>
    <w:p w14:paraId="55F68CE9" w14:textId="3BCAF357" w:rsidR="00CD2E6D" w:rsidRPr="00126EF0" w:rsidRDefault="002F5A97" w:rsidP="00107A28">
      <w:pPr>
        <w:pStyle w:val="Footer"/>
        <w:rPr>
          <w:color w:val="000000"/>
          <w:lang w:val="en-US" w:eastAsia="en-GB"/>
        </w:rPr>
      </w:pPr>
      <w:r w:rsidRPr="002F5A97">
        <w:rPr>
          <w:color w:val="000000"/>
          <w:lang w:val="en" w:bidi="en-GB"/>
        </w:rPr>
        <w:t xml:space="preserve">Deputy </w:t>
      </w:r>
      <w:r w:rsidR="00CD2E6D" w:rsidRPr="00126EF0">
        <w:rPr>
          <w:lang w:val="en-US" w:bidi="en-GB"/>
        </w:rPr>
        <w:t>Chairperson of the Procurement Commission</w:t>
      </w:r>
      <w:r w:rsidR="00CD2E6D" w:rsidRPr="00126EF0">
        <w:rPr>
          <w:color w:val="000000"/>
          <w:lang w:val="en-US" w:bidi="en-GB"/>
        </w:rPr>
        <w:tab/>
      </w:r>
      <w:r w:rsidR="0056435F">
        <w:rPr>
          <w:color w:val="000000"/>
          <w:lang w:eastAsia="en-GB"/>
        </w:rPr>
        <w:t>Laine Hodaseviča</w:t>
      </w:r>
    </w:p>
    <w:p w14:paraId="32C85752" w14:textId="77777777" w:rsidR="00CD2E6D" w:rsidRPr="00F917E4" w:rsidRDefault="00CD2E6D" w:rsidP="006807B6">
      <w:pPr>
        <w:rPr>
          <w:lang w:val="en-GB" w:bidi="en-GB"/>
        </w:rPr>
      </w:pPr>
    </w:p>
    <w:sectPr w:rsidR="00CD2E6D" w:rsidRPr="00F917E4" w:rsidSect="00F25D58">
      <w:headerReference w:type="even" r:id="rId16"/>
      <w:headerReference w:type="default" r:id="rId17"/>
      <w:footerReference w:type="even" r:id="rId18"/>
      <w:footerReference w:type="default" r:id="rId19"/>
      <w:headerReference w:type="first" r:id="rId20"/>
      <w:footerReference w:type="first" r:id="rId21"/>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8628" w14:textId="77777777" w:rsidR="00367CBC" w:rsidRPr="008365EC" w:rsidRDefault="00367CBC">
      <w:r w:rsidRPr="008365EC">
        <w:separator/>
      </w:r>
    </w:p>
  </w:endnote>
  <w:endnote w:type="continuationSeparator" w:id="0">
    <w:p w14:paraId="2348C18B" w14:textId="77777777" w:rsidR="00367CBC" w:rsidRPr="008365EC" w:rsidRDefault="00367CBC">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00"/>
    <w:family w:val="swiss"/>
    <w:pitch w:val="variable"/>
    <w:sig w:usb0="E4002EFF" w:usb1="C200ACF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FC3F" w14:textId="77777777" w:rsidR="00367CBC" w:rsidRPr="008365EC" w:rsidRDefault="00367CBC">
      <w:r w:rsidRPr="008365EC">
        <w:separator/>
      </w:r>
    </w:p>
  </w:footnote>
  <w:footnote w:type="continuationSeparator" w:id="0">
    <w:p w14:paraId="7F76926A" w14:textId="77777777" w:rsidR="00367CBC" w:rsidRPr="008365EC" w:rsidRDefault="00367CBC">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DBDF8"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074F3"/>
    <w:multiLevelType w:val="hybridMultilevel"/>
    <w:tmpl w:val="605AD9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5"/>
  </w:num>
  <w:num w:numId="3" w16cid:durableId="2033219571">
    <w:abstractNumId w:val="18"/>
  </w:num>
  <w:num w:numId="4" w16cid:durableId="1779565406">
    <w:abstractNumId w:val="20"/>
  </w:num>
  <w:num w:numId="5" w16cid:durableId="745104887">
    <w:abstractNumId w:val="2"/>
  </w:num>
  <w:num w:numId="6" w16cid:durableId="300580002">
    <w:abstractNumId w:val="16"/>
  </w:num>
  <w:num w:numId="7" w16cid:durableId="1915967846">
    <w:abstractNumId w:val="9"/>
  </w:num>
  <w:num w:numId="8" w16cid:durableId="1934196068">
    <w:abstractNumId w:val="12"/>
  </w:num>
  <w:num w:numId="9" w16cid:durableId="1644847004">
    <w:abstractNumId w:val="7"/>
  </w:num>
  <w:num w:numId="10" w16cid:durableId="50352357">
    <w:abstractNumId w:val="0"/>
  </w:num>
  <w:num w:numId="11" w16cid:durableId="830633149">
    <w:abstractNumId w:val="3"/>
  </w:num>
  <w:num w:numId="12" w16cid:durableId="904338423">
    <w:abstractNumId w:val="19"/>
  </w:num>
  <w:num w:numId="13" w16cid:durableId="119493966">
    <w:abstractNumId w:val="4"/>
  </w:num>
  <w:num w:numId="14" w16cid:durableId="1925873483">
    <w:abstractNumId w:val="21"/>
  </w:num>
  <w:num w:numId="15" w16cid:durableId="1417366464">
    <w:abstractNumId w:val="11"/>
  </w:num>
  <w:num w:numId="16" w16cid:durableId="441268972">
    <w:abstractNumId w:val="14"/>
  </w:num>
  <w:num w:numId="17" w16cid:durableId="1061176356">
    <w:abstractNumId w:val="13"/>
  </w:num>
  <w:num w:numId="18" w16cid:durableId="95290726">
    <w:abstractNumId w:val="17"/>
  </w:num>
  <w:num w:numId="19" w16cid:durableId="103769986">
    <w:abstractNumId w:val="5"/>
  </w:num>
  <w:num w:numId="20" w16cid:durableId="496388393">
    <w:abstractNumId w:val="6"/>
  </w:num>
  <w:num w:numId="21" w16cid:durableId="1791824601">
    <w:abstractNumId w:val="22"/>
  </w:num>
  <w:num w:numId="22" w16cid:durableId="1182160485">
    <w:abstractNumId w:val="8"/>
  </w:num>
  <w:num w:numId="23" w16cid:durableId="738555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2ED1"/>
    <w:rsid w:val="000035E9"/>
    <w:rsid w:val="00004F0D"/>
    <w:rsid w:val="00007185"/>
    <w:rsid w:val="00007725"/>
    <w:rsid w:val="00010441"/>
    <w:rsid w:val="000113D9"/>
    <w:rsid w:val="00015AED"/>
    <w:rsid w:val="00023CF9"/>
    <w:rsid w:val="00026D94"/>
    <w:rsid w:val="00026EEF"/>
    <w:rsid w:val="0003416E"/>
    <w:rsid w:val="00037BB3"/>
    <w:rsid w:val="0004246F"/>
    <w:rsid w:val="00042776"/>
    <w:rsid w:val="0004286D"/>
    <w:rsid w:val="00044A66"/>
    <w:rsid w:val="000464D6"/>
    <w:rsid w:val="000476FA"/>
    <w:rsid w:val="00051CF1"/>
    <w:rsid w:val="000525F0"/>
    <w:rsid w:val="00053F59"/>
    <w:rsid w:val="00055B82"/>
    <w:rsid w:val="00056137"/>
    <w:rsid w:val="0006698A"/>
    <w:rsid w:val="000672BD"/>
    <w:rsid w:val="00071007"/>
    <w:rsid w:val="00071403"/>
    <w:rsid w:val="00073823"/>
    <w:rsid w:val="0007645F"/>
    <w:rsid w:val="000823F7"/>
    <w:rsid w:val="00083E27"/>
    <w:rsid w:val="00094382"/>
    <w:rsid w:val="00094E02"/>
    <w:rsid w:val="000A0105"/>
    <w:rsid w:val="000A1247"/>
    <w:rsid w:val="000A2303"/>
    <w:rsid w:val="000A4CE4"/>
    <w:rsid w:val="000A62F3"/>
    <w:rsid w:val="000B4C19"/>
    <w:rsid w:val="000B56F3"/>
    <w:rsid w:val="000B5A63"/>
    <w:rsid w:val="000E1B72"/>
    <w:rsid w:val="000F04EB"/>
    <w:rsid w:val="000F055F"/>
    <w:rsid w:val="000F35C1"/>
    <w:rsid w:val="000F3B09"/>
    <w:rsid w:val="000F4D78"/>
    <w:rsid w:val="000F6B23"/>
    <w:rsid w:val="00100A68"/>
    <w:rsid w:val="00107A28"/>
    <w:rsid w:val="00124B2B"/>
    <w:rsid w:val="00126942"/>
    <w:rsid w:val="00126EF0"/>
    <w:rsid w:val="0013079F"/>
    <w:rsid w:val="0014150E"/>
    <w:rsid w:val="00142A15"/>
    <w:rsid w:val="00145014"/>
    <w:rsid w:val="00146B55"/>
    <w:rsid w:val="00147D1E"/>
    <w:rsid w:val="0015272B"/>
    <w:rsid w:val="0016355B"/>
    <w:rsid w:val="00163F7B"/>
    <w:rsid w:val="00172778"/>
    <w:rsid w:val="00175B46"/>
    <w:rsid w:val="0017641C"/>
    <w:rsid w:val="00176AEB"/>
    <w:rsid w:val="0018082C"/>
    <w:rsid w:val="001817E8"/>
    <w:rsid w:val="001949B9"/>
    <w:rsid w:val="00197CAA"/>
    <w:rsid w:val="001A19C0"/>
    <w:rsid w:val="001A3803"/>
    <w:rsid w:val="001A4A96"/>
    <w:rsid w:val="001A4D12"/>
    <w:rsid w:val="001A6CCB"/>
    <w:rsid w:val="001B000D"/>
    <w:rsid w:val="001B0DFB"/>
    <w:rsid w:val="001C1098"/>
    <w:rsid w:val="001C37D7"/>
    <w:rsid w:val="001C5FBC"/>
    <w:rsid w:val="001C6F5A"/>
    <w:rsid w:val="001D43D0"/>
    <w:rsid w:val="001E4FED"/>
    <w:rsid w:val="001F5D53"/>
    <w:rsid w:val="001F730D"/>
    <w:rsid w:val="002008B3"/>
    <w:rsid w:val="0020229E"/>
    <w:rsid w:val="00204643"/>
    <w:rsid w:val="00207FD8"/>
    <w:rsid w:val="00220D37"/>
    <w:rsid w:val="00222574"/>
    <w:rsid w:val="00231433"/>
    <w:rsid w:val="00231F6F"/>
    <w:rsid w:val="00232B95"/>
    <w:rsid w:val="00233FCE"/>
    <w:rsid w:val="002355E8"/>
    <w:rsid w:val="0023780C"/>
    <w:rsid w:val="00240890"/>
    <w:rsid w:val="00240C04"/>
    <w:rsid w:val="002425E4"/>
    <w:rsid w:val="00244368"/>
    <w:rsid w:val="00246DE4"/>
    <w:rsid w:val="00251DCE"/>
    <w:rsid w:val="00257800"/>
    <w:rsid w:val="00260A81"/>
    <w:rsid w:val="00261F21"/>
    <w:rsid w:val="0026289C"/>
    <w:rsid w:val="002641A9"/>
    <w:rsid w:val="002807C8"/>
    <w:rsid w:val="00282249"/>
    <w:rsid w:val="00284596"/>
    <w:rsid w:val="00292289"/>
    <w:rsid w:val="002B05BA"/>
    <w:rsid w:val="002C0008"/>
    <w:rsid w:val="002C747A"/>
    <w:rsid w:val="002D55C1"/>
    <w:rsid w:val="002E0214"/>
    <w:rsid w:val="002E209E"/>
    <w:rsid w:val="002E4835"/>
    <w:rsid w:val="002E4C2C"/>
    <w:rsid w:val="002E786C"/>
    <w:rsid w:val="002F5A97"/>
    <w:rsid w:val="00300FBB"/>
    <w:rsid w:val="003029BF"/>
    <w:rsid w:val="00304338"/>
    <w:rsid w:val="003076C7"/>
    <w:rsid w:val="0031257F"/>
    <w:rsid w:val="0032335F"/>
    <w:rsid w:val="00325A6F"/>
    <w:rsid w:val="003316C0"/>
    <w:rsid w:val="003414AF"/>
    <w:rsid w:val="003431DB"/>
    <w:rsid w:val="00344BFB"/>
    <w:rsid w:val="003619FB"/>
    <w:rsid w:val="003645FD"/>
    <w:rsid w:val="00367CBC"/>
    <w:rsid w:val="003734D3"/>
    <w:rsid w:val="00375E79"/>
    <w:rsid w:val="003817D3"/>
    <w:rsid w:val="003831A2"/>
    <w:rsid w:val="00384C24"/>
    <w:rsid w:val="003865B2"/>
    <w:rsid w:val="00386982"/>
    <w:rsid w:val="003877B2"/>
    <w:rsid w:val="003A01A5"/>
    <w:rsid w:val="003A76FA"/>
    <w:rsid w:val="003B43FD"/>
    <w:rsid w:val="003B486A"/>
    <w:rsid w:val="003B535F"/>
    <w:rsid w:val="003C0CA0"/>
    <w:rsid w:val="003C1060"/>
    <w:rsid w:val="003C2FBA"/>
    <w:rsid w:val="003C3AF3"/>
    <w:rsid w:val="003D4DBB"/>
    <w:rsid w:val="003E0508"/>
    <w:rsid w:val="003E205B"/>
    <w:rsid w:val="003E5070"/>
    <w:rsid w:val="003F1A00"/>
    <w:rsid w:val="003F61F8"/>
    <w:rsid w:val="003F6BC3"/>
    <w:rsid w:val="004008C2"/>
    <w:rsid w:val="00403F3D"/>
    <w:rsid w:val="00404C6B"/>
    <w:rsid w:val="00410642"/>
    <w:rsid w:val="004124BC"/>
    <w:rsid w:val="00414C2A"/>
    <w:rsid w:val="00416302"/>
    <w:rsid w:val="0042175E"/>
    <w:rsid w:val="004226C7"/>
    <w:rsid w:val="00423666"/>
    <w:rsid w:val="00427DCC"/>
    <w:rsid w:val="004331F8"/>
    <w:rsid w:val="00434A29"/>
    <w:rsid w:val="004353F6"/>
    <w:rsid w:val="00436DBD"/>
    <w:rsid w:val="004428E5"/>
    <w:rsid w:val="00445394"/>
    <w:rsid w:val="00446136"/>
    <w:rsid w:val="00446224"/>
    <w:rsid w:val="00454105"/>
    <w:rsid w:val="004542C7"/>
    <w:rsid w:val="00454D63"/>
    <w:rsid w:val="00454D97"/>
    <w:rsid w:val="00460939"/>
    <w:rsid w:val="0046461B"/>
    <w:rsid w:val="004700AB"/>
    <w:rsid w:val="0047104A"/>
    <w:rsid w:val="004724EF"/>
    <w:rsid w:val="00472769"/>
    <w:rsid w:val="00472EEB"/>
    <w:rsid w:val="00476D6D"/>
    <w:rsid w:val="00484C92"/>
    <w:rsid w:val="00490270"/>
    <w:rsid w:val="00492673"/>
    <w:rsid w:val="00495061"/>
    <w:rsid w:val="00495E7E"/>
    <w:rsid w:val="00497396"/>
    <w:rsid w:val="004A0D6C"/>
    <w:rsid w:val="004A46F2"/>
    <w:rsid w:val="004B7DA8"/>
    <w:rsid w:val="004C2F01"/>
    <w:rsid w:val="004C4326"/>
    <w:rsid w:val="004C4EA1"/>
    <w:rsid w:val="004C7363"/>
    <w:rsid w:val="004D17BC"/>
    <w:rsid w:val="004D3EB2"/>
    <w:rsid w:val="004D4267"/>
    <w:rsid w:val="004E0EFE"/>
    <w:rsid w:val="004E14A2"/>
    <w:rsid w:val="004E19DF"/>
    <w:rsid w:val="004F581B"/>
    <w:rsid w:val="004F7382"/>
    <w:rsid w:val="00500C93"/>
    <w:rsid w:val="00503BBA"/>
    <w:rsid w:val="00503FFC"/>
    <w:rsid w:val="005049FC"/>
    <w:rsid w:val="005064CE"/>
    <w:rsid w:val="00507FCF"/>
    <w:rsid w:val="005127FC"/>
    <w:rsid w:val="005154AF"/>
    <w:rsid w:val="005155A1"/>
    <w:rsid w:val="005256FF"/>
    <w:rsid w:val="00525EB5"/>
    <w:rsid w:val="00526683"/>
    <w:rsid w:val="0053304A"/>
    <w:rsid w:val="00535FCB"/>
    <w:rsid w:val="00542D58"/>
    <w:rsid w:val="0054525F"/>
    <w:rsid w:val="0054630E"/>
    <w:rsid w:val="00547559"/>
    <w:rsid w:val="00551D0D"/>
    <w:rsid w:val="005530B6"/>
    <w:rsid w:val="00556BCC"/>
    <w:rsid w:val="005607C7"/>
    <w:rsid w:val="00564212"/>
    <w:rsid w:val="0056435F"/>
    <w:rsid w:val="00567414"/>
    <w:rsid w:val="00571046"/>
    <w:rsid w:val="00586EBF"/>
    <w:rsid w:val="00590847"/>
    <w:rsid w:val="00593570"/>
    <w:rsid w:val="00593771"/>
    <w:rsid w:val="00594C45"/>
    <w:rsid w:val="005A5F9B"/>
    <w:rsid w:val="005A7629"/>
    <w:rsid w:val="005B07D3"/>
    <w:rsid w:val="005B7FA3"/>
    <w:rsid w:val="005C450D"/>
    <w:rsid w:val="005C4D26"/>
    <w:rsid w:val="005D3325"/>
    <w:rsid w:val="005D3F37"/>
    <w:rsid w:val="005D7F6E"/>
    <w:rsid w:val="005E3DA9"/>
    <w:rsid w:val="005E42C6"/>
    <w:rsid w:val="005E46C2"/>
    <w:rsid w:val="005E5466"/>
    <w:rsid w:val="005E591F"/>
    <w:rsid w:val="005F1D86"/>
    <w:rsid w:val="005F5364"/>
    <w:rsid w:val="005F59D6"/>
    <w:rsid w:val="006013BE"/>
    <w:rsid w:val="00601F9C"/>
    <w:rsid w:val="00605113"/>
    <w:rsid w:val="00605E6A"/>
    <w:rsid w:val="0061039B"/>
    <w:rsid w:val="00611305"/>
    <w:rsid w:val="006117EC"/>
    <w:rsid w:val="006154A9"/>
    <w:rsid w:val="00621B2E"/>
    <w:rsid w:val="00630A2D"/>
    <w:rsid w:val="006339F1"/>
    <w:rsid w:val="00633BD9"/>
    <w:rsid w:val="00643F18"/>
    <w:rsid w:val="00646467"/>
    <w:rsid w:val="006509D1"/>
    <w:rsid w:val="00654A3D"/>
    <w:rsid w:val="00660CE0"/>
    <w:rsid w:val="00665ADB"/>
    <w:rsid w:val="006807B6"/>
    <w:rsid w:val="00681D93"/>
    <w:rsid w:val="00683624"/>
    <w:rsid w:val="00687345"/>
    <w:rsid w:val="006874A7"/>
    <w:rsid w:val="0068764F"/>
    <w:rsid w:val="006934FC"/>
    <w:rsid w:val="00696D43"/>
    <w:rsid w:val="00697281"/>
    <w:rsid w:val="00697421"/>
    <w:rsid w:val="00697B8A"/>
    <w:rsid w:val="006A0886"/>
    <w:rsid w:val="006A0C8C"/>
    <w:rsid w:val="006A45CD"/>
    <w:rsid w:val="006A4C7F"/>
    <w:rsid w:val="006A672C"/>
    <w:rsid w:val="006B60DF"/>
    <w:rsid w:val="006B7E8D"/>
    <w:rsid w:val="006C2508"/>
    <w:rsid w:val="006C3F48"/>
    <w:rsid w:val="006C52F5"/>
    <w:rsid w:val="006D1C11"/>
    <w:rsid w:val="006D5B59"/>
    <w:rsid w:val="006F4AF6"/>
    <w:rsid w:val="00712459"/>
    <w:rsid w:val="007152FC"/>
    <w:rsid w:val="00717601"/>
    <w:rsid w:val="00730621"/>
    <w:rsid w:val="00732DD4"/>
    <w:rsid w:val="00734B7A"/>
    <w:rsid w:val="00741FB1"/>
    <w:rsid w:val="0074484F"/>
    <w:rsid w:val="0075005B"/>
    <w:rsid w:val="007532F0"/>
    <w:rsid w:val="00756CAE"/>
    <w:rsid w:val="0076528F"/>
    <w:rsid w:val="00782B9D"/>
    <w:rsid w:val="00783CC9"/>
    <w:rsid w:val="007857EA"/>
    <w:rsid w:val="00786C3E"/>
    <w:rsid w:val="007875D1"/>
    <w:rsid w:val="0079430E"/>
    <w:rsid w:val="00797297"/>
    <w:rsid w:val="007A00D1"/>
    <w:rsid w:val="007A34BE"/>
    <w:rsid w:val="007A74BA"/>
    <w:rsid w:val="007B7A12"/>
    <w:rsid w:val="007C20CA"/>
    <w:rsid w:val="007C6A66"/>
    <w:rsid w:val="007D1FAA"/>
    <w:rsid w:val="007D4235"/>
    <w:rsid w:val="007D62F7"/>
    <w:rsid w:val="007F14FC"/>
    <w:rsid w:val="007F3584"/>
    <w:rsid w:val="008005AF"/>
    <w:rsid w:val="008010C3"/>
    <w:rsid w:val="008034ED"/>
    <w:rsid w:val="008112DB"/>
    <w:rsid w:val="00813FFC"/>
    <w:rsid w:val="00814DED"/>
    <w:rsid w:val="0081519B"/>
    <w:rsid w:val="008168DF"/>
    <w:rsid w:val="00821A17"/>
    <w:rsid w:val="008248B8"/>
    <w:rsid w:val="00825028"/>
    <w:rsid w:val="008252B6"/>
    <w:rsid w:val="0083098B"/>
    <w:rsid w:val="00832355"/>
    <w:rsid w:val="00832629"/>
    <w:rsid w:val="008365EC"/>
    <w:rsid w:val="00846A38"/>
    <w:rsid w:val="00847840"/>
    <w:rsid w:val="00847E05"/>
    <w:rsid w:val="008533C8"/>
    <w:rsid w:val="008574FB"/>
    <w:rsid w:val="008755B4"/>
    <w:rsid w:val="0087576D"/>
    <w:rsid w:val="00882794"/>
    <w:rsid w:val="008940B5"/>
    <w:rsid w:val="00894A67"/>
    <w:rsid w:val="0089670C"/>
    <w:rsid w:val="008A2CD8"/>
    <w:rsid w:val="008A2FBD"/>
    <w:rsid w:val="008A5061"/>
    <w:rsid w:val="008B4652"/>
    <w:rsid w:val="008B5680"/>
    <w:rsid w:val="008C5394"/>
    <w:rsid w:val="008C7639"/>
    <w:rsid w:val="008C7DD9"/>
    <w:rsid w:val="008D0382"/>
    <w:rsid w:val="008D175A"/>
    <w:rsid w:val="008E3092"/>
    <w:rsid w:val="008E4C93"/>
    <w:rsid w:val="008E795B"/>
    <w:rsid w:val="008F5BE4"/>
    <w:rsid w:val="008F5D73"/>
    <w:rsid w:val="008F76D6"/>
    <w:rsid w:val="00901C98"/>
    <w:rsid w:val="00904B48"/>
    <w:rsid w:val="009134FF"/>
    <w:rsid w:val="00923D91"/>
    <w:rsid w:val="009243DF"/>
    <w:rsid w:val="009258BC"/>
    <w:rsid w:val="0092743D"/>
    <w:rsid w:val="00931737"/>
    <w:rsid w:val="00934651"/>
    <w:rsid w:val="00934E5B"/>
    <w:rsid w:val="00941905"/>
    <w:rsid w:val="0094302F"/>
    <w:rsid w:val="009449AA"/>
    <w:rsid w:val="00947EF7"/>
    <w:rsid w:val="00952FD4"/>
    <w:rsid w:val="0095575C"/>
    <w:rsid w:val="00957C68"/>
    <w:rsid w:val="00960D16"/>
    <w:rsid w:val="00972B4B"/>
    <w:rsid w:val="00980F07"/>
    <w:rsid w:val="00984EA1"/>
    <w:rsid w:val="0098587D"/>
    <w:rsid w:val="00990F49"/>
    <w:rsid w:val="009967D9"/>
    <w:rsid w:val="009973F7"/>
    <w:rsid w:val="009974F3"/>
    <w:rsid w:val="009978AA"/>
    <w:rsid w:val="009A1AA7"/>
    <w:rsid w:val="009B2578"/>
    <w:rsid w:val="009B3ACA"/>
    <w:rsid w:val="009B5A7C"/>
    <w:rsid w:val="009C5D65"/>
    <w:rsid w:val="009C60C8"/>
    <w:rsid w:val="009E1482"/>
    <w:rsid w:val="009E3710"/>
    <w:rsid w:val="009E5F7A"/>
    <w:rsid w:val="009F0750"/>
    <w:rsid w:val="00A075D3"/>
    <w:rsid w:val="00A12328"/>
    <w:rsid w:val="00A23870"/>
    <w:rsid w:val="00A264CA"/>
    <w:rsid w:val="00A3285A"/>
    <w:rsid w:val="00A35BA3"/>
    <w:rsid w:val="00A36920"/>
    <w:rsid w:val="00A42EF6"/>
    <w:rsid w:val="00A45251"/>
    <w:rsid w:val="00A466A6"/>
    <w:rsid w:val="00A47A54"/>
    <w:rsid w:val="00A50347"/>
    <w:rsid w:val="00A52673"/>
    <w:rsid w:val="00A55640"/>
    <w:rsid w:val="00A5741A"/>
    <w:rsid w:val="00A65235"/>
    <w:rsid w:val="00A704BC"/>
    <w:rsid w:val="00A74E05"/>
    <w:rsid w:val="00A75326"/>
    <w:rsid w:val="00A80A12"/>
    <w:rsid w:val="00A90154"/>
    <w:rsid w:val="00A94E85"/>
    <w:rsid w:val="00A950BA"/>
    <w:rsid w:val="00AA0385"/>
    <w:rsid w:val="00AA0BA6"/>
    <w:rsid w:val="00AA0E4F"/>
    <w:rsid w:val="00AA3FCC"/>
    <w:rsid w:val="00AA6194"/>
    <w:rsid w:val="00AB152E"/>
    <w:rsid w:val="00AB25CE"/>
    <w:rsid w:val="00AB272A"/>
    <w:rsid w:val="00AB46EA"/>
    <w:rsid w:val="00AB5F0D"/>
    <w:rsid w:val="00AC04DA"/>
    <w:rsid w:val="00AC5BB7"/>
    <w:rsid w:val="00AC6E12"/>
    <w:rsid w:val="00AC7F8B"/>
    <w:rsid w:val="00AD6E80"/>
    <w:rsid w:val="00AE08D0"/>
    <w:rsid w:val="00AE4880"/>
    <w:rsid w:val="00AE5BED"/>
    <w:rsid w:val="00AE66B7"/>
    <w:rsid w:val="00AE7A34"/>
    <w:rsid w:val="00AF1038"/>
    <w:rsid w:val="00AF16F7"/>
    <w:rsid w:val="00AF3CC9"/>
    <w:rsid w:val="00B001FD"/>
    <w:rsid w:val="00B03DC1"/>
    <w:rsid w:val="00B03F61"/>
    <w:rsid w:val="00B04FCA"/>
    <w:rsid w:val="00B11F02"/>
    <w:rsid w:val="00B15A1C"/>
    <w:rsid w:val="00B16827"/>
    <w:rsid w:val="00B17037"/>
    <w:rsid w:val="00B204E4"/>
    <w:rsid w:val="00B229AF"/>
    <w:rsid w:val="00B25856"/>
    <w:rsid w:val="00B278AB"/>
    <w:rsid w:val="00B40397"/>
    <w:rsid w:val="00B5619F"/>
    <w:rsid w:val="00B62F57"/>
    <w:rsid w:val="00B6749A"/>
    <w:rsid w:val="00B67B48"/>
    <w:rsid w:val="00B7351A"/>
    <w:rsid w:val="00B739FC"/>
    <w:rsid w:val="00B74FDD"/>
    <w:rsid w:val="00B76FCA"/>
    <w:rsid w:val="00B7745C"/>
    <w:rsid w:val="00B80F87"/>
    <w:rsid w:val="00B829E7"/>
    <w:rsid w:val="00B9002B"/>
    <w:rsid w:val="00B91F97"/>
    <w:rsid w:val="00B93EE2"/>
    <w:rsid w:val="00B968F0"/>
    <w:rsid w:val="00BA1D4B"/>
    <w:rsid w:val="00BA486D"/>
    <w:rsid w:val="00BB1610"/>
    <w:rsid w:val="00BB28A2"/>
    <w:rsid w:val="00BB3132"/>
    <w:rsid w:val="00BB6551"/>
    <w:rsid w:val="00BB7662"/>
    <w:rsid w:val="00BC0733"/>
    <w:rsid w:val="00BD0053"/>
    <w:rsid w:val="00BD04C9"/>
    <w:rsid w:val="00BD40BD"/>
    <w:rsid w:val="00BD4F97"/>
    <w:rsid w:val="00BE6435"/>
    <w:rsid w:val="00BF3486"/>
    <w:rsid w:val="00C144F2"/>
    <w:rsid w:val="00C1499B"/>
    <w:rsid w:val="00C15633"/>
    <w:rsid w:val="00C1728A"/>
    <w:rsid w:val="00C2117D"/>
    <w:rsid w:val="00C2229A"/>
    <w:rsid w:val="00C24FC4"/>
    <w:rsid w:val="00C2685C"/>
    <w:rsid w:val="00C35484"/>
    <w:rsid w:val="00C43740"/>
    <w:rsid w:val="00C440B6"/>
    <w:rsid w:val="00C47489"/>
    <w:rsid w:val="00C60FF5"/>
    <w:rsid w:val="00C61343"/>
    <w:rsid w:val="00C634CD"/>
    <w:rsid w:val="00C70715"/>
    <w:rsid w:val="00C80CAD"/>
    <w:rsid w:val="00C83E2B"/>
    <w:rsid w:val="00C84249"/>
    <w:rsid w:val="00C84969"/>
    <w:rsid w:val="00C94F67"/>
    <w:rsid w:val="00C950CD"/>
    <w:rsid w:val="00C96B4F"/>
    <w:rsid w:val="00CA73ED"/>
    <w:rsid w:val="00CB01FB"/>
    <w:rsid w:val="00CB467E"/>
    <w:rsid w:val="00CB6644"/>
    <w:rsid w:val="00CC2EC9"/>
    <w:rsid w:val="00CD2E6D"/>
    <w:rsid w:val="00CE0892"/>
    <w:rsid w:val="00CE763C"/>
    <w:rsid w:val="00CF0E0B"/>
    <w:rsid w:val="00CF2432"/>
    <w:rsid w:val="00CF3691"/>
    <w:rsid w:val="00CF78D1"/>
    <w:rsid w:val="00D0213A"/>
    <w:rsid w:val="00D045C9"/>
    <w:rsid w:val="00D05059"/>
    <w:rsid w:val="00D076AF"/>
    <w:rsid w:val="00D11776"/>
    <w:rsid w:val="00D11D0A"/>
    <w:rsid w:val="00D2049D"/>
    <w:rsid w:val="00D43D83"/>
    <w:rsid w:val="00D47F6B"/>
    <w:rsid w:val="00D50004"/>
    <w:rsid w:val="00D53A36"/>
    <w:rsid w:val="00D64F99"/>
    <w:rsid w:val="00D66D5B"/>
    <w:rsid w:val="00D712F5"/>
    <w:rsid w:val="00D716B3"/>
    <w:rsid w:val="00D724E1"/>
    <w:rsid w:val="00D73E0A"/>
    <w:rsid w:val="00D76383"/>
    <w:rsid w:val="00D81E77"/>
    <w:rsid w:val="00D81F1C"/>
    <w:rsid w:val="00D86507"/>
    <w:rsid w:val="00D9048D"/>
    <w:rsid w:val="00D91D61"/>
    <w:rsid w:val="00D955FB"/>
    <w:rsid w:val="00D95782"/>
    <w:rsid w:val="00DA0C26"/>
    <w:rsid w:val="00DA4F98"/>
    <w:rsid w:val="00DA527D"/>
    <w:rsid w:val="00DA6955"/>
    <w:rsid w:val="00DA6E49"/>
    <w:rsid w:val="00DB5348"/>
    <w:rsid w:val="00DC3A40"/>
    <w:rsid w:val="00DC6352"/>
    <w:rsid w:val="00DD4467"/>
    <w:rsid w:val="00DD7392"/>
    <w:rsid w:val="00DE3603"/>
    <w:rsid w:val="00DE602E"/>
    <w:rsid w:val="00DE63E1"/>
    <w:rsid w:val="00DF5EC7"/>
    <w:rsid w:val="00DF62B7"/>
    <w:rsid w:val="00DF7010"/>
    <w:rsid w:val="00E11B6E"/>
    <w:rsid w:val="00E17D97"/>
    <w:rsid w:val="00E270DB"/>
    <w:rsid w:val="00E3203C"/>
    <w:rsid w:val="00E3552D"/>
    <w:rsid w:val="00E41BD3"/>
    <w:rsid w:val="00E4450D"/>
    <w:rsid w:val="00E456B1"/>
    <w:rsid w:val="00E50436"/>
    <w:rsid w:val="00E604D8"/>
    <w:rsid w:val="00E6066D"/>
    <w:rsid w:val="00E6219B"/>
    <w:rsid w:val="00E70096"/>
    <w:rsid w:val="00E71BDB"/>
    <w:rsid w:val="00E74E3E"/>
    <w:rsid w:val="00E763A3"/>
    <w:rsid w:val="00E76AA5"/>
    <w:rsid w:val="00E825A9"/>
    <w:rsid w:val="00E85B8A"/>
    <w:rsid w:val="00E9627C"/>
    <w:rsid w:val="00E969FE"/>
    <w:rsid w:val="00E97708"/>
    <w:rsid w:val="00EA2C5C"/>
    <w:rsid w:val="00EA33E9"/>
    <w:rsid w:val="00EA3C8D"/>
    <w:rsid w:val="00EB089E"/>
    <w:rsid w:val="00EB3D84"/>
    <w:rsid w:val="00EB4ADB"/>
    <w:rsid w:val="00EB5174"/>
    <w:rsid w:val="00EC6FC2"/>
    <w:rsid w:val="00ED464B"/>
    <w:rsid w:val="00ED4B63"/>
    <w:rsid w:val="00ED782C"/>
    <w:rsid w:val="00ED7A8A"/>
    <w:rsid w:val="00EE4F1D"/>
    <w:rsid w:val="00EE7124"/>
    <w:rsid w:val="00EF339F"/>
    <w:rsid w:val="00F01610"/>
    <w:rsid w:val="00F01C15"/>
    <w:rsid w:val="00F07192"/>
    <w:rsid w:val="00F127CF"/>
    <w:rsid w:val="00F14C75"/>
    <w:rsid w:val="00F213A8"/>
    <w:rsid w:val="00F25D58"/>
    <w:rsid w:val="00F37ED3"/>
    <w:rsid w:val="00F42529"/>
    <w:rsid w:val="00F43793"/>
    <w:rsid w:val="00F504FF"/>
    <w:rsid w:val="00F527AA"/>
    <w:rsid w:val="00F547CD"/>
    <w:rsid w:val="00F60E97"/>
    <w:rsid w:val="00F631D4"/>
    <w:rsid w:val="00F83C9D"/>
    <w:rsid w:val="00F846E0"/>
    <w:rsid w:val="00F84DED"/>
    <w:rsid w:val="00F862F0"/>
    <w:rsid w:val="00F90093"/>
    <w:rsid w:val="00F917E4"/>
    <w:rsid w:val="00F91E63"/>
    <w:rsid w:val="00F94D7D"/>
    <w:rsid w:val="00F94F09"/>
    <w:rsid w:val="00F95981"/>
    <w:rsid w:val="00F96059"/>
    <w:rsid w:val="00FA0D76"/>
    <w:rsid w:val="00FA10AA"/>
    <w:rsid w:val="00FA15B6"/>
    <w:rsid w:val="00FA2BB2"/>
    <w:rsid w:val="00FC7B99"/>
    <w:rsid w:val="00FD4C4F"/>
    <w:rsid w:val="00FD5A64"/>
    <w:rsid w:val="00FD6730"/>
    <w:rsid w:val="00FE0013"/>
    <w:rsid w:val="00FE036D"/>
    <w:rsid w:val="00FE6162"/>
    <w:rsid w:val="00FF0913"/>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link w:val="ListParagraphChar"/>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character" w:customStyle="1" w:styleId="ListParagraphChar">
    <w:name w:val="List Paragraph Char"/>
    <w:link w:val="ListParagraph"/>
    <w:uiPriority w:val="34"/>
    <w:rsid w:val="00B7351A"/>
    <w:rPr>
      <w:sz w:val="24"/>
      <w:szCs w:val="24"/>
      <w:lang w:val="lv-LV" w:eastAsia="en-US"/>
    </w:rPr>
  </w:style>
  <w:style w:type="paragraph" w:styleId="HTMLPreformatted">
    <w:name w:val="HTML Preformatted"/>
    <w:basedOn w:val="Normal"/>
    <w:link w:val="HTMLPreformattedChar"/>
    <w:locked/>
    <w:rsid w:val="002F5A97"/>
    <w:rPr>
      <w:rFonts w:ascii="Consolas" w:hAnsi="Consolas"/>
      <w:sz w:val="20"/>
      <w:szCs w:val="20"/>
    </w:rPr>
  </w:style>
  <w:style w:type="character" w:customStyle="1" w:styleId="HTMLPreformattedChar">
    <w:name w:val="HTML Preformatted Char"/>
    <w:basedOn w:val="DefaultParagraphFont"/>
    <w:link w:val="HTMLPreformatted"/>
    <w:rsid w:val="002F5A97"/>
    <w:rPr>
      <w:rFonts w:ascii="Consolas" w:hAnsi="Consolas"/>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23087024">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53519482">
      <w:bodyDiv w:val="1"/>
      <w:marLeft w:val="0"/>
      <w:marRight w:val="0"/>
      <w:marTop w:val="0"/>
      <w:marBottom w:val="0"/>
      <w:divBdr>
        <w:top w:val="none" w:sz="0" w:space="0" w:color="auto"/>
        <w:left w:val="none" w:sz="0" w:space="0" w:color="auto"/>
        <w:bottom w:val="none" w:sz="0" w:space="0" w:color="auto"/>
        <w:right w:val="none" w:sz="0" w:space="0" w:color="auto"/>
      </w:divBdr>
      <w:divsChild>
        <w:div w:id="308485196">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400637564">
      <w:bodyDiv w:val="1"/>
      <w:marLeft w:val="0"/>
      <w:marRight w:val="0"/>
      <w:marTop w:val="0"/>
      <w:marBottom w:val="0"/>
      <w:divBdr>
        <w:top w:val="none" w:sz="0" w:space="0" w:color="auto"/>
        <w:left w:val="none" w:sz="0" w:space="0" w:color="auto"/>
        <w:bottom w:val="none" w:sz="0" w:space="0" w:color="auto"/>
        <w:right w:val="none" w:sz="0" w:space="0" w:color="auto"/>
      </w:divBdr>
      <w:divsChild>
        <w:div w:id="391195448">
          <w:marLeft w:val="0"/>
          <w:marRight w:val="0"/>
          <w:marTop w:val="0"/>
          <w:marBottom w:val="0"/>
          <w:divBdr>
            <w:top w:val="none" w:sz="0" w:space="0" w:color="auto"/>
            <w:left w:val="none" w:sz="0" w:space="0" w:color="auto"/>
            <w:bottom w:val="none" w:sz="0" w:space="0" w:color="auto"/>
            <w:right w:val="none" w:sz="0" w:space="0" w:color="auto"/>
          </w:divBdr>
        </w:div>
      </w:divsChild>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558130763">
      <w:bodyDiv w:val="1"/>
      <w:marLeft w:val="0"/>
      <w:marRight w:val="0"/>
      <w:marTop w:val="0"/>
      <w:marBottom w:val="0"/>
      <w:divBdr>
        <w:top w:val="none" w:sz="0" w:space="0" w:color="auto"/>
        <w:left w:val="none" w:sz="0" w:space="0" w:color="auto"/>
        <w:bottom w:val="none" w:sz="0" w:space="0" w:color="auto"/>
        <w:right w:val="none" w:sz="0" w:space="0" w:color="auto"/>
      </w:divBdr>
      <w:divsChild>
        <w:div w:id="1506049714">
          <w:marLeft w:val="0"/>
          <w:marRight w:val="0"/>
          <w:marTop w:val="0"/>
          <w:marBottom w:val="0"/>
          <w:divBdr>
            <w:top w:val="none" w:sz="0" w:space="0" w:color="auto"/>
            <w:left w:val="none" w:sz="0" w:space="0" w:color="auto"/>
            <w:bottom w:val="none" w:sz="0" w:space="0" w:color="auto"/>
            <w:right w:val="none" w:sz="0" w:space="0" w:color="auto"/>
          </w:divBdr>
          <w:divsChild>
            <w:div w:id="15102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586109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3996891">
      <w:bodyDiv w:val="1"/>
      <w:marLeft w:val="0"/>
      <w:marRight w:val="0"/>
      <w:marTop w:val="0"/>
      <w:marBottom w:val="0"/>
      <w:divBdr>
        <w:top w:val="none" w:sz="0" w:space="0" w:color="auto"/>
        <w:left w:val="none" w:sz="0" w:space="0" w:color="auto"/>
        <w:bottom w:val="none" w:sz="0" w:space="0" w:color="auto"/>
        <w:right w:val="none" w:sz="0" w:space="0" w:color="auto"/>
      </w:divBdr>
      <w:divsChild>
        <w:div w:id="1696420167">
          <w:marLeft w:val="0"/>
          <w:marRight w:val="0"/>
          <w:marTop w:val="0"/>
          <w:marBottom w:val="0"/>
          <w:divBdr>
            <w:top w:val="none" w:sz="0" w:space="0" w:color="auto"/>
            <w:left w:val="none" w:sz="0" w:space="0" w:color="auto"/>
            <w:bottom w:val="none" w:sz="0" w:space="0" w:color="auto"/>
            <w:right w:val="none" w:sz="0" w:space="0" w:color="auto"/>
          </w:divBdr>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05767566">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55326639">
      <w:bodyDiv w:val="1"/>
      <w:marLeft w:val="0"/>
      <w:marRight w:val="0"/>
      <w:marTop w:val="0"/>
      <w:marBottom w:val="0"/>
      <w:divBdr>
        <w:top w:val="none" w:sz="0" w:space="0" w:color="auto"/>
        <w:left w:val="none" w:sz="0" w:space="0" w:color="auto"/>
        <w:bottom w:val="none" w:sz="0" w:space="0" w:color="auto"/>
        <w:right w:val="none" w:sz="0" w:space="0" w:color="auto"/>
      </w:divBdr>
      <w:divsChild>
        <w:div w:id="970863581">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652397">
      <w:bodyDiv w:val="1"/>
      <w:marLeft w:val="0"/>
      <w:marRight w:val="0"/>
      <w:marTop w:val="0"/>
      <w:marBottom w:val="0"/>
      <w:divBdr>
        <w:top w:val="none" w:sz="0" w:space="0" w:color="auto"/>
        <w:left w:val="none" w:sz="0" w:space="0" w:color="auto"/>
        <w:bottom w:val="none" w:sz="0" w:space="0" w:color="auto"/>
        <w:right w:val="none" w:sz="0" w:space="0" w:color="auto"/>
      </w:divBdr>
      <w:divsChild>
        <w:div w:id="872234403">
          <w:marLeft w:val="0"/>
          <w:marRight w:val="0"/>
          <w:marTop w:val="0"/>
          <w:marBottom w:val="0"/>
          <w:divBdr>
            <w:top w:val="none" w:sz="0" w:space="0" w:color="auto"/>
            <w:left w:val="none" w:sz="0" w:space="0" w:color="auto"/>
            <w:bottom w:val="none" w:sz="0" w:space="0" w:color="auto"/>
            <w:right w:val="none" w:sz="0" w:space="0" w:color="auto"/>
          </w:divBdr>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38159784">
      <w:bodyDiv w:val="1"/>
      <w:marLeft w:val="0"/>
      <w:marRight w:val="0"/>
      <w:marTop w:val="0"/>
      <w:marBottom w:val="0"/>
      <w:divBdr>
        <w:top w:val="none" w:sz="0" w:space="0" w:color="auto"/>
        <w:left w:val="none" w:sz="0" w:space="0" w:color="auto"/>
        <w:bottom w:val="none" w:sz="0" w:space="0" w:color="auto"/>
        <w:right w:val="none" w:sz="0" w:space="0" w:color="auto"/>
      </w:divBdr>
      <w:divsChild>
        <w:div w:id="2100520995">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59123636">
      <w:bodyDiv w:val="1"/>
      <w:marLeft w:val="0"/>
      <w:marRight w:val="0"/>
      <w:marTop w:val="0"/>
      <w:marBottom w:val="0"/>
      <w:divBdr>
        <w:top w:val="none" w:sz="0" w:space="0" w:color="auto"/>
        <w:left w:val="none" w:sz="0" w:space="0" w:color="auto"/>
        <w:bottom w:val="none" w:sz="0" w:space="0" w:color="auto"/>
        <w:right w:val="none" w:sz="0" w:space="0" w:color="auto"/>
      </w:divBdr>
      <w:divsChild>
        <w:div w:id="1006980893">
          <w:marLeft w:val="0"/>
          <w:marRight w:val="0"/>
          <w:marTop w:val="0"/>
          <w:marBottom w:val="0"/>
          <w:divBdr>
            <w:top w:val="none" w:sz="0" w:space="0" w:color="auto"/>
            <w:left w:val="none" w:sz="0" w:space="0" w:color="auto"/>
            <w:bottom w:val="none" w:sz="0" w:space="0" w:color="auto"/>
            <w:right w:val="none" w:sz="0" w:space="0" w:color="auto"/>
          </w:divBdr>
          <w:divsChild>
            <w:div w:id="7163149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7738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1013146786">
      <w:bodyDiv w:val="1"/>
      <w:marLeft w:val="0"/>
      <w:marRight w:val="0"/>
      <w:marTop w:val="0"/>
      <w:marBottom w:val="0"/>
      <w:divBdr>
        <w:top w:val="none" w:sz="0" w:space="0" w:color="auto"/>
        <w:left w:val="none" w:sz="0" w:space="0" w:color="auto"/>
        <w:bottom w:val="none" w:sz="0" w:space="0" w:color="auto"/>
        <w:right w:val="none" w:sz="0" w:space="0" w:color="auto"/>
      </w:divBdr>
      <w:divsChild>
        <w:div w:id="513614288">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39089957">
      <w:bodyDiv w:val="1"/>
      <w:marLeft w:val="0"/>
      <w:marRight w:val="0"/>
      <w:marTop w:val="0"/>
      <w:marBottom w:val="0"/>
      <w:divBdr>
        <w:top w:val="none" w:sz="0" w:space="0" w:color="auto"/>
        <w:left w:val="none" w:sz="0" w:space="0" w:color="auto"/>
        <w:bottom w:val="none" w:sz="0" w:space="0" w:color="auto"/>
        <w:right w:val="none" w:sz="0" w:space="0" w:color="auto"/>
      </w:divBdr>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67475359">
      <w:bodyDiv w:val="1"/>
      <w:marLeft w:val="0"/>
      <w:marRight w:val="0"/>
      <w:marTop w:val="0"/>
      <w:marBottom w:val="0"/>
      <w:divBdr>
        <w:top w:val="none" w:sz="0" w:space="0" w:color="auto"/>
        <w:left w:val="none" w:sz="0" w:space="0" w:color="auto"/>
        <w:bottom w:val="none" w:sz="0" w:space="0" w:color="auto"/>
        <w:right w:val="none" w:sz="0" w:space="0" w:color="auto"/>
      </w:divBdr>
      <w:divsChild>
        <w:div w:id="1326321920">
          <w:marLeft w:val="0"/>
          <w:marRight w:val="0"/>
          <w:marTop w:val="0"/>
          <w:marBottom w:val="0"/>
          <w:divBdr>
            <w:top w:val="none" w:sz="0" w:space="0" w:color="auto"/>
            <w:left w:val="none" w:sz="0" w:space="0" w:color="auto"/>
            <w:bottom w:val="none" w:sz="0" w:space="0" w:color="auto"/>
            <w:right w:val="none" w:sz="0" w:space="0" w:color="auto"/>
          </w:divBdr>
        </w:div>
      </w:divsChild>
    </w:div>
    <w:div w:id="1218785169">
      <w:bodyDiv w:val="1"/>
      <w:marLeft w:val="0"/>
      <w:marRight w:val="0"/>
      <w:marTop w:val="0"/>
      <w:marBottom w:val="0"/>
      <w:divBdr>
        <w:top w:val="none" w:sz="0" w:space="0" w:color="auto"/>
        <w:left w:val="none" w:sz="0" w:space="0" w:color="auto"/>
        <w:bottom w:val="none" w:sz="0" w:space="0" w:color="auto"/>
        <w:right w:val="none" w:sz="0" w:space="0" w:color="auto"/>
      </w:divBdr>
      <w:divsChild>
        <w:div w:id="1857108708">
          <w:marLeft w:val="0"/>
          <w:marRight w:val="0"/>
          <w:marTop w:val="0"/>
          <w:marBottom w:val="0"/>
          <w:divBdr>
            <w:top w:val="none" w:sz="0" w:space="0" w:color="auto"/>
            <w:left w:val="none" w:sz="0" w:space="0" w:color="auto"/>
            <w:bottom w:val="none" w:sz="0" w:space="0" w:color="auto"/>
            <w:right w:val="none" w:sz="0" w:space="0" w:color="auto"/>
          </w:divBdr>
          <w:divsChild>
            <w:div w:id="199926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34587206">
      <w:bodyDiv w:val="1"/>
      <w:marLeft w:val="0"/>
      <w:marRight w:val="0"/>
      <w:marTop w:val="0"/>
      <w:marBottom w:val="0"/>
      <w:divBdr>
        <w:top w:val="none" w:sz="0" w:space="0" w:color="auto"/>
        <w:left w:val="none" w:sz="0" w:space="0" w:color="auto"/>
        <w:bottom w:val="none" w:sz="0" w:space="0" w:color="auto"/>
        <w:right w:val="none" w:sz="0" w:space="0" w:color="auto"/>
      </w:divBdr>
      <w:divsChild>
        <w:div w:id="37364050">
          <w:marLeft w:val="0"/>
          <w:marRight w:val="0"/>
          <w:marTop w:val="0"/>
          <w:marBottom w:val="0"/>
          <w:divBdr>
            <w:top w:val="none" w:sz="0" w:space="0" w:color="auto"/>
            <w:left w:val="none" w:sz="0" w:space="0" w:color="auto"/>
            <w:bottom w:val="none" w:sz="0" w:space="0" w:color="auto"/>
            <w:right w:val="none" w:sz="0" w:space="0" w:color="auto"/>
          </w:divBdr>
        </w:div>
      </w:divsChild>
    </w:div>
    <w:div w:id="1255474722">
      <w:bodyDiv w:val="1"/>
      <w:marLeft w:val="0"/>
      <w:marRight w:val="0"/>
      <w:marTop w:val="0"/>
      <w:marBottom w:val="0"/>
      <w:divBdr>
        <w:top w:val="none" w:sz="0" w:space="0" w:color="auto"/>
        <w:left w:val="none" w:sz="0" w:space="0" w:color="auto"/>
        <w:bottom w:val="none" w:sz="0" w:space="0" w:color="auto"/>
        <w:right w:val="none" w:sz="0" w:space="0" w:color="auto"/>
      </w:divBdr>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424105053">
      <w:bodyDiv w:val="1"/>
      <w:marLeft w:val="0"/>
      <w:marRight w:val="0"/>
      <w:marTop w:val="0"/>
      <w:marBottom w:val="0"/>
      <w:divBdr>
        <w:top w:val="none" w:sz="0" w:space="0" w:color="auto"/>
        <w:left w:val="none" w:sz="0" w:space="0" w:color="auto"/>
        <w:bottom w:val="none" w:sz="0" w:space="0" w:color="auto"/>
        <w:right w:val="none" w:sz="0" w:space="0" w:color="auto"/>
      </w:divBdr>
      <w:divsChild>
        <w:div w:id="1173303572">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74510658">
      <w:bodyDiv w:val="1"/>
      <w:marLeft w:val="0"/>
      <w:marRight w:val="0"/>
      <w:marTop w:val="0"/>
      <w:marBottom w:val="0"/>
      <w:divBdr>
        <w:top w:val="none" w:sz="0" w:space="0" w:color="auto"/>
        <w:left w:val="none" w:sz="0" w:space="0" w:color="auto"/>
        <w:bottom w:val="none" w:sz="0" w:space="0" w:color="auto"/>
        <w:right w:val="none" w:sz="0" w:space="0" w:color="auto"/>
      </w:divBdr>
      <w:divsChild>
        <w:div w:id="1751386572">
          <w:marLeft w:val="0"/>
          <w:marRight w:val="0"/>
          <w:marTop w:val="0"/>
          <w:marBottom w:val="0"/>
          <w:divBdr>
            <w:top w:val="none" w:sz="0" w:space="0" w:color="auto"/>
            <w:left w:val="none" w:sz="0" w:space="0" w:color="auto"/>
            <w:bottom w:val="none" w:sz="0" w:space="0" w:color="auto"/>
            <w:right w:val="none" w:sz="0" w:space="0" w:color="auto"/>
          </w:divBdr>
          <w:divsChild>
            <w:div w:id="5912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81256761">
      <w:bodyDiv w:val="1"/>
      <w:marLeft w:val="0"/>
      <w:marRight w:val="0"/>
      <w:marTop w:val="0"/>
      <w:marBottom w:val="0"/>
      <w:divBdr>
        <w:top w:val="none" w:sz="0" w:space="0" w:color="auto"/>
        <w:left w:val="none" w:sz="0" w:space="0" w:color="auto"/>
        <w:bottom w:val="none" w:sz="0" w:space="0" w:color="auto"/>
        <w:right w:val="none" w:sz="0" w:space="0" w:color="auto"/>
      </w:divBdr>
      <w:divsChild>
        <w:div w:id="864098955">
          <w:marLeft w:val="0"/>
          <w:marRight w:val="0"/>
          <w:marTop w:val="0"/>
          <w:marBottom w:val="0"/>
          <w:divBdr>
            <w:top w:val="none" w:sz="0" w:space="0" w:color="auto"/>
            <w:left w:val="none" w:sz="0" w:space="0" w:color="auto"/>
            <w:bottom w:val="none" w:sz="0" w:space="0" w:color="auto"/>
            <w:right w:val="none" w:sz="0" w:space="0" w:color="auto"/>
          </w:divBdr>
          <w:divsChild>
            <w:div w:id="694230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85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22905089">
      <w:bodyDiv w:val="1"/>
      <w:marLeft w:val="0"/>
      <w:marRight w:val="0"/>
      <w:marTop w:val="0"/>
      <w:marBottom w:val="0"/>
      <w:divBdr>
        <w:top w:val="none" w:sz="0" w:space="0" w:color="auto"/>
        <w:left w:val="none" w:sz="0" w:space="0" w:color="auto"/>
        <w:bottom w:val="none" w:sz="0" w:space="0" w:color="auto"/>
        <w:right w:val="none" w:sz="0" w:space="0" w:color="auto"/>
      </w:divBdr>
      <w:divsChild>
        <w:div w:id="714819605">
          <w:marLeft w:val="0"/>
          <w:marRight w:val="0"/>
          <w:marTop w:val="0"/>
          <w:marBottom w:val="0"/>
          <w:divBdr>
            <w:top w:val="none" w:sz="0" w:space="0" w:color="auto"/>
            <w:left w:val="none" w:sz="0" w:space="0" w:color="auto"/>
            <w:bottom w:val="none" w:sz="0" w:space="0" w:color="auto"/>
            <w:right w:val="none" w:sz="0" w:space="0" w:color="auto"/>
          </w:divBdr>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57116410">
      <w:bodyDiv w:val="1"/>
      <w:marLeft w:val="0"/>
      <w:marRight w:val="0"/>
      <w:marTop w:val="0"/>
      <w:marBottom w:val="0"/>
      <w:divBdr>
        <w:top w:val="none" w:sz="0" w:space="0" w:color="auto"/>
        <w:left w:val="none" w:sz="0" w:space="0" w:color="auto"/>
        <w:bottom w:val="none" w:sz="0" w:space="0" w:color="auto"/>
        <w:right w:val="none" w:sz="0" w:space="0" w:color="auto"/>
      </w:divBdr>
      <w:divsChild>
        <w:div w:id="550190418">
          <w:marLeft w:val="0"/>
          <w:marRight w:val="0"/>
          <w:marTop w:val="0"/>
          <w:marBottom w:val="0"/>
          <w:divBdr>
            <w:top w:val="none" w:sz="0" w:space="0" w:color="auto"/>
            <w:left w:val="none" w:sz="0" w:space="0" w:color="auto"/>
            <w:bottom w:val="none" w:sz="0" w:space="0" w:color="auto"/>
            <w:right w:val="none" w:sz="0" w:space="0" w:color="auto"/>
          </w:divBdr>
        </w:div>
      </w:divsChild>
    </w:div>
    <w:div w:id="2100712615">
      <w:bodyDiv w:val="1"/>
      <w:marLeft w:val="0"/>
      <w:marRight w:val="0"/>
      <w:marTop w:val="0"/>
      <w:marBottom w:val="0"/>
      <w:divBdr>
        <w:top w:val="none" w:sz="0" w:space="0" w:color="auto"/>
        <w:left w:val="none" w:sz="0" w:space="0" w:color="auto"/>
        <w:bottom w:val="none" w:sz="0" w:space="0" w:color="auto"/>
        <w:right w:val="none" w:sz="0" w:space="0" w:color="auto"/>
      </w:divBdr>
      <w:divsChild>
        <w:div w:id="914047197">
          <w:marLeft w:val="0"/>
          <w:marRight w:val="0"/>
          <w:marTop w:val="0"/>
          <w:marBottom w:val="0"/>
          <w:divBdr>
            <w:top w:val="none" w:sz="0" w:space="0" w:color="auto"/>
            <w:left w:val="none" w:sz="0" w:space="0" w:color="auto"/>
            <w:bottom w:val="none" w:sz="0" w:space="0" w:color="auto"/>
            <w:right w:val="none" w:sz="0" w:space="0" w:color="auto"/>
          </w:divBdr>
          <w:divsChild>
            <w:div w:id="484049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390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igassatiksme.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s.gov.lv"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8DC89E47-5971-4698-94FA-7873927D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2013</Words>
  <Characters>13566</Characters>
  <Application>Microsoft Office Word</Application>
  <DocSecurity>0</DocSecurity>
  <Lines>113</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8</cp:revision>
  <cp:lastPrinted>2021-09-09T02:05:00Z</cp:lastPrinted>
  <dcterms:created xsi:type="dcterms:W3CDTF">2026-06-25T07:32:00Z</dcterms:created>
  <dcterms:modified xsi:type="dcterms:W3CDTF">2026-06-25T08:43:00Z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