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88D84" w14:textId="77777777" w:rsidR="001E07DA" w:rsidRPr="000F42B9" w:rsidRDefault="001E07DA" w:rsidP="0060182C">
      <w:pPr>
        <w:pStyle w:val="Default"/>
        <w:ind w:right="374" w:firstLine="720"/>
        <w:jc w:val="both"/>
        <w:rPr>
          <w:color w:val="auto"/>
          <w:lang w:eastAsia="en-US"/>
        </w:rPr>
      </w:pPr>
    </w:p>
    <w:p w14:paraId="277B045E" w14:textId="77777777" w:rsidR="0060182C" w:rsidRPr="000F42B9" w:rsidRDefault="0060182C" w:rsidP="0060182C">
      <w:pPr>
        <w:ind w:right="374"/>
        <w:jc w:val="both"/>
        <w:rPr>
          <w:i/>
          <w:lang w:val="lv-LV"/>
        </w:rPr>
      </w:pPr>
      <w:r w:rsidRPr="000F42B9">
        <w:rPr>
          <w:i/>
          <w:lang w:val="lv-LV"/>
        </w:rPr>
        <w:t xml:space="preserve">Par atklāta konkursa </w:t>
      </w:r>
    </w:p>
    <w:p w14:paraId="35635767" w14:textId="77777777" w:rsidR="0060182C" w:rsidRPr="000F42B9" w:rsidRDefault="0060182C" w:rsidP="0060182C">
      <w:pPr>
        <w:ind w:right="374"/>
        <w:jc w:val="both"/>
        <w:rPr>
          <w:i/>
          <w:lang w:val="lv-LV"/>
        </w:rPr>
      </w:pPr>
      <w:r w:rsidRPr="000F42B9">
        <w:rPr>
          <w:i/>
          <w:lang w:val="lv-LV"/>
        </w:rPr>
        <w:t>“</w:t>
      </w:r>
      <w:proofErr w:type="spellStart"/>
      <w:r w:rsidRPr="000F42B9">
        <w:rPr>
          <w:i/>
          <w:lang w:val="lv-LV"/>
        </w:rPr>
        <w:t>Elektrosaimniecības</w:t>
      </w:r>
      <w:proofErr w:type="spellEnd"/>
      <w:r w:rsidRPr="000F42B9">
        <w:rPr>
          <w:i/>
          <w:lang w:val="lv-LV"/>
        </w:rPr>
        <w:t xml:space="preserve"> </w:t>
      </w:r>
      <w:proofErr w:type="spellStart"/>
      <w:r w:rsidRPr="000F42B9">
        <w:rPr>
          <w:i/>
          <w:lang w:val="lv-LV"/>
        </w:rPr>
        <w:t>dispečerpunktu</w:t>
      </w:r>
      <w:proofErr w:type="spellEnd"/>
      <w:r w:rsidRPr="000F42B9">
        <w:rPr>
          <w:i/>
          <w:lang w:val="lv-LV"/>
        </w:rPr>
        <w:t xml:space="preserve"> un</w:t>
      </w:r>
    </w:p>
    <w:p w14:paraId="3F1CC84F" w14:textId="77777777" w:rsidR="0060182C" w:rsidRPr="000F42B9" w:rsidRDefault="0060182C" w:rsidP="0060182C">
      <w:pPr>
        <w:ind w:right="374"/>
        <w:jc w:val="both"/>
        <w:rPr>
          <w:bCs/>
          <w:i/>
          <w:lang w:val="lv-LV"/>
        </w:rPr>
      </w:pPr>
      <w:r w:rsidRPr="000F42B9">
        <w:rPr>
          <w:i/>
          <w:lang w:val="lv-LV"/>
        </w:rPr>
        <w:t xml:space="preserve"> apakšstaciju monitoringa un telemātikas darbības paplašināšana”</w:t>
      </w:r>
    </w:p>
    <w:p w14:paraId="4E3D59E3" w14:textId="77777777" w:rsidR="0060182C" w:rsidRPr="000F42B9" w:rsidRDefault="0060182C" w:rsidP="0060182C">
      <w:pPr>
        <w:ind w:right="374"/>
        <w:jc w:val="both"/>
        <w:rPr>
          <w:i/>
          <w:lang w:val="lv-LV"/>
        </w:rPr>
      </w:pPr>
      <w:r w:rsidRPr="000F42B9">
        <w:rPr>
          <w:i/>
          <w:lang w:val="lv-LV"/>
        </w:rPr>
        <w:t>(ID Nr. RS/2021/71) nolikuma prasībām</w:t>
      </w:r>
    </w:p>
    <w:p w14:paraId="22AE357B" w14:textId="77777777" w:rsidR="0060182C" w:rsidRPr="000F42B9" w:rsidRDefault="0060182C" w:rsidP="0060182C">
      <w:pPr>
        <w:ind w:right="374"/>
        <w:jc w:val="both"/>
        <w:rPr>
          <w:lang w:val="lv-LV"/>
        </w:rPr>
      </w:pPr>
    </w:p>
    <w:p w14:paraId="10466543" w14:textId="77777777" w:rsidR="0060182C" w:rsidRPr="000F42B9" w:rsidRDefault="0060182C" w:rsidP="0060182C">
      <w:pPr>
        <w:ind w:right="374" w:firstLine="426"/>
        <w:jc w:val="both"/>
        <w:rPr>
          <w:lang w:val="lv-LV"/>
        </w:rPr>
      </w:pPr>
      <w:r w:rsidRPr="000F42B9">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77A769F1" w14:textId="77777777" w:rsidR="0060182C" w:rsidRPr="000F42B9" w:rsidRDefault="0060182C" w:rsidP="0060182C">
      <w:pPr>
        <w:ind w:right="374"/>
        <w:jc w:val="both"/>
        <w:rPr>
          <w:lang w:val="lv-LV"/>
        </w:rPr>
      </w:pPr>
    </w:p>
    <w:p w14:paraId="2828F928" w14:textId="7D9A4391" w:rsidR="0060182C" w:rsidRPr="000F42B9" w:rsidRDefault="0060182C" w:rsidP="0060182C">
      <w:pPr>
        <w:ind w:right="374"/>
        <w:rPr>
          <w:rFonts w:eastAsia="Calibri"/>
          <w:i/>
          <w:lang w:val="lv-LV" w:eastAsia="lv-LV"/>
        </w:rPr>
      </w:pPr>
      <w:r w:rsidRPr="000F42B9">
        <w:rPr>
          <w:i/>
          <w:lang w:val="lv-LV"/>
        </w:rPr>
        <w:t>Jautājums Nr.1:</w:t>
      </w:r>
      <w:r w:rsidRPr="000F42B9">
        <w:rPr>
          <w:rFonts w:eastAsia="Calibri"/>
          <w:i/>
          <w:lang w:val="lv-LV" w:eastAsia="lv-LV"/>
        </w:rPr>
        <w:t xml:space="preserve"> </w:t>
      </w:r>
    </w:p>
    <w:p w14:paraId="46EB3073" w14:textId="77777777" w:rsidR="0060182C" w:rsidRPr="000F42B9" w:rsidRDefault="0060182C" w:rsidP="0060182C">
      <w:pPr>
        <w:ind w:right="374"/>
        <w:jc w:val="both"/>
        <w:rPr>
          <w:lang w:val="lv-LV" w:eastAsia="lv-LV"/>
        </w:rPr>
      </w:pPr>
      <w:r w:rsidRPr="000F42B9">
        <w:rPr>
          <w:lang w:val="lv-LV" w:eastAsia="lv-LV"/>
        </w:rPr>
        <w:t xml:space="preserve">Iepirkuma nolikuma 4. pielikumā ietvertajās tabulās ir norādīts, ka </w:t>
      </w:r>
      <w:proofErr w:type="spellStart"/>
      <w:r w:rsidRPr="000F42B9">
        <w:rPr>
          <w:lang w:val="lv-LV" w:eastAsia="lv-LV"/>
        </w:rPr>
        <w:t>Unitronics</w:t>
      </w:r>
      <w:proofErr w:type="spellEnd"/>
      <w:r w:rsidRPr="000F42B9">
        <w:rPr>
          <w:lang w:val="lv-LV" w:eastAsia="lv-LV"/>
        </w:rPr>
        <w:t xml:space="preserve"> iekārtām nav iespējams piedāvāt ekvivalentu risinājumu. Saskaņā ar Publisko iepirkumu likuma 20. panta sesto daļu, tehniskajās specifikācijās pasūtītājs izvairās iekļaut atsauces uz konkrēta piegādātāja precēm vai pakalpojumiem, zīmoliem. Ja tas nav iespējams, tad šādas norādes lieto kopā ar vārdiem “vai ekvivalents”. Ņemot vērā, ka iepirkuma priekšmets aptver jaunu objektu – apakšstaciju – aprīkošanu (nevis eksistējošu iekārtu nomaiņu vai papildināšanu), norādām, ka Pasūtītāja nosacījums piegādāt tikai un vienīgi konkrētas ražotāja </w:t>
      </w:r>
      <w:proofErr w:type="spellStart"/>
      <w:r w:rsidRPr="000F42B9">
        <w:rPr>
          <w:lang w:val="lv-LV" w:eastAsia="lv-LV"/>
        </w:rPr>
        <w:t>Unitronics</w:t>
      </w:r>
      <w:proofErr w:type="spellEnd"/>
      <w:r w:rsidRPr="000F42B9">
        <w:rPr>
          <w:lang w:val="lv-LV" w:eastAsia="lv-LV"/>
        </w:rPr>
        <w:t xml:space="preserve"> iekārtas būtiski un nepamatoti ierobežo konkurenci. Pat gadījumā, ja citos objektos ir izvietotas </w:t>
      </w:r>
      <w:proofErr w:type="spellStart"/>
      <w:r w:rsidRPr="000F42B9">
        <w:rPr>
          <w:lang w:val="lv-LV" w:eastAsia="lv-LV"/>
        </w:rPr>
        <w:t>Unitronics</w:t>
      </w:r>
      <w:proofErr w:type="spellEnd"/>
      <w:r w:rsidRPr="000F42B9">
        <w:rPr>
          <w:lang w:val="lv-LV" w:eastAsia="lv-LV"/>
        </w:rPr>
        <w:t xml:space="preserve"> ražotas iekārtas, šī iepirkuma ietvaros mērķis ir sasniedzams arī ar ekvivalentu ražotāju iekārtu palīdzību, tās integrējot vienotā SCADA pārvaldības sistēmā.</w:t>
      </w:r>
    </w:p>
    <w:p w14:paraId="47AE791A" w14:textId="77777777" w:rsidR="0060182C" w:rsidRPr="000F42B9" w:rsidRDefault="0060182C" w:rsidP="0060182C">
      <w:pPr>
        <w:ind w:right="374"/>
        <w:jc w:val="both"/>
        <w:rPr>
          <w:b/>
          <w:bCs/>
          <w:lang w:val="lv-LV" w:eastAsia="lv-LV"/>
        </w:rPr>
      </w:pPr>
      <w:r w:rsidRPr="000F42B9">
        <w:rPr>
          <w:b/>
          <w:bCs/>
          <w:lang w:val="lv-LV" w:eastAsia="lv-LV"/>
        </w:rPr>
        <w:t xml:space="preserve">Lūdzam pasūtītāju veikt grozījumus iepirkuma dokumentācijā, paredzot iespēju veikt tehniskajā specifikācijā norādītām </w:t>
      </w:r>
      <w:proofErr w:type="spellStart"/>
      <w:r w:rsidRPr="000F42B9">
        <w:rPr>
          <w:b/>
          <w:bCs/>
          <w:lang w:val="lv-LV" w:eastAsia="lv-LV"/>
        </w:rPr>
        <w:t>Unitronics</w:t>
      </w:r>
      <w:proofErr w:type="spellEnd"/>
      <w:r w:rsidRPr="000F42B9">
        <w:rPr>
          <w:b/>
          <w:bCs/>
          <w:lang w:val="lv-LV" w:eastAsia="lv-LV"/>
        </w:rPr>
        <w:t xml:space="preserve"> iekārtām ekvivalentu iekārtu piegādi.</w:t>
      </w:r>
    </w:p>
    <w:p w14:paraId="0B68C5AC" w14:textId="77777777" w:rsidR="0060182C" w:rsidRPr="000F42B9" w:rsidRDefault="0060182C" w:rsidP="0060182C">
      <w:pPr>
        <w:shd w:val="clear" w:color="auto" w:fill="FFFFFF"/>
        <w:ind w:right="374"/>
        <w:jc w:val="both"/>
        <w:rPr>
          <w:rFonts w:eastAsia="Calibri"/>
          <w:i/>
          <w:iCs/>
          <w:color w:val="FF0000"/>
          <w:lang w:val="lv-LV" w:eastAsia="lv-LV"/>
        </w:rPr>
      </w:pPr>
    </w:p>
    <w:p w14:paraId="4D740830" w14:textId="77777777" w:rsidR="0060182C" w:rsidRPr="000F42B9" w:rsidRDefault="0060182C" w:rsidP="0060182C">
      <w:pPr>
        <w:shd w:val="clear" w:color="auto" w:fill="FFFFFF"/>
        <w:ind w:right="374"/>
        <w:jc w:val="both"/>
        <w:rPr>
          <w:rFonts w:eastAsia="Calibri"/>
          <w:iCs/>
          <w:lang w:val="lv-LV" w:eastAsia="lv-LV"/>
        </w:rPr>
      </w:pPr>
      <w:r w:rsidRPr="000F42B9">
        <w:rPr>
          <w:rFonts w:eastAsia="Calibri"/>
          <w:iCs/>
          <w:lang w:val="lv-LV" w:eastAsia="lv-LV"/>
        </w:rPr>
        <w:t xml:space="preserve">Atbilde: Iepirkumu komisija plāno veikt grozījumus iepirkuma dokumentācija, lūdzam sekot līdzi aktuālajai informācijai Pasūtītāja tīmekļvietnē – </w:t>
      </w:r>
      <w:hyperlink r:id="rId11" w:history="1">
        <w:r w:rsidRPr="000F42B9">
          <w:rPr>
            <w:rStyle w:val="Hyperlink"/>
            <w:rFonts w:eastAsia="Calibri"/>
            <w:iCs/>
            <w:lang w:val="lv-LV" w:eastAsia="lv-LV"/>
          </w:rPr>
          <w:t>www.rigassatiksme.lv</w:t>
        </w:r>
      </w:hyperlink>
      <w:r w:rsidRPr="000F42B9">
        <w:rPr>
          <w:rFonts w:eastAsia="Calibri"/>
          <w:iCs/>
          <w:lang w:val="lv-LV" w:eastAsia="lv-LV"/>
        </w:rPr>
        <w:t xml:space="preserve"> un Pasūtītāja pircēja profilā Elektronisko iepirkumu sistēmā – www.eis.gov.lv.</w:t>
      </w:r>
    </w:p>
    <w:p w14:paraId="776AF5D2" w14:textId="1F1CFDF8" w:rsidR="0060182C" w:rsidRDefault="0060182C" w:rsidP="0060182C">
      <w:pPr>
        <w:shd w:val="clear" w:color="auto" w:fill="FFFFFF"/>
        <w:ind w:right="374"/>
        <w:jc w:val="both"/>
        <w:rPr>
          <w:rFonts w:eastAsia="Calibri"/>
          <w:iCs/>
          <w:lang w:val="lv-LV" w:eastAsia="lv-LV"/>
        </w:rPr>
      </w:pPr>
    </w:p>
    <w:p w14:paraId="3647E0DF" w14:textId="77777777" w:rsidR="000F42B9" w:rsidRPr="000F42B9" w:rsidRDefault="000F42B9" w:rsidP="0060182C">
      <w:pPr>
        <w:shd w:val="clear" w:color="auto" w:fill="FFFFFF"/>
        <w:ind w:right="374"/>
        <w:jc w:val="both"/>
        <w:rPr>
          <w:rFonts w:eastAsia="Calibri"/>
          <w:iCs/>
          <w:lang w:val="lv-LV" w:eastAsia="lv-LV"/>
        </w:rPr>
      </w:pPr>
    </w:p>
    <w:p w14:paraId="18BC0AE8" w14:textId="221F200B" w:rsidR="0060182C" w:rsidRPr="000F42B9" w:rsidRDefault="0060182C" w:rsidP="0060182C">
      <w:pPr>
        <w:ind w:right="374"/>
        <w:rPr>
          <w:rFonts w:eastAsia="Calibri"/>
          <w:i/>
          <w:lang w:val="lv-LV" w:eastAsia="lv-LV"/>
        </w:rPr>
      </w:pPr>
      <w:r w:rsidRPr="000F42B9">
        <w:rPr>
          <w:i/>
          <w:lang w:val="lv-LV"/>
        </w:rPr>
        <w:t>Jautājums Nr.2:</w:t>
      </w:r>
      <w:r w:rsidRPr="000F42B9">
        <w:rPr>
          <w:rFonts w:eastAsia="Calibri"/>
          <w:i/>
          <w:lang w:val="lv-LV" w:eastAsia="lv-LV"/>
        </w:rPr>
        <w:t xml:space="preserve"> </w:t>
      </w:r>
    </w:p>
    <w:p w14:paraId="00FB1AE3" w14:textId="77777777" w:rsidR="0060182C" w:rsidRPr="000F42B9" w:rsidRDefault="0060182C" w:rsidP="0060182C">
      <w:pPr>
        <w:ind w:right="374"/>
        <w:jc w:val="both"/>
        <w:rPr>
          <w:lang w:val="lv-LV" w:eastAsia="lv-LV"/>
        </w:rPr>
      </w:pPr>
      <w:r w:rsidRPr="000F42B9">
        <w:rPr>
          <w:lang w:val="lv-LV" w:eastAsia="lv-LV"/>
        </w:rPr>
        <w:t xml:space="preserve">Iepirkuma nolikuma pamatteksta 17.3.3. punkts nosaka kvalifikācijas prasību Pretendentiem, kas pieļauj ražotāja </w:t>
      </w:r>
      <w:proofErr w:type="spellStart"/>
      <w:r w:rsidRPr="000F42B9">
        <w:rPr>
          <w:lang w:val="lv-LV" w:eastAsia="lv-LV"/>
        </w:rPr>
        <w:t>Unitronics</w:t>
      </w:r>
      <w:proofErr w:type="spellEnd"/>
      <w:r w:rsidRPr="000F42B9">
        <w:rPr>
          <w:lang w:val="lv-LV" w:eastAsia="lv-LV"/>
        </w:rPr>
        <w:t xml:space="preserve"> vai ekvivalenta cita signālu kontrolieru ražotāja pieredzes izmantošanu. Norādām, ka atbilstoši pirmajā jautājumā ietvertajam, vienlaikus tehniskā specifikācija nepieļauj </w:t>
      </w:r>
      <w:proofErr w:type="spellStart"/>
      <w:r w:rsidRPr="000F42B9">
        <w:rPr>
          <w:lang w:val="lv-LV" w:eastAsia="lv-LV"/>
        </w:rPr>
        <w:t>Unitronics</w:t>
      </w:r>
      <w:proofErr w:type="spellEnd"/>
      <w:r w:rsidRPr="000F42B9">
        <w:rPr>
          <w:lang w:val="lv-LV" w:eastAsia="lv-LV"/>
        </w:rPr>
        <w:t xml:space="preserve"> iekārtām ekvivalentu iekārtu piegādi. Gadījumā, ja atbildē uz pirmo jautājumu Pasūtītājs norāda izšķirošus iemeslus un pamatojumu </w:t>
      </w:r>
      <w:proofErr w:type="spellStart"/>
      <w:r w:rsidRPr="000F42B9">
        <w:rPr>
          <w:lang w:val="lv-LV" w:eastAsia="lv-LV"/>
        </w:rPr>
        <w:t>Unitronics</w:t>
      </w:r>
      <w:proofErr w:type="spellEnd"/>
      <w:r w:rsidRPr="000F42B9">
        <w:rPr>
          <w:lang w:val="lv-LV" w:eastAsia="lv-LV"/>
        </w:rPr>
        <w:t xml:space="preserve"> iekārtām ekvivalentu iekārtu piegādes aizliegumam (atsakoties mainīt tehnisko specifikāciju), </w:t>
      </w:r>
      <w:r w:rsidRPr="000F42B9">
        <w:rPr>
          <w:b/>
          <w:bCs/>
          <w:lang w:val="lv-LV" w:eastAsia="lv-LV"/>
        </w:rPr>
        <w:t>lūdzam Pasūtītāju mainīt iepirkuma kvalifikācijas prasības, lai tās atbilstu iepirkuma priekšmeta tvērumam, izslēdzot vārdus “vai ekvivalenta cita signālu kontrolieru (ar savietojamu funkcionalitāti) ražotāja vai tā autorizēta pārstāvja vai mācību centra” no 17.3.3. punkta prasības.</w:t>
      </w:r>
    </w:p>
    <w:p w14:paraId="3C431736" w14:textId="7E8A9350" w:rsidR="0060182C" w:rsidRDefault="0060182C" w:rsidP="0060182C">
      <w:pPr>
        <w:ind w:right="374"/>
        <w:rPr>
          <w:rFonts w:eastAsia="Calibri"/>
          <w:i/>
          <w:lang w:val="lv-LV" w:eastAsia="lv-LV"/>
        </w:rPr>
      </w:pPr>
    </w:p>
    <w:p w14:paraId="25426F22" w14:textId="4382C6C4" w:rsidR="000F42B9" w:rsidRDefault="000F42B9" w:rsidP="0060182C">
      <w:pPr>
        <w:ind w:right="374"/>
        <w:rPr>
          <w:rFonts w:eastAsia="Calibri"/>
          <w:i/>
          <w:lang w:val="lv-LV" w:eastAsia="lv-LV"/>
        </w:rPr>
      </w:pPr>
    </w:p>
    <w:p w14:paraId="0B10173C" w14:textId="03581DF6" w:rsidR="001829CE" w:rsidRDefault="001829CE" w:rsidP="0060182C">
      <w:pPr>
        <w:ind w:right="374"/>
        <w:rPr>
          <w:rFonts w:eastAsia="Calibri"/>
          <w:i/>
          <w:lang w:val="lv-LV" w:eastAsia="lv-LV"/>
        </w:rPr>
      </w:pPr>
    </w:p>
    <w:p w14:paraId="66820C94" w14:textId="26297C08" w:rsidR="001829CE" w:rsidRDefault="001829CE" w:rsidP="0060182C">
      <w:pPr>
        <w:ind w:right="374"/>
        <w:rPr>
          <w:rFonts w:eastAsia="Calibri"/>
          <w:i/>
          <w:lang w:val="lv-LV" w:eastAsia="lv-LV"/>
        </w:rPr>
      </w:pPr>
    </w:p>
    <w:p w14:paraId="208818D3" w14:textId="77777777" w:rsidR="001829CE" w:rsidRPr="000F42B9" w:rsidRDefault="001829CE" w:rsidP="0060182C">
      <w:pPr>
        <w:ind w:right="374"/>
        <w:rPr>
          <w:rFonts w:eastAsia="Calibri"/>
          <w:i/>
          <w:lang w:val="lv-LV" w:eastAsia="lv-LV"/>
        </w:rPr>
      </w:pPr>
      <w:bookmarkStart w:id="0" w:name="_GoBack"/>
      <w:bookmarkEnd w:id="0"/>
    </w:p>
    <w:p w14:paraId="0B930AE6" w14:textId="00AE23A0" w:rsidR="0060182C" w:rsidRPr="000F42B9" w:rsidRDefault="0060182C" w:rsidP="0060182C">
      <w:pPr>
        <w:shd w:val="clear" w:color="auto" w:fill="FFFFFF"/>
        <w:ind w:right="374"/>
        <w:jc w:val="both"/>
        <w:rPr>
          <w:rFonts w:eastAsia="Calibri"/>
          <w:iCs/>
          <w:lang w:val="lv-LV" w:eastAsia="lv-LV"/>
        </w:rPr>
      </w:pPr>
      <w:r w:rsidRPr="000F42B9">
        <w:rPr>
          <w:rFonts w:eastAsia="Calibri"/>
          <w:iCs/>
          <w:lang w:val="lv-LV" w:eastAsia="lv-LV"/>
        </w:rPr>
        <w:lastRenderedPageBreak/>
        <w:t xml:space="preserve">Atbilde: </w:t>
      </w:r>
    </w:p>
    <w:p w14:paraId="2315CED5" w14:textId="77777777" w:rsidR="0060182C" w:rsidRPr="000F42B9" w:rsidRDefault="0060182C" w:rsidP="0060182C">
      <w:pPr>
        <w:shd w:val="clear" w:color="auto" w:fill="FFFFFF"/>
        <w:ind w:right="374"/>
        <w:jc w:val="both"/>
        <w:rPr>
          <w:rFonts w:eastAsia="Calibri"/>
          <w:iCs/>
          <w:lang w:val="lv-LV" w:eastAsia="lv-LV"/>
        </w:rPr>
      </w:pPr>
      <w:r w:rsidRPr="000F42B9">
        <w:rPr>
          <w:rFonts w:eastAsia="Calibri"/>
          <w:iCs/>
          <w:lang w:val="lv-LV" w:eastAsia="lv-LV"/>
        </w:rPr>
        <w:t xml:space="preserve">Atbilde: Iepirkumu komisija plāno veikt grozījumus iepirkuma dokumentācija, lūdzam sekot līdzi aktuālajai informācijai Pasūtītāja tīmekļvietnē – </w:t>
      </w:r>
      <w:hyperlink r:id="rId12" w:history="1">
        <w:r w:rsidRPr="000F42B9">
          <w:rPr>
            <w:rStyle w:val="Hyperlink"/>
            <w:rFonts w:eastAsia="Calibri"/>
            <w:iCs/>
            <w:lang w:val="lv-LV" w:eastAsia="lv-LV"/>
          </w:rPr>
          <w:t>www.rigassatiksme.lv</w:t>
        </w:r>
      </w:hyperlink>
      <w:r w:rsidRPr="000F42B9">
        <w:rPr>
          <w:rFonts w:eastAsia="Calibri"/>
          <w:iCs/>
          <w:lang w:val="lv-LV" w:eastAsia="lv-LV"/>
        </w:rPr>
        <w:t xml:space="preserve"> un Pasūtītāja pircēja profilā Elektronisko iepirkumu sistēmā – www.eis.gov.lv.</w:t>
      </w:r>
    </w:p>
    <w:p w14:paraId="16AC7A7A" w14:textId="2113BE55" w:rsidR="0060182C" w:rsidRDefault="0060182C" w:rsidP="0060182C">
      <w:pPr>
        <w:shd w:val="clear" w:color="auto" w:fill="FFFFFF"/>
        <w:ind w:right="374"/>
        <w:jc w:val="both"/>
        <w:rPr>
          <w:rFonts w:eastAsia="Calibri"/>
          <w:iCs/>
          <w:lang w:val="lv-LV" w:eastAsia="lv-LV"/>
        </w:rPr>
      </w:pPr>
    </w:p>
    <w:p w14:paraId="0D798E39" w14:textId="77777777" w:rsidR="000F42B9" w:rsidRPr="000F42B9" w:rsidRDefault="000F42B9" w:rsidP="0060182C">
      <w:pPr>
        <w:shd w:val="clear" w:color="auto" w:fill="FFFFFF"/>
        <w:ind w:right="374"/>
        <w:jc w:val="both"/>
        <w:rPr>
          <w:rFonts w:eastAsia="Calibri"/>
          <w:iCs/>
          <w:lang w:val="lv-LV" w:eastAsia="lv-LV"/>
        </w:rPr>
      </w:pPr>
    </w:p>
    <w:p w14:paraId="3A8801A0" w14:textId="33997469" w:rsidR="0060182C" w:rsidRPr="000F42B9" w:rsidRDefault="0060182C" w:rsidP="0060182C">
      <w:pPr>
        <w:ind w:right="374"/>
        <w:rPr>
          <w:rFonts w:eastAsia="Calibri"/>
          <w:i/>
          <w:lang w:val="lv-LV" w:eastAsia="lv-LV"/>
        </w:rPr>
      </w:pPr>
      <w:r w:rsidRPr="000F42B9">
        <w:rPr>
          <w:i/>
          <w:lang w:val="lv-LV"/>
        </w:rPr>
        <w:t>Jautājums Nr.3:</w:t>
      </w:r>
      <w:r w:rsidRPr="000F42B9">
        <w:rPr>
          <w:rFonts w:eastAsia="Calibri"/>
          <w:i/>
          <w:lang w:val="lv-LV" w:eastAsia="lv-LV"/>
        </w:rPr>
        <w:t xml:space="preserve"> </w:t>
      </w:r>
    </w:p>
    <w:p w14:paraId="0EB31B17" w14:textId="77777777" w:rsidR="0060182C" w:rsidRPr="000F42B9" w:rsidRDefault="0060182C" w:rsidP="0060182C">
      <w:pPr>
        <w:ind w:right="374"/>
        <w:jc w:val="both"/>
        <w:rPr>
          <w:lang w:val="lv-LV" w:eastAsia="lv-LV"/>
        </w:rPr>
      </w:pPr>
      <w:r w:rsidRPr="000F42B9">
        <w:rPr>
          <w:lang w:val="lv-LV" w:eastAsia="lv-LV"/>
        </w:rPr>
        <w:t>Iepirkuma dokumentācijas nolikuma pamatteksta 29. punktā ietvertā saimnieciski izdevīgākā piedāvājuma novērtēšanas kritēriju tabulā ir noteikts, ka kopējās līgumcenas kritērija (CE) maksimālā skaitliskā vērtība ir 85 (astoņdesmit pieci). Vienlaikus, 29.2. punktā ietvertā aprēķina formula norāda uz to, ka kritērija CE maksimāli sasniedzamā skaitliskā vērtība ir 90 (deviņdesmit). Neviennozīmīgi noteiktas kritēriju vērtības un aprēķinu formulas rada nepamatotu nevienlīdzīgas attieksmes risku pret Pretendentiem, ļaujot interpretēt faktiski piemērojamo pieeju aprēķinu veikšanas laikā.</w:t>
      </w:r>
    </w:p>
    <w:p w14:paraId="0822EB2B" w14:textId="77777777" w:rsidR="0060182C" w:rsidRPr="000F42B9" w:rsidRDefault="0060182C" w:rsidP="0060182C">
      <w:pPr>
        <w:ind w:right="374"/>
        <w:jc w:val="both"/>
        <w:rPr>
          <w:b/>
          <w:bCs/>
          <w:noProof/>
          <w:lang w:val="lv-LV"/>
        </w:rPr>
      </w:pPr>
      <w:r w:rsidRPr="000F42B9">
        <w:rPr>
          <w:b/>
          <w:bCs/>
          <w:lang w:val="lv-LV" w:eastAsia="lv-LV"/>
        </w:rPr>
        <w:t>Lūdzam grozīt iepirkuma dokumentāciju, nosakot vienādi katra vērtēšanas kritērija maksimāli sasniedzamo skaitlisko vērtību.</w:t>
      </w:r>
    </w:p>
    <w:p w14:paraId="3EA491BC" w14:textId="77777777" w:rsidR="0060182C" w:rsidRPr="000F42B9" w:rsidRDefault="0060182C" w:rsidP="0060182C">
      <w:pPr>
        <w:shd w:val="clear" w:color="auto" w:fill="FFFFFF"/>
        <w:ind w:right="374"/>
        <w:jc w:val="both"/>
        <w:rPr>
          <w:rFonts w:eastAsia="Calibri"/>
          <w:i/>
          <w:iCs/>
          <w:color w:val="FF0000"/>
          <w:lang w:val="lv-LV" w:eastAsia="lv-LV"/>
        </w:rPr>
      </w:pPr>
    </w:p>
    <w:p w14:paraId="6C3D019A" w14:textId="0B51D98B" w:rsidR="0060182C" w:rsidRPr="000F42B9" w:rsidRDefault="0060182C" w:rsidP="0060182C">
      <w:pPr>
        <w:shd w:val="clear" w:color="auto" w:fill="FFFFFF"/>
        <w:ind w:right="374"/>
        <w:jc w:val="both"/>
        <w:rPr>
          <w:rFonts w:eastAsia="Calibri"/>
          <w:iCs/>
          <w:lang w:val="lv-LV" w:eastAsia="lv-LV"/>
        </w:rPr>
      </w:pPr>
      <w:r w:rsidRPr="000F42B9">
        <w:rPr>
          <w:rFonts w:eastAsia="Calibri"/>
          <w:iCs/>
          <w:lang w:val="lv-LV" w:eastAsia="lv-LV"/>
        </w:rPr>
        <w:t xml:space="preserve">Atbilde: </w:t>
      </w:r>
    </w:p>
    <w:p w14:paraId="7B735CFD" w14:textId="77777777" w:rsidR="0060182C" w:rsidRPr="000F42B9" w:rsidRDefault="0060182C" w:rsidP="0060182C">
      <w:pPr>
        <w:shd w:val="clear" w:color="auto" w:fill="FFFFFF"/>
        <w:ind w:right="374"/>
        <w:jc w:val="both"/>
        <w:rPr>
          <w:rFonts w:eastAsia="Calibri"/>
          <w:iCs/>
          <w:lang w:val="lv-LV" w:eastAsia="lv-LV"/>
        </w:rPr>
      </w:pPr>
      <w:r w:rsidRPr="000F42B9">
        <w:rPr>
          <w:rFonts w:eastAsia="Calibri"/>
          <w:iCs/>
          <w:lang w:val="lv-LV" w:eastAsia="lv-LV"/>
        </w:rPr>
        <w:t xml:space="preserve">Atbilde: Iepirkumu komisija plāno veikt grozījumus iepirkuma dokumentācija, lūdzam sekot līdzi aktuālajai informācijai Pasūtītāja tīmekļvietnē – </w:t>
      </w:r>
      <w:hyperlink r:id="rId13" w:history="1">
        <w:r w:rsidRPr="000F42B9">
          <w:rPr>
            <w:rStyle w:val="Hyperlink"/>
            <w:rFonts w:eastAsia="Calibri"/>
            <w:iCs/>
            <w:lang w:val="lv-LV" w:eastAsia="lv-LV"/>
          </w:rPr>
          <w:t>www.rigassatiksme.lv</w:t>
        </w:r>
      </w:hyperlink>
      <w:r w:rsidRPr="000F42B9">
        <w:rPr>
          <w:rFonts w:eastAsia="Calibri"/>
          <w:iCs/>
          <w:lang w:val="lv-LV" w:eastAsia="lv-LV"/>
        </w:rPr>
        <w:t xml:space="preserve"> un Pasūtītāja pircēja profilā Elektronisko iepirkumu sistēmā – www.eis.gov.lv.</w:t>
      </w:r>
    </w:p>
    <w:p w14:paraId="13C3536B" w14:textId="77777777" w:rsidR="0060182C" w:rsidRPr="000F42B9" w:rsidRDefault="0060182C" w:rsidP="0060182C">
      <w:pPr>
        <w:shd w:val="clear" w:color="auto" w:fill="FFFFFF"/>
        <w:ind w:right="374"/>
        <w:jc w:val="both"/>
        <w:rPr>
          <w:iCs/>
          <w:lang w:val="lv-LV"/>
        </w:rPr>
      </w:pPr>
    </w:p>
    <w:p w14:paraId="4763ECF0" w14:textId="77777777" w:rsidR="0060182C" w:rsidRPr="000F42B9" w:rsidRDefault="0060182C" w:rsidP="0060182C">
      <w:pPr>
        <w:shd w:val="clear" w:color="auto" w:fill="FFFFFF"/>
        <w:ind w:right="374"/>
        <w:jc w:val="both"/>
        <w:rPr>
          <w:iCs/>
          <w:lang w:val="lv-LV"/>
        </w:rPr>
      </w:pPr>
    </w:p>
    <w:p w14:paraId="5F858E73" w14:textId="77777777" w:rsidR="0060182C" w:rsidRPr="000F42B9" w:rsidRDefault="0060182C" w:rsidP="0060182C">
      <w:pPr>
        <w:ind w:right="374"/>
        <w:jc w:val="both"/>
        <w:outlineLvl w:val="0"/>
        <w:rPr>
          <w:lang w:val="lv-LV"/>
        </w:rPr>
      </w:pPr>
    </w:p>
    <w:p w14:paraId="21B6B4C3" w14:textId="77777777" w:rsidR="0060182C" w:rsidRPr="000F42B9" w:rsidRDefault="0060182C" w:rsidP="0060182C">
      <w:pPr>
        <w:ind w:right="374"/>
        <w:jc w:val="both"/>
        <w:outlineLvl w:val="0"/>
        <w:rPr>
          <w:lang w:val="lv-LV"/>
        </w:rPr>
      </w:pPr>
      <w:r w:rsidRPr="000F42B9">
        <w:rPr>
          <w:lang w:val="lv-LV"/>
        </w:rPr>
        <w:t>Iepirkumu komisijas priekšsēdētāja</w:t>
      </w:r>
      <w:proofErr w:type="gramStart"/>
      <w:r w:rsidRPr="000F42B9">
        <w:rPr>
          <w:lang w:val="lv-LV"/>
        </w:rPr>
        <w:t xml:space="preserve">                                                                             </w:t>
      </w:r>
      <w:proofErr w:type="gramEnd"/>
      <w:r w:rsidRPr="000F42B9">
        <w:rPr>
          <w:lang w:val="lv-LV"/>
        </w:rPr>
        <w:t>Karīna Meiberga</w:t>
      </w:r>
    </w:p>
    <w:p w14:paraId="79414E4A" w14:textId="77777777" w:rsidR="0060182C" w:rsidRPr="000F42B9" w:rsidRDefault="0060182C" w:rsidP="0060182C">
      <w:pPr>
        <w:ind w:right="374"/>
        <w:jc w:val="both"/>
        <w:rPr>
          <w:rFonts w:ascii="Times New Roman Bold" w:hAnsi="Times New Roman Bold"/>
          <w:lang w:val="lv-LV"/>
        </w:rPr>
      </w:pPr>
    </w:p>
    <w:p w14:paraId="7EC0CFBB" w14:textId="77777777" w:rsidR="00830454" w:rsidRPr="000F42B9" w:rsidRDefault="00830454" w:rsidP="0060182C">
      <w:pPr>
        <w:ind w:right="374"/>
        <w:rPr>
          <w:lang w:val="lv-LV"/>
        </w:rPr>
      </w:pPr>
    </w:p>
    <w:sectPr w:rsidR="00830454" w:rsidRPr="000F42B9" w:rsidSect="009B03BA">
      <w:headerReference w:type="even" r:id="rId14"/>
      <w:headerReference w:type="default" r:id="rId15"/>
      <w:headerReference w:type="first" r:id="rId16"/>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6FB589A"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1829CE">
      <w:t>01.02.2022.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0F42B9"/>
    <w:rsid w:val="00127A43"/>
    <w:rsid w:val="001528CE"/>
    <w:rsid w:val="001829CE"/>
    <w:rsid w:val="001A6A27"/>
    <w:rsid w:val="001B000D"/>
    <w:rsid w:val="001B6FD9"/>
    <w:rsid w:val="001E07DA"/>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D3F37"/>
    <w:rsid w:val="0060182C"/>
    <w:rsid w:val="0060383F"/>
    <w:rsid w:val="00605FE2"/>
    <w:rsid w:val="006339F1"/>
    <w:rsid w:val="006874A7"/>
    <w:rsid w:val="006A672C"/>
    <w:rsid w:val="00712459"/>
    <w:rsid w:val="00756CAE"/>
    <w:rsid w:val="007875D1"/>
    <w:rsid w:val="007A34BE"/>
    <w:rsid w:val="007D62F7"/>
    <w:rsid w:val="007E4429"/>
    <w:rsid w:val="00830454"/>
    <w:rsid w:val="008533C8"/>
    <w:rsid w:val="008C4EFF"/>
    <w:rsid w:val="008E4C93"/>
    <w:rsid w:val="008F37EE"/>
    <w:rsid w:val="00904B48"/>
    <w:rsid w:val="009B03BA"/>
    <w:rsid w:val="009C6D69"/>
    <w:rsid w:val="00A075D3"/>
    <w:rsid w:val="00A3285A"/>
    <w:rsid w:val="00A52673"/>
    <w:rsid w:val="00A555AB"/>
    <w:rsid w:val="00A55640"/>
    <w:rsid w:val="00A90154"/>
    <w:rsid w:val="00AA0E4F"/>
    <w:rsid w:val="00AB152E"/>
    <w:rsid w:val="00AD6993"/>
    <w:rsid w:val="00B120E3"/>
    <w:rsid w:val="00B17037"/>
    <w:rsid w:val="00B67B48"/>
    <w:rsid w:val="00BD7480"/>
    <w:rsid w:val="00BE690F"/>
    <w:rsid w:val="00BF7D80"/>
    <w:rsid w:val="00C234E1"/>
    <w:rsid w:val="00C950CD"/>
    <w:rsid w:val="00CA73ED"/>
    <w:rsid w:val="00D34A5D"/>
    <w:rsid w:val="00D43D83"/>
    <w:rsid w:val="00D61627"/>
    <w:rsid w:val="00D81F1C"/>
    <w:rsid w:val="00D86507"/>
    <w:rsid w:val="00DB6249"/>
    <w:rsid w:val="00DE6FD5"/>
    <w:rsid w:val="00EB089E"/>
    <w:rsid w:val="00F01C15"/>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06306646">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2592</Words>
  <Characters>1478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2022-02-01T07:36:00Z</dcterms:created>
  <dcterms:modified xsi:type="dcterms:W3CDTF">2022-02-01T07:36:00Z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