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0604EE">
      <w:pPr>
        <w:ind w:left="720" w:right="372" w:hanging="720"/>
        <w:jc w:val="both"/>
        <w:rPr>
          <w:rFonts w:ascii="Times New Roman Bold" w:hAnsi="Times New Roman Bold"/>
          <w:lang w:val="lv-LV"/>
        </w:rPr>
      </w:pPr>
    </w:p>
    <w:p w14:paraId="6E8152CA" w14:textId="7C124155" w:rsidR="00EC1BA5" w:rsidRPr="000604EE" w:rsidRDefault="00EC1BA5" w:rsidP="00667CBF">
      <w:pPr>
        <w:tabs>
          <w:tab w:val="left" w:pos="6237"/>
        </w:tabs>
        <w:ind w:right="89"/>
        <w:jc w:val="right"/>
        <w:rPr>
          <w:rFonts w:eastAsia="Calibri"/>
          <w:i/>
          <w:lang w:val="lv-LV" w:eastAsia="lv-LV"/>
        </w:rPr>
      </w:pPr>
      <w:r w:rsidRPr="00E80785">
        <w:rPr>
          <w:lang w:val="lv-LV"/>
        </w:rPr>
        <w:t xml:space="preserve">                                                                                            </w:t>
      </w:r>
    </w:p>
    <w:p w14:paraId="6EB70CAC" w14:textId="0761EF07" w:rsidR="00ED287C" w:rsidRPr="00ED287C" w:rsidRDefault="00ED287C" w:rsidP="000604EE">
      <w:pPr>
        <w:ind w:right="372"/>
        <w:jc w:val="both"/>
        <w:rPr>
          <w:i/>
          <w:lang w:val="lv-LV"/>
        </w:rPr>
      </w:pPr>
      <w:r w:rsidRPr="00ED287C">
        <w:rPr>
          <w:i/>
          <w:lang w:val="lv-LV"/>
        </w:rPr>
        <w:t xml:space="preserve">Par </w:t>
      </w:r>
      <w:r w:rsidR="008100AA">
        <w:rPr>
          <w:i/>
          <w:lang w:val="lv-LV"/>
        </w:rPr>
        <w:t>iepirkuma procedūras</w:t>
      </w:r>
      <w:r w:rsidRPr="00ED287C">
        <w:rPr>
          <w:i/>
          <w:lang w:val="lv-LV"/>
        </w:rPr>
        <w:t xml:space="preserve"> </w:t>
      </w:r>
    </w:p>
    <w:p w14:paraId="777EA539" w14:textId="77777777" w:rsidR="008100AA" w:rsidRPr="008100AA" w:rsidRDefault="00ED287C" w:rsidP="008100AA">
      <w:pPr>
        <w:rPr>
          <w:bCs/>
          <w:i/>
          <w:color w:val="000000"/>
          <w:lang w:val="lv-LV"/>
        </w:rPr>
      </w:pPr>
      <w:r w:rsidRPr="008100AA">
        <w:rPr>
          <w:bCs/>
          <w:i/>
          <w:lang w:val="lv-LV"/>
        </w:rPr>
        <w:t>“</w:t>
      </w:r>
      <w:bookmarkStart w:id="0" w:name="_Hlk89949839"/>
      <w:r w:rsidR="008100AA" w:rsidRPr="008100AA">
        <w:rPr>
          <w:bCs/>
          <w:i/>
          <w:color w:val="000000"/>
          <w:lang w:val="lv-LV"/>
        </w:rPr>
        <w:t xml:space="preserve">Tramvaja sliežu ceļu pārbūve posmā no </w:t>
      </w:r>
    </w:p>
    <w:p w14:paraId="59C93BA8" w14:textId="77777777" w:rsidR="008100AA" w:rsidRPr="008100AA" w:rsidRDefault="008100AA" w:rsidP="008100AA">
      <w:pPr>
        <w:rPr>
          <w:bCs/>
          <w:i/>
          <w:color w:val="000000"/>
          <w:lang w:val="lv-LV"/>
        </w:rPr>
      </w:pPr>
      <w:r w:rsidRPr="008100AA">
        <w:rPr>
          <w:bCs/>
          <w:i/>
          <w:color w:val="000000"/>
          <w:lang w:val="lv-LV"/>
        </w:rPr>
        <w:t xml:space="preserve">Ausekļa ielas loka līdz Aspazijas bulvāra </w:t>
      </w:r>
    </w:p>
    <w:p w14:paraId="44E16F0D" w14:textId="12FB9D2B" w:rsidR="00191138" w:rsidRPr="008100AA" w:rsidRDefault="008100AA" w:rsidP="008100AA">
      <w:pPr>
        <w:rPr>
          <w:bCs/>
          <w:i/>
          <w:lang w:val="lv-LV"/>
        </w:rPr>
      </w:pPr>
      <w:r w:rsidRPr="008100AA">
        <w:rPr>
          <w:bCs/>
          <w:i/>
          <w:color w:val="000000"/>
          <w:lang w:val="lv-LV"/>
        </w:rPr>
        <w:t>un Radio ielas krustojumam</w:t>
      </w:r>
      <w:bookmarkEnd w:id="0"/>
      <w:r w:rsidRPr="008100AA">
        <w:rPr>
          <w:bCs/>
          <w:i/>
          <w:color w:val="000000"/>
          <w:lang w:val="lv-LV"/>
        </w:rPr>
        <w:t>, Rīgā</w:t>
      </w:r>
      <w:r w:rsidR="00191138" w:rsidRPr="008100AA">
        <w:rPr>
          <w:bCs/>
          <w:i/>
          <w:lang w:val="lv-LV"/>
        </w:rPr>
        <w:t>”</w:t>
      </w:r>
    </w:p>
    <w:p w14:paraId="01E5FD02" w14:textId="367745E6" w:rsidR="00ED287C" w:rsidRPr="008100AA" w:rsidRDefault="00ED287C" w:rsidP="000604EE">
      <w:pPr>
        <w:ind w:right="372"/>
        <w:jc w:val="both"/>
        <w:rPr>
          <w:bCs/>
          <w:i/>
          <w:lang w:val="lv-LV"/>
        </w:rPr>
      </w:pPr>
      <w:r w:rsidRPr="008100AA">
        <w:rPr>
          <w:bCs/>
          <w:i/>
          <w:lang w:val="lv-LV"/>
        </w:rPr>
        <w:t>(ID Nr.RS/2021/</w:t>
      </w:r>
      <w:r w:rsidR="008100AA">
        <w:rPr>
          <w:bCs/>
          <w:i/>
          <w:lang w:val="lv-LV"/>
        </w:rPr>
        <w:t>70</w:t>
      </w:r>
      <w:r w:rsidRPr="008100AA">
        <w:rPr>
          <w:bCs/>
          <w:i/>
          <w:lang w:val="lv-LV"/>
        </w:rPr>
        <w:t>) nolikuma prasībām</w:t>
      </w:r>
    </w:p>
    <w:p w14:paraId="6F27DAAA" w14:textId="77777777" w:rsidR="00ED287C" w:rsidRPr="00ED287C" w:rsidRDefault="00ED287C" w:rsidP="000604EE">
      <w:pPr>
        <w:ind w:right="372"/>
        <w:jc w:val="both"/>
        <w:rPr>
          <w:lang w:val="lv-LV"/>
        </w:rPr>
      </w:pPr>
    </w:p>
    <w:p w14:paraId="66FC9AA7" w14:textId="77777777" w:rsidR="00ED287C" w:rsidRPr="00ED287C" w:rsidRDefault="00ED287C" w:rsidP="007B3E19">
      <w:pPr>
        <w:ind w:right="89"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0604EE">
      <w:pPr>
        <w:ind w:right="372"/>
        <w:jc w:val="both"/>
        <w:rPr>
          <w:lang w:val="lv-LV"/>
        </w:rPr>
      </w:pPr>
    </w:p>
    <w:p w14:paraId="12623F2A" w14:textId="77777777" w:rsidR="00D30BA3" w:rsidRPr="00D30BA3" w:rsidRDefault="008100AA" w:rsidP="00D30BA3">
      <w:pPr>
        <w:pStyle w:val="ListParagraph"/>
        <w:ind w:left="0"/>
        <w:contextualSpacing/>
        <w:jc w:val="both"/>
        <w:rPr>
          <w:rFonts w:ascii="Times New Roman" w:hAnsi="Times New Roman" w:cs="Times New Roman"/>
          <w:i/>
          <w:iCs/>
          <w:sz w:val="24"/>
          <w:szCs w:val="24"/>
        </w:rPr>
      </w:pPr>
      <w:r w:rsidRPr="00D30BA3">
        <w:rPr>
          <w:rFonts w:ascii="Times New Roman" w:hAnsi="Times New Roman" w:cs="Times New Roman"/>
          <w:i/>
          <w:iCs/>
          <w:sz w:val="24"/>
          <w:szCs w:val="24"/>
        </w:rPr>
        <w:t xml:space="preserve">1.jautājums: </w:t>
      </w:r>
      <w:bookmarkStart w:id="1" w:name="_Hlk93409832"/>
      <w:r w:rsidR="00D30BA3" w:rsidRPr="00D30BA3">
        <w:rPr>
          <w:rFonts w:ascii="Times New Roman" w:hAnsi="Times New Roman" w:cs="Times New Roman"/>
          <w:i/>
          <w:iCs/>
          <w:sz w:val="24"/>
          <w:szCs w:val="24"/>
          <w:u w:val="single"/>
        </w:rPr>
        <w:t>5.pielikums lokālā tāme</w:t>
      </w:r>
      <w:bookmarkEnd w:id="1"/>
      <w:r w:rsidR="00D30BA3" w:rsidRPr="00D30BA3">
        <w:rPr>
          <w:rFonts w:ascii="Times New Roman" w:hAnsi="Times New Roman" w:cs="Times New Roman"/>
          <w:i/>
          <w:iCs/>
          <w:sz w:val="24"/>
          <w:szCs w:val="24"/>
        </w:rPr>
        <w:t xml:space="preserve">, lokālā tāme nr. 1 (Sagatavošanās darbi, sliežu ceļi, pieturvietas, satiksmes organizācija, labiekārtojums) </w:t>
      </w:r>
      <w:r w:rsidR="00D30BA3" w:rsidRPr="00D30BA3">
        <w:rPr>
          <w:rFonts w:ascii="Times New Roman" w:hAnsi="Times New Roman" w:cs="Times New Roman"/>
          <w:b/>
          <w:bCs/>
          <w:i/>
          <w:iCs/>
          <w:sz w:val="24"/>
          <w:szCs w:val="24"/>
        </w:rPr>
        <w:t>Darbu daudzuma pozīcija nr. 99</w:t>
      </w:r>
      <w:r w:rsidR="00D30BA3" w:rsidRPr="00D30BA3">
        <w:rPr>
          <w:rFonts w:ascii="Times New Roman" w:hAnsi="Times New Roman" w:cs="Times New Roman"/>
          <w:i/>
          <w:iCs/>
          <w:sz w:val="24"/>
          <w:szCs w:val="24"/>
        </w:rPr>
        <w:t xml:space="preserve"> (Atgūta dabīgā (kaltā, vēsturiskā) akmens bruģa un betona bruģa šuvju aizpildīšana ar </w:t>
      </w:r>
      <w:proofErr w:type="spellStart"/>
      <w:r w:rsidR="00D30BA3" w:rsidRPr="00D30BA3">
        <w:rPr>
          <w:rFonts w:ascii="Times New Roman" w:hAnsi="Times New Roman" w:cs="Times New Roman"/>
          <w:i/>
          <w:iCs/>
          <w:sz w:val="24"/>
          <w:szCs w:val="24"/>
        </w:rPr>
        <w:t>šuvotāju</w:t>
      </w:r>
      <w:proofErr w:type="spellEnd"/>
      <w:r w:rsidR="00D30BA3" w:rsidRPr="00D30BA3">
        <w:rPr>
          <w:rFonts w:ascii="Times New Roman" w:hAnsi="Times New Roman" w:cs="Times New Roman"/>
          <w:i/>
          <w:iCs/>
          <w:sz w:val="24"/>
          <w:szCs w:val="24"/>
        </w:rPr>
        <w:t xml:space="preserve"> Inducret-VK2000 vai analogu, sliežu ceļu pārbūves zonā pieturvietās), norādītais šai pozīcijai sastāda 1185 m</w:t>
      </w:r>
      <w:r w:rsidR="00D30BA3" w:rsidRPr="00D30BA3">
        <w:rPr>
          <w:rFonts w:ascii="Times New Roman" w:hAnsi="Times New Roman" w:cs="Times New Roman"/>
          <w:i/>
          <w:iCs/>
          <w:sz w:val="24"/>
          <w:szCs w:val="24"/>
          <w:vertAlign w:val="superscript"/>
        </w:rPr>
        <w:t>2</w:t>
      </w:r>
      <w:r w:rsidR="00D30BA3" w:rsidRPr="00D30BA3">
        <w:rPr>
          <w:rFonts w:ascii="Times New Roman" w:hAnsi="Times New Roman" w:cs="Times New Roman"/>
          <w:i/>
          <w:iCs/>
          <w:sz w:val="24"/>
          <w:szCs w:val="24"/>
        </w:rPr>
        <w:t xml:space="preserve">, lūdzu sniegt atšifrējumu, kurām no darbu daudzumu sarakstā norādītajām bruģakmens izbūvēs pozīcijām ir paredzēts veikt šuvju aizpildīšana ar </w:t>
      </w:r>
      <w:proofErr w:type="spellStart"/>
      <w:r w:rsidR="00D30BA3" w:rsidRPr="00D30BA3">
        <w:rPr>
          <w:rFonts w:ascii="Times New Roman" w:hAnsi="Times New Roman" w:cs="Times New Roman"/>
          <w:i/>
          <w:iCs/>
          <w:sz w:val="24"/>
          <w:szCs w:val="24"/>
        </w:rPr>
        <w:t>šuvotāju</w:t>
      </w:r>
      <w:proofErr w:type="spellEnd"/>
      <w:r w:rsidR="00D30BA3" w:rsidRPr="00D30BA3">
        <w:rPr>
          <w:rFonts w:ascii="Times New Roman" w:hAnsi="Times New Roman" w:cs="Times New Roman"/>
          <w:i/>
          <w:iCs/>
          <w:sz w:val="24"/>
          <w:szCs w:val="24"/>
        </w:rPr>
        <w:t xml:space="preserve"> Inducret-VK2000 vai analogu? Pieņemot, ka </w:t>
      </w:r>
      <w:proofErr w:type="spellStart"/>
      <w:r w:rsidR="00D30BA3" w:rsidRPr="00D30BA3">
        <w:rPr>
          <w:rFonts w:ascii="Times New Roman" w:hAnsi="Times New Roman" w:cs="Times New Roman"/>
          <w:i/>
          <w:iCs/>
          <w:sz w:val="24"/>
          <w:szCs w:val="24"/>
        </w:rPr>
        <w:t>šuvošanu</w:t>
      </w:r>
      <w:proofErr w:type="spellEnd"/>
      <w:r w:rsidR="00D30BA3" w:rsidRPr="00D30BA3">
        <w:rPr>
          <w:rFonts w:ascii="Times New Roman" w:hAnsi="Times New Roman" w:cs="Times New Roman"/>
          <w:i/>
          <w:iCs/>
          <w:sz w:val="24"/>
          <w:szCs w:val="24"/>
        </w:rPr>
        <w:t xml:space="preserve"> paredzēts veikt pozīcijām kurām ir jāizbūvē augstas stiprības minerāl-bāzes izlīdzinošās līmes kārtas Inducret-VK1000 vai analogs, tādas būtu </w:t>
      </w:r>
      <w:bookmarkStart w:id="2" w:name="_Hlk93409594"/>
      <w:r w:rsidR="00D30BA3" w:rsidRPr="00D30BA3">
        <w:rPr>
          <w:rFonts w:ascii="Times New Roman" w:hAnsi="Times New Roman" w:cs="Times New Roman"/>
          <w:b/>
          <w:bCs/>
          <w:i/>
          <w:iCs/>
          <w:sz w:val="24"/>
          <w:szCs w:val="24"/>
        </w:rPr>
        <w:t>Darbu daudzuma pozīcija nr.</w:t>
      </w:r>
      <w:bookmarkEnd w:id="2"/>
      <w:r w:rsidR="00D30BA3" w:rsidRPr="00D30BA3">
        <w:rPr>
          <w:rFonts w:ascii="Times New Roman" w:hAnsi="Times New Roman" w:cs="Times New Roman"/>
          <w:b/>
          <w:bCs/>
          <w:i/>
          <w:iCs/>
          <w:sz w:val="24"/>
          <w:szCs w:val="24"/>
        </w:rPr>
        <w:t xml:space="preserve"> 57</w:t>
      </w:r>
      <w:r w:rsidR="00D30BA3" w:rsidRPr="00D30BA3">
        <w:rPr>
          <w:rFonts w:ascii="Times New Roman" w:hAnsi="Times New Roman" w:cs="Times New Roman"/>
          <w:i/>
          <w:iCs/>
          <w:sz w:val="24"/>
          <w:szCs w:val="24"/>
        </w:rPr>
        <w:t xml:space="preserve"> (Atgūta dabīgā (kaltā, vēsturiskā) akmens bruģa seguma būvniecība 15-20cm biezumā uz augstas stiprības minerāl-bāzes izlīdzinošās līmes kārtas Inducret-VK1000 vai analogs (1.tips, uz pamata </w:t>
      </w:r>
      <w:proofErr w:type="spellStart"/>
      <w:r w:rsidR="00D30BA3" w:rsidRPr="00D30BA3">
        <w:rPr>
          <w:rFonts w:ascii="Times New Roman" w:hAnsi="Times New Roman" w:cs="Times New Roman"/>
          <w:i/>
          <w:iCs/>
          <w:sz w:val="24"/>
          <w:szCs w:val="24"/>
        </w:rPr>
        <w:t>gropjplātnes</w:t>
      </w:r>
      <w:proofErr w:type="spellEnd"/>
      <w:r w:rsidR="00D30BA3" w:rsidRPr="00D30BA3">
        <w:rPr>
          <w:rFonts w:ascii="Times New Roman" w:hAnsi="Times New Roman" w:cs="Times New Roman"/>
          <w:i/>
          <w:iCs/>
          <w:sz w:val="24"/>
          <w:szCs w:val="24"/>
        </w:rPr>
        <w:t xml:space="preserve">)) – </w:t>
      </w:r>
      <w:r w:rsidR="00D30BA3" w:rsidRPr="00D30BA3">
        <w:rPr>
          <w:rFonts w:ascii="Times New Roman" w:hAnsi="Times New Roman" w:cs="Times New Roman"/>
          <w:i/>
          <w:iCs/>
          <w:sz w:val="24"/>
          <w:szCs w:val="24"/>
          <w:u w:val="single"/>
        </w:rPr>
        <w:t>apjoms 787 m</w:t>
      </w:r>
      <w:r w:rsidR="00D30BA3" w:rsidRPr="00D30BA3">
        <w:rPr>
          <w:rFonts w:ascii="Times New Roman" w:hAnsi="Times New Roman" w:cs="Times New Roman"/>
          <w:i/>
          <w:iCs/>
          <w:sz w:val="24"/>
          <w:szCs w:val="24"/>
          <w:u w:val="single"/>
          <w:vertAlign w:val="superscript"/>
        </w:rPr>
        <w:t>2</w:t>
      </w:r>
      <w:r w:rsidR="00D30BA3" w:rsidRPr="00D30BA3">
        <w:rPr>
          <w:rFonts w:ascii="Times New Roman" w:hAnsi="Times New Roman" w:cs="Times New Roman"/>
          <w:i/>
          <w:iCs/>
          <w:sz w:val="24"/>
          <w:szCs w:val="24"/>
        </w:rPr>
        <w:t xml:space="preserve">, un </w:t>
      </w:r>
      <w:r w:rsidR="00D30BA3" w:rsidRPr="00D30BA3">
        <w:rPr>
          <w:rFonts w:ascii="Times New Roman" w:hAnsi="Times New Roman" w:cs="Times New Roman"/>
          <w:b/>
          <w:bCs/>
          <w:i/>
          <w:iCs/>
          <w:sz w:val="24"/>
          <w:szCs w:val="24"/>
        </w:rPr>
        <w:t>Darbu daudzuma pozīcija nr. 59</w:t>
      </w:r>
      <w:r w:rsidR="00D30BA3" w:rsidRPr="00D30BA3">
        <w:rPr>
          <w:rFonts w:ascii="Times New Roman" w:hAnsi="Times New Roman" w:cs="Times New Roman"/>
          <w:i/>
          <w:iCs/>
          <w:sz w:val="24"/>
          <w:szCs w:val="24"/>
        </w:rPr>
        <w:t xml:space="preserve"> (Betona bruģa seguma būvniecība 12cm biezumā uz augstas </w:t>
      </w:r>
      <w:proofErr w:type="spellStart"/>
      <w:r w:rsidR="00D30BA3" w:rsidRPr="00D30BA3">
        <w:rPr>
          <w:rFonts w:ascii="Times New Roman" w:hAnsi="Times New Roman" w:cs="Times New Roman"/>
          <w:i/>
          <w:iCs/>
          <w:sz w:val="24"/>
          <w:szCs w:val="24"/>
        </w:rPr>
        <w:t>stiprimības</w:t>
      </w:r>
      <w:proofErr w:type="spellEnd"/>
      <w:r w:rsidR="00D30BA3" w:rsidRPr="00D30BA3">
        <w:rPr>
          <w:rFonts w:ascii="Times New Roman" w:hAnsi="Times New Roman" w:cs="Times New Roman"/>
          <w:i/>
          <w:iCs/>
          <w:sz w:val="24"/>
          <w:szCs w:val="24"/>
        </w:rPr>
        <w:t xml:space="preserve"> </w:t>
      </w:r>
      <w:proofErr w:type="spellStart"/>
      <w:r w:rsidR="00D30BA3" w:rsidRPr="00D30BA3">
        <w:rPr>
          <w:rFonts w:ascii="Times New Roman" w:hAnsi="Times New Roman" w:cs="Times New Roman"/>
          <w:i/>
          <w:iCs/>
          <w:sz w:val="24"/>
          <w:szCs w:val="24"/>
        </w:rPr>
        <w:t>minerālbāzes</w:t>
      </w:r>
      <w:proofErr w:type="spellEnd"/>
      <w:r w:rsidR="00D30BA3" w:rsidRPr="00D30BA3">
        <w:rPr>
          <w:rFonts w:ascii="Times New Roman" w:hAnsi="Times New Roman" w:cs="Times New Roman"/>
          <w:i/>
          <w:iCs/>
          <w:sz w:val="24"/>
          <w:szCs w:val="24"/>
        </w:rPr>
        <w:t xml:space="preserve"> izlīdzinošās līmes kārtas Inducret-VK1000 vai analogs (3.tips, uz pamata </w:t>
      </w:r>
      <w:proofErr w:type="spellStart"/>
      <w:r w:rsidR="00D30BA3" w:rsidRPr="00D30BA3">
        <w:rPr>
          <w:rFonts w:ascii="Times New Roman" w:hAnsi="Times New Roman" w:cs="Times New Roman"/>
          <w:i/>
          <w:iCs/>
          <w:sz w:val="24"/>
          <w:szCs w:val="24"/>
        </w:rPr>
        <w:t>gropjplātnes</w:t>
      </w:r>
      <w:proofErr w:type="spellEnd"/>
      <w:r w:rsidR="00D30BA3" w:rsidRPr="00D30BA3">
        <w:rPr>
          <w:rFonts w:ascii="Times New Roman" w:hAnsi="Times New Roman" w:cs="Times New Roman"/>
          <w:i/>
          <w:iCs/>
          <w:sz w:val="24"/>
          <w:szCs w:val="24"/>
        </w:rPr>
        <w:t xml:space="preserve">), t.sk. paredzot balta un pelēka bruģakmens izbūvi gājēju pārejas vietā sliežu ceļā Aspazijas bulvārī) - </w:t>
      </w:r>
      <w:r w:rsidR="00D30BA3" w:rsidRPr="00D30BA3">
        <w:rPr>
          <w:rFonts w:ascii="Times New Roman" w:hAnsi="Times New Roman" w:cs="Times New Roman"/>
          <w:i/>
          <w:iCs/>
          <w:sz w:val="24"/>
          <w:szCs w:val="24"/>
          <w:u w:val="single"/>
        </w:rPr>
        <w:t>apjoms 302 m</w:t>
      </w:r>
      <w:r w:rsidR="00D30BA3" w:rsidRPr="00D30BA3">
        <w:rPr>
          <w:rFonts w:ascii="Times New Roman" w:hAnsi="Times New Roman" w:cs="Times New Roman"/>
          <w:i/>
          <w:iCs/>
          <w:sz w:val="24"/>
          <w:szCs w:val="24"/>
          <w:u w:val="single"/>
          <w:vertAlign w:val="superscript"/>
        </w:rPr>
        <w:t>2</w:t>
      </w:r>
      <w:r w:rsidR="00D30BA3" w:rsidRPr="00D30BA3">
        <w:rPr>
          <w:rFonts w:ascii="Times New Roman" w:hAnsi="Times New Roman" w:cs="Times New Roman"/>
          <w:i/>
          <w:iCs/>
          <w:sz w:val="24"/>
          <w:szCs w:val="24"/>
        </w:rPr>
        <w:t xml:space="preserve">, </w:t>
      </w:r>
      <w:r w:rsidR="00D30BA3" w:rsidRPr="00D30BA3">
        <w:rPr>
          <w:rFonts w:ascii="Times New Roman" w:hAnsi="Times New Roman" w:cs="Times New Roman"/>
          <w:i/>
          <w:iCs/>
          <w:sz w:val="24"/>
          <w:szCs w:val="24"/>
          <w:u w:val="single"/>
        </w:rPr>
        <w:t>ar kopējo abu pozīciju kopsummu – 1089 m</w:t>
      </w:r>
      <w:r w:rsidR="00D30BA3" w:rsidRPr="00D30BA3">
        <w:rPr>
          <w:rFonts w:ascii="Times New Roman" w:hAnsi="Times New Roman" w:cs="Times New Roman"/>
          <w:i/>
          <w:iCs/>
          <w:sz w:val="24"/>
          <w:szCs w:val="24"/>
          <w:u w:val="single"/>
          <w:vertAlign w:val="superscript"/>
        </w:rPr>
        <w:t>2</w:t>
      </w:r>
      <w:r w:rsidR="00D30BA3" w:rsidRPr="00D30BA3">
        <w:rPr>
          <w:rFonts w:ascii="Times New Roman" w:hAnsi="Times New Roman" w:cs="Times New Roman"/>
          <w:b/>
          <w:bCs/>
          <w:i/>
          <w:iCs/>
          <w:sz w:val="24"/>
          <w:szCs w:val="24"/>
        </w:rPr>
        <w:t>.</w:t>
      </w:r>
      <w:r w:rsidR="00D30BA3" w:rsidRPr="00D30BA3">
        <w:rPr>
          <w:rFonts w:ascii="Times New Roman" w:hAnsi="Times New Roman" w:cs="Times New Roman"/>
          <w:i/>
          <w:iCs/>
          <w:sz w:val="24"/>
          <w:szCs w:val="24"/>
        </w:rPr>
        <w:t xml:space="preserve"> </w:t>
      </w:r>
    </w:p>
    <w:p w14:paraId="5E1DE40E" w14:textId="22996870" w:rsidR="00D30BA3" w:rsidRDefault="00D30BA3" w:rsidP="00D30BA3">
      <w:pPr>
        <w:pStyle w:val="ListParagraph"/>
        <w:ind w:left="0"/>
        <w:jc w:val="both"/>
        <w:rPr>
          <w:rFonts w:ascii="Times New Roman" w:hAnsi="Times New Roman" w:cs="Times New Roman"/>
          <w:i/>
          <w:iCs/>
          <w:sz w:val="24"/>
          <w:szCs w:val="24"/>
        </w:rPr>
      </w:pPr>
      <w:r w:rsidRPr="00D30BA3">
        <w:rPr>
          <w:rFonts w:ascii="Times New Roman" w:hAnsi="Times New Roman" w:cs="Times New Roman"/>
          <w:i/>
          <w:iCs/>
          <w:sz w:val="24"/>
          <w:szCs w:val="24"/>
        </w:rPr>
        <w:t xml:space="preserve">Ņemot vērā augstāk minēto, lūdzam Pasūtītāju precizēt </w:t>
      </w:r>
      <w:r w:rsidRPr="00D30BA3">
        <w:rPr>
          <w:rFonts w:ascii="Times New Roman" w:hAnsi="Times New Roman" w:cs="Times New Roman"/>
          <w:b/>
          <w:bCs/>
          <w:i/>
          <w:iCs/>
          <w:sz w:val="24"/>
          <w:szCs w:val="24"/>
        </w:rPr>
        <w:t>Darbu daudzuma pozīcijas nr. 99</w:t>
      </w:r>
      <w:r w:rsidRPr="00D30BA3">
        <w:rPr>
          <w:rFonts w:ascii="Times New Roman" w:hAnsi="Times New Roman" w:cs="Times New Roman"/>
          <w:i/>
          <w:iCs/>
          <w:sz w:val="24"/>
          <w:szCs w:val="24"/>
        </w:rPr>
        <w:t xml:space="preserve"> apjomu vai norādīt izvērstu atšifrējumu šai pozīcijai.</w:t>
      </w:r>
    </w:p>
    <w:p w14:paraId="724859D1" w14:textId="5CAA8B8E" w:rsidR="00D30BA3" w:rsidRDefault="00D30BA3" w:rsidP="00D30BA3">
      <w:pPr>
        <w:pStyle w:val="ListParagraph"/>
        <w:ind w:left="0"/>
        <w:jc w:val="both"/>
        <w:rPr>
          <w:rFonts w:ascii="Times New Roman" w:hAnsi="Times New Roman" w:cs="Times New Roman"/>
          <w:i/>
          <w:iCs/>
          <w:sz w:val="24"/>
          <w:szCs w:val="24"/>
        </w:rPr>
      </w:pPr>
    </w:p>
    <w:p w14:paraId="3BC2D6F6" w14:textId="0E27E305" w:rsidR="00D30BA3" w:rsidRPr="00D30BA3" w:rsidRDefault="00D30BA3" w:rsidP="00D30BA3">
      <w:pPr>
        <w:pStyle w:val="ListParagraph"/>
        <w:ind w:left="0"/>
        <w:jc w:val="both"/>
        <w:rPr>
          <w:rFonts w:ascii="Times New Roman" w:hAnsi="Times New Roman" w:cs="Times New Roman"/>
          <w:sz w:val="24"/>
          <w:szCs w:val="24"/>
        </w:rPr>
      </w:pPr>
      <w:r w:rsidRPr="00D30BA3">
        <w:rPr>
          <w:rFonts w:ascii="Times New Roman" w:hAnsi="Times New Roman" w:cs="Times New Roman"/>
          <w:sz w:val="24"/>
          <w:szCs w:val="24"/>
        </w:rPr>
        <w:t xml:space="preserve">Atbilde: paskaidrojam, ka ar Lokālajā tāmē Nr.1. pozīcijā Nr.99 norādīto materiālu paredzēts </w:t>
      </w:r>
      <w:proofErr w:type="spellStart"/>
      <w:r w:rsidRPr="00D30BA3">
        <w:rPr>
          <w:rFonts w:ascii="Times New Roman" w:hAnsi="Times New Roman" w:cs="Times New Roman"/>
          <w:sz w:val="24"/>
          <w:szCs w:val="24"/>
        </w:rPr>
        <w:t>šuvot</w:t>
      </w:r>
      <w:proofErr w:type="spellEnd"/>
      <w:r w:rsidR="008400B1">
        <w:rPr>
          <w:rFonts w:ascii="Times New Roman" w:hAnsi="Times New Roman" w:cs="Times New Roman"/>
          <w:sz w:val="24"/>
          <w:szCs w:val="24"/>
        </w:rPr>
        <w:t xml:space="preserve"> tikai</w:t>
      </w:r>
      <w:r w:rsidRPr="00D30BA3">
        <w:rPr>
          <w:rFonts w:ascii="Times New Roman" w:hAnsi="Times New Roman" w:cs="Times New Roman"/>
          <w:sz w:val="24"/>
          <w:szCs w:val="24"/>
        </w:rPr>
        <w:t xml:space="preserve"> Lokālajā tāmē Nr.1. pozīcijā Nr.57 izbūvēto kalto akmens bruģi pieturvietu pārbūves zonās. </w:t>
      </w:r>
    </w:p>
    <w:p w14:paraId="3CBD6818" w14:textId="77D17171" w:rsidR="00D30BA3" w:rsidRPr="00D30BA3" w:rsidRDefault="00D30BA3" w:rsidP="00D30BA3">
      <w:pPr>
        <w:pStyle w:val="ListParagraph"/>
        <w:ind w:left="0"/>
        <w:jc w:val="both"/>
        <w:rPr>
          <w:rFonts w:ascii="Times New Roman" w:hAnsi="Times New Roman" w:cs="Times New Roman"/>
          <w:sz w:val="24"/>
          <w:szCs w:val="24"/>
        </w:rPr>
      </w:pPr>
      <w:r w:rsidRPr="00D30BA3">
        <w:rPr>
          <w:rFonts w:ascii="Times New Roman" w:hAnsi="Times New Roman" w:cs="Times New Roman"/>
          <w:sz w:val="24"/>
          <w:szCs w:val="24"/>
        </w:rPr>
        <w:t xml:space="preserve">Lokālajā tāmē Nr.1. pozīcijā Nr.Nr.59 izbūvējamo betona bruģi nav paredzēts </w:t>
      </w:r>
      <w:proofErr w:type="spellStart"/>
      <w:r w:rsidRPr="00D30BA3">
        <w:rPr>
          <w:rFonts w:ascii="Times New Roman" w:hAnsi="Times New Roman" w:cs="Times New Roman"/>
          <w:sz w:val="24"/>
          <w:szCs w:val="24"/>
        </w:rPr>
        <w:t>šuvot</w:t>
      </w:r>
      <w:proofErr w:type="spellEnd"/>
      <w:r w:rsidRPr="00D30BA3">
        <w:rPr>
          <w:rFonts w:ascii="Times New Roman" w:hAnsi="Times New Roman" w:cs="Times New Roman"/>
          <w:sz w:val="24"/>
          <w:szCs w:val="24"/>
        </w:rPr>
        <w:t xml:space="preserve"> ar šo materiālu. </w:t>
      </w:r>
    </w:p>
    <w:p w14:paraId="494F3A8F" w14:textId="15FDE9A3" w:rsidR="00D30BA3" w:rsidRPr="00D30BA3" w:rsidRDefault="00D30BA3" w:rsidP="00D30BA3">
      <w:pPr>
        <w:pStyle w:val="ListParagraph"/>
        <w:ind w:left="0"/>
        <w:jc w:val="both"/>
        <w:rPr>
          <w:rFonts w:ascii="Times New Roman" w:hAnsi="Times New Roman" w:cs="Times New Roman"/>
          <w:sz w:val="24"/>
          <w:szCs w:val="24"/>
        </w:rPr>
      </w:pPr>
      <w:r w:rsidRPr="00D30BA3">
        <w:rPr>
          <w:rFonts w:ascii="Times New Roman" w:hAnsi="Times New Roman" w:cs="Times New Roman"/>
          <w:sz w:val="24"/>
          <w:szCs w:val="24"/>
        </w:rPr>
        <w:t>Papildus vēršam uzmanību, ka</w:t>
      </w:r>
      <w:r>
        <w:rPr>
          <w:rFonts w:ascii="Times New Roman" w:hAnsi="Times New Roman" w:cs="Times New Roman"/>
          <w:sz w:val="24"/>
          <w:szCs w:val="24"/>
        </w:rPr>
        <w:t xml:space="preserve"> </w:t>
      </w:r>
      <w:r w:rsidRPr="00D30BA3">
        <w:rPr>
          <w:rFonts w:ascii="Times New Roman" w:hAnsi="Times New Roman" w:cs="Times New Roman"/>
          <w:sz w:val="24"/>
          <w:szCs w:val="24"/>
        </w:rPr>
        <w:t xml:space="preserve"> Lokāl</w:t>
      </w:r>
      <w:r>
        <w:rPr>
          <w:rFonts w:ascii="Times New Roman" w:hAnsi="Times New Roman" w:cs="Times New Roman"/>
          <w:sz w:val="24"/>
          <w:szCs w:val="24"/>
        </w:rPr>
        <w:t>ās</w:t>
      </w:r>
      <w:r w:rsidRPr="00D30BA3">
        <w:rPr>
          <w:rFonts w:ascii="Times New Roman" w:hAnsi="Times New Roman" w:cs="Times New Roman"/>
          <w:sz w:val="24"/>
          <w:szCs w:val="24"/>
        </w:rPr>
        <w:t xml:space="preserve"> tām</w:t>
      </w:r>
      <w:r>
        <w:rPr>
          <w:rFonts w:ascii="Times New Roman" w:hAnsi="Times New Roman" w:cs="Times New Roman"/>
          <w:sz w:val="24"/>
          <w:szCs w:val="24"/>
        </w:rPr>
        <w:t>es</w:t>
      </w:r>
      <w:r w:rsidRPr="00D30BA3">
        <w:rPr>
          <w:rFonts w:ascii="Times New Roman" w:hAnsi="Times New Roman" w:cs="Times New Roman"/>
          <w:sz w:val="24"/>
          <w:szCs w:val="24"/>
        </w:rPr>
        <w:t xml:space="preserve"> Nr.1 pozīcijas Nr.94 izmaksās arī ir jāiekļauj </w:t>
      </w:r>
      <w:proofErr w:type="spellStart"/>
      <w:r w:rsidRPr="00D30BA3">
        <w:rPr>
          <w:rFonts w:ascii="Times New Roman" w:hAnsi="Times New Roman" w:cs="Times New Roman"/>
          <w:sz w:val="24"/>
          <w:szCs w:val="24"/>
        </w:rPr>
        <w:t>šuvotāja</w:t>
      </w:r>
      <w:proofErr w:type="spellEnd"/>
      <w:r w:rsidRPr="00D30BA3">
        <w:rPr>
          <w:rFonts w:ascii="Times New Roman" w:hAnsi="Times New Roman" w:cs="Times New Roman"/>
          <w:sz w:val="24"/>
          <w:szCs w:val="24"/>
        </w:rPr>
        <w:t xml:space="preserve"> Indrucret-VK2000 vai analoga materiāla un izbūves izmaksas, jo šajā vietā, laukumā pie Nacionālā teātra, tas ir iepriekš izbūvēts. Tas ir paredzēts šīs pozīcijas darba veida aprakstā.</w:t>
      </w:r>
    </w:p>
    <w:p w14:paraId="2A0706F9" w14:textId="356733E1" w:rsidR="00D30BA3" w:rsidRDefault="00D30BA3" w:rsidP="00D30BA3">
      <w:pPr>
        <w:jc w:val="both"/>
        <w:rPr>
          <w:rFonts w:eastAsiaTheme="minorHAnsi"/>
          <w:color w:val="0563C1" w:themeColor="hyperlink"/>
          <w:u w:val="single"/>
          <w:lang w:val="lv-LV"/>
        </w:rPr>
      </w:pPr>
      <w:r>
        <w:rPr>
          <w:lang w:val="lv-LV"/>
        </w:rPr>
        <w:t>Papildus norādām, ka nolikumā ir veikt</w:t>
      </w:r>
      <w:r w:rsidR="00ED25C5">
        <w:rPr>
          <w:lang w:val="lv-LV"/>
        </w:rPr>
        <w:t>i</w:t>
      </w:r>
      <w:r>
        <w:rPr>
          <w:lang w:val="lv-LV"/>
        </w:rPr>
        <w:t xml:space="preserve"> grozījumi. </w:t>
      </w:r>
      <w:r w:rsidRPr="00052CD7">
        <w:rPr>
          <w:lang w:val="lv-LV"/>
        </w:rPr>
        <w:t xml:space="preserve">Lūdzam sekot informācijai </w:t>
      </w:r>
      <w:r w:rsidRPr="00052CD7">
        <w:rPr>
          <w:rFonts w:eastAsiaTheme="minorHAnsi"/>
          <w:lang w:val="lv-LV"/>
        </w:rPr>
        <w:t xml:space="preserve">tīmekļa vietnēs </w:t>
      </w:r>
      <w:hyperlink r:id="rId12" w:history="1">
        <w:r w:rsidRPr="00052CD7">
          <w:rPr>
            <w:rFonts w:eastAsiaTheme="minorHAnsi"/>
            <w:color w:val="0563C1"/>
            <w:u w:val="single"/>
            <w:lang w:val="lv-LV"/>
          </w:rPr>
          <w:t>www.eis.gov.lv</w:t>
        </w:r>
      </w:hyperlink>
      <w:r w:rsidRPr="00052CD7">
        <w:rPr>
          <w:rFonts w:eastAsiaTheme="minorHAnsi"/>
          <w:lang w:val="lv-LV"/>
        </w:rPr>
        <w:t xml:space="preserve"> un </w:t>
      </w:r>
      <w:hyperlink r:id="rId13" w:history="1">
        <w:r w:rsidRPr="00052CD7">
          <w:rPr>
            <w:rFonts w:eastAsiaTheme="minorHAnsi"/>
            <w:color w:val="0563C1" w:themeColor="hyperlink"/>
            <w:u w:val="single"/>
            <w:lang w:val="lv-LV"/>
          </w:rPr>
          <w:t>www.rigassatiksme.lv</w:t>
        </w:r>
      </w:hyperlink>
      <w:r w:rsidRPr="00052CD7">
        <w:rPr>
          <w:rFonts w:eastAsiaTheme="minorHAnsi"/>
          <w:color w:val="0563C1" w:themeColor="hyperlink"/>
          <w:u w:val="single"/>
          <w:lang w:val="lv-LV"/>
        </w:rPr>
        <w:t>.</w:t>
      </w:r>
    </w:p>
    <w:p w14:paraId="42744E71" w14:textId="19B46650" w:rsidR="008100AA" w:rsidRPr="00D30BA3" w:rsidRDefault="008100AA" w:rsidP="008100AA">
      <w:pPr>
        <w:spacing w:after="200" w:line="276" w:lineRule="auto"/>
        <w:contextualSpacing/>
        <w:jc w:val="both"/>
        <w:rPr>
          <w:lang w:val="lv-LV"/>
        </w:rPr>
      </w:pPr>
    </w:p>
    <w:p w14:paraId="1D66CC01" w14:textId="77777777" w:rsidR="00D30BA3" w:rsidRDefault="00D30BA3" w:rsidP="00D05646">
      <w:pPr>
        <w:jc w:val="both"/>
        <w:rPr>
          <w:lang w:val="lv-LV"/>
        </w:rPr>
      </w:pPr>
    </w:p>
    <w:p w14:paraId="6DC7F72A" w14:textId="77777777" w:rsidR="00D30BA3" w:rsidRPr="00D30BA3" w:rsidRDefault="008100AA" w:rsidP="00D30BA3">
      <w:pPr>
        <w:pStyle w:val="ListParagraph"/>
        <w:ind w:left="0"/>
        <w:contextualSpacing/>
        <w:jc w:val="both"/>
        <w:rPr>
          <w:rFonts w:ascii="Times New Roman" w:eastAsia="Calibri" w:hAnsi="Times New Roman" w:cs="Times New Roman"/>
          <w:i/>
          <w:iCs/>
          <w:sz w:val="24"/>
          <w:szCs w:val="24"/>
        </w:rPr>
      </w:pPr>
      <w:r w:rsidRPr="00D30BA3">
        <w:rPr>
          <w:rFonts w:ascii="Times New Roman" w:hAnsi="Times New Roman" w:cs="Times New Roman"/>
          <w:i/>
          <w:iCs/>
          <w:sz w:val="24"/>
          <w:szCs w:val="24"/>
        </w:rPr>
        <w:t xml:space="preserve">2.jautājums: </w:t>
      </w:r>
      <w:r w:rsidR="00D30BA3" w:rsidRPr="00D30BA3">
        <w:rPr>
          <w:rFonts w:ascii="Times New Roman" w:eastAsia="Calibri" w:hAnsi="Times New Roman" w:cs="Times New Roman"/>
          <w:i/>
          <w:iCs/>
          <w:sz w:val="24"/>
          <w:szCs w:val="24"/>
        </w:rPr>
        <w:t xml:space="preserve">Par Pasūtītāja sniegto atbildes skaidrojumu 18.01.2022. uz 1 jautājumu. Atbilde: elektrības </w:t>
      </w:r>
      <w:proofErr w:type="spellStart"/>
      <w:r w:rsidR="00D30BA3" w:rsidRPr="00D30BA3">
        <w:rPr>
          <w:rFonts w:ascii="Times New Roman" w:eastAsia="Calibri" w:hAnsi="Times New Roman" w:cs="Times New Roman"/>
          <w:i/>
          <w:iCs/>
          <w:sz w:val="24"/>
          <w:szCs w:val="24"/>
        </w:rPr>
        <w:t>pieslēgumi</w:t>
      </w:r>
      <w:proofErr w:type="spellEnd"/>
      <w:r w:rsidR="00D30BA3" w:rsidRPr="00D30BA3">
        <w:rPr>
          <w:rFonts w:ascii="Times New Roman" w:eastAsia="Calibri" w:hAnsi="Times New Roman" w:cs="Times New Roman"/>
          <w:i/>
          <w:iCs/>
          <w:sz w:val="24"/>
          <w:szCs w:val="24"/>
        </w:rPr>
        <w:t xml:space="preserve"> ir jāpārbūvē tikai tiem reklāmas stendiem, kuriem esošajā situācijā jau ir gaisvadu elektrības </w:t>
      </w:r>
      <w:proofErr w:type="spellStart"/>
      <w:r w:rsidR="00D30BA3" w:rsidRPr="00D30BA3">
        <w:rPr>
          <w:rFonts w:ascii="Times New Roman" w:eastAsia="Calibri" w:hAnsi="Times New Roman" w:cs="Times New Roman"/>
          <w:i/>
          <w:iCs/>
          <w:sz w:val="24"/>
          <w:szCs w:val="24"/>
        </w:rPr>
        <w:t>pieslēgums</w:t>
      </w:r>
      <w:proofErr w:type="spellEnd"/>
      <w:r w:rsidR="00D30BA3" w:rsidRPr="00D30BA3">
        <w:rPr>
          <w:rFonts w:ascii="Times New Roman" w:eastAsia="Calibri" w:hAnsi="Times New Roman" w:cs="Times New Roman"/>
          <w:i/>
          <w:iCs/>
          <w:sz w:val="24"/>
          <w:szCs w:val="24"/>
        </w:rPr>
        <w:t xml:space="preserve">. Saskaņā ar projekta risinājumu, gaisvadus plānots demontēt un elektrības </w:t>
      </w:r>
      <w:proofErr w:type="spellStart"/>
      <w:r w:rsidR="00D30BA3" w:rsidRPr="00D30BA3">
        <w:rPr>
          <w:rFonts w:ascii="Times New Roman" w:eastAsia="Calibri" w:hAnsi="Times New Roman" w:cs="Times New Roman"/>
          <w:i/>
          <w:iCs/>
          <w:sz w:val="24"/>
          <w:szCs w:val="24"/>
        </w:rPr>
        <w:t>pieslēgumu</w:t>
      </w:r>
      <w:proofErr w:type="spellEnd"/>
      <w:r w:rsidR="00D30BA3" w:rsidRPr="00D30BA3">
        <w:rPr>
          <w:rFonts w:ascii="Times New Roman" w:eastAsia="Calibri" w:hAnsi="Times New Roman" w:cs="Times New Roman"/>
          <w:i/>
          <w:iCs/>
          <w:sz w:val="24"/>
          <w:szCs w:val="24"/>
        </w:rPr>
        <w:t xml:space="preserve"> paredzēts nodrošināt no tuvākā projektētā kontakttīkla balsta, izbūvējot jaunu kabeli. Materiālu un darbu apjomi pārslēgšanai ir doti būvprojekta ELT2 daļā, lokālā tāmē Nr.5, </w:t>
      </w:r>
      <w:r w:rsidR="00D30BA3" w:rsidRPr="00D30BA3">
        <w:rPr>
          <w:rFonts w:ascii="Times New Roman" w:eastAsia="Calibri" w:hAnsi="Times New Roman" w:cs="Times New Roman"/>
          <w:i/>
          <w:iCs/>
          <w:sz w:val="24"/>
          <w:szCs w:val="24"/>
        </w:rPr>
        <w:lastRenderedPageBreak/>
        <w:t>pozīcija 109. Kabeļu pievadi no balsta līdz reklāmas stendam ir attēloti arī būvprojekta ģenerālplāna un ELT2 daļas plāna rasējumos un apgaismojuma tīklu shēmās, rasējumos ELT2-11 un ELT2-12.</w:t>
      </w:r>
    </w:p>
    <w:p w14:paraId="6AFAAA79" w14:textId="77777777" w:rsidR="00D30BA3" w:rsidRPr="00D30BA3" w:rsidRDefault="00D30BA3" w:rsidP="00D30BA3">
      <w:pPr>
        <w:contextualSpacing/>
        <w:jc w:val="both"/>
        <w:rPr>
          <w:rFonts w:eastAsia="Calibri"/>
          <w:i/>
          <w:iCs/>
          <w:lang w:val="lv-LV"/>
        </w:rPr>
      </w:pPr>
      <w:r w:rsidRPr="00D30BA3">
        <w:rPr>
          <w:rFonts w:eastAsia="Calibri"/>
          <w:i/>
          <w:iCs/>
          <w:lang w:val="lv-LV"/>
        </w:rPr>
        <w:t xml:space="preserve">Norādām, ka ELT2 daļā, </w:t>
      </w:r>
      <w:r w:rsidRPr="00D30BA3">
        <w:rPr>
          <w:rFonts w:eastAsia="Calibri"/>
          <w:i/>
          <w:iCs/>
          <w:u w:val="single"/>
          <w:lang w:val="lv-LV"/>
        </w:rPr>
        <w:t>5.pielikums lokālā tāme</w:t>
      </w:r>
      <w:r w:rsidRPr="00D30BA3">
        <w:rPr>
          <w:rFonts w:eastAsia="Calibri"/>
          <w:i/>
          <w:iCs/>
          <w:lang w:val="lv-LV"/>
        </w:rPr>
        <w:t xml:space="preserve">, </w:t>
      </w:r>
      <w:r w:rsidRPr="00D30BA3">
        <w:rPr>
          <w:rFonts w:eastAsia="Calibri"/>
          <w:b/>
          <w:bCs/>
          <w:i/>
          <w:iCs/>
          <w:lang w:val="lv-LV"/>
        </w:rPr>
        <w:t>Darbu daudzuma pozīcijā nr. Nr. 109</w:t>
      </w:r>
      <w:r w:rsidRPr="00D30BA3">
        <w:rPr>
          <w:rFonts w:eastAsia="Calibri"/>
          <w:i/>
          <w:iCs/>
          <w:lang w:val="lv-LV"/>
        </w:rPr>
        <w:t xml:space="preserve"> mērvienība ir norādīta “gabalos”, savukārt, Pasūtītāja sniegtajos projekta rasējumos ir redzams, ka darbu un materiālu apjoms katrai vietai ir atšķirīgs, līdz ar to nevar uzskatīt, ka izmaksas visās vietās būs vienādas un ir iespējams pielietot mērvienību “gabals”. </w:t>
      </w:r>
    </w:p>
    <w:p w14:paraId="2D6AD9E5" w14:textId="77777777" w:rsidR="00D30BA3" w:rsidRPr="00D30BA3" w:rsidRDefault="00D30BA3" w:rsidP="00D30BA3">
      <w:pPr>
        <w:contextualSpacing/>
        <w:jc w:val="both"/>
        <w:rPr>
          <w:rFonts w:eastAsia="Calibri"/>
          <w:i/>
          <w:iCs/>
          <w:lang w:val="lv-LV"/>
        </w:rPr>
      </w:pPr>
      <w:r w:rsidRPr="00D30BA3">
        <w:rPr>
          <w:rFonts w:eastAsia="Calibri"/>
          <w:i/>
          <w:iCs/>
          <w:lang w:val="lv-LV"/>
        </w:rPr>
        <w:t>Lai nodrošinātu, ka Pretendentu sniegtie piedāvājumi būtu savstarpēji salīdzināmi, lūdzam Pasūtītāju specifikācijā izdalīt katrā vietā veicamo darbu un materiālu apjomus – kabelis (m), skaitītājs (gab.), caurule (m), drošinātājs (gab.), u.tml.. Reklāmas stendu pieslēgšanai ir paredzēts uzstādīt elektroenerģijas skaitītāju apgaismojuma balstā Nr. L5; L49; L52; L71; L79. Lūdzu apstiprināt, ka tehniski tas ir iespējams.</w:t>
      </w:r>
    </w:p>
    <w:p w14:paraId="08622C08" w14:textId="77777777" w:rsidR="00D30BA3" w:rsidRDefault="00D30BA3" w:rsidP="00D30BA3">
      <w:pPr>
        <w:contextualSpacing/>
        <w:jc w:val="both"/>
        <w:rPr>
          <w:rFonts w:eastAsia="Calibri"/>
          <w:i/>
          <w:iCs/>
          <w:color w:val="FF0000"/>
          <w:lang w:val="lv-LV"/>
        </w:rPr>
      </w:pPr>
    </w:p>
    <w:p w14:paraId="7735FC6E" w14:textId="6AD68276" w:rsidR="00D30BA3" w:rsidRPr="00D30BA3" w:rsidRDefault="00D30BA3" w:rsidP="00D30BA3">
      <w:pPr>
        <w:contextualSpacing/>
        <w:jc w:val="both"/>
        <w:rPr>
          <w:rFonts w:eastAsia="Calibri"/>
          <w:lang w:val="lv-LV"/>
        </w:rPr>
      </w:pPr>
      <w:r w:rsidRPr="00D30BA3">
        <w:rPr>
          <w:rFonts w:eastAsia="Calibri"/>
          <w:lang w:val="lv-LV"/>
        </w:rPr>
        <w:t xml:space="preserve">Atbilde: </w:t>
      </w:r>
      <w:r w:rsidR="00B17249">
        <w:rPr>
          <w:rFonts w:eastAsia="Calibri"/>
          <w:lang w:val="lv-LV"/>
        </w:rPr>
        <w:t>paskaidrojam, ka m</w:t>
      </w:r>
      <w:r w:rsidRPr="00D30BA3">
        <w:rPr>
          <w:rFonts w:eastAsia="Calibri"/>
          <w:lang w:val="lv-LV"/>
        </w:rPr>
        <w:t>ateriāli, kas nepieciešami stendu pārslēgšanai ir iekļauti pārējās ELT2 daļas lokālās tāmes</w:t>
      </w:r>
      <w:r w:rsidR="00B17249">
        <w:rPr>
          <w:rFonts w:eastAsia="Calibri"/>
          <w:lang w:val="lv-LV"/>
        </w:rPr>
        <w:t xml:space="preserve"> Nr.5 </w:t>
      </w:r>
      <w:r w:rsidRPr="00D30BA3">
        <w:rPr>
          <w:rFonts w:eastAsia="Calibri"/>
          <w:lang w:val="lv-LV"/>
        </w:rPr>
        <w:t xml:space="preserve"> pozīcijās, piemēram, 78.pozīcija – caurules, 84.pozīcija – kabelis, 92.pozīcija – drošinātājs un skaitītājs. </w:t>
      </w:r>
      <w:r>
        <w:rPr>
          <w:rFonts w:eastAsia="Calibri"/>
          <w:lang w:val="lv-LV"/>
        </w:rPr>
        <w:t>Lokālās tāmes</w:t>
      </w:r>
      <w:r w:rsidR="00B17249">
        <w:rPr>
          <w:rFonts w:eastAsia="Calibri"/>
          <w:lang w:val="lv-LV"/>
        </w:rPr>
        <w:t xml:space="preserve"> Nr.5</w:t>
      </w:r>
      <w:r>
        <w:rPr>
          <w:rFonts w:eastAsia="Calibri"/>
          <w:lang w:val="lv-LV"/>
        </w:rPr>
        <w:t xml:space="preserve"> </w:t>
      </w:r>
      <w:r w:rsidRPr="00D30BA3">
        <w:rPr>
          <w:rFonts w:eastAsia="Calibri"/>
          <w:lang w:val="lv-LV"/>
        </w:rPr>
        <w:t>Pozīcijā Nr.109 jāiekļauj darbi un izmaksas, kas saistīti tieši ar pārslēgšanas veikšanu, kad atbilstoši plāna rasējumiem un shēmai, visi nepieciešamie materiāli jau ir izbūvēti. Apstiprinām, ka skaitītājam ir vieta kontakttīkla balstā.</w:t>
      </w:r>
    </w:p>
    <w:p w14:paraId="6D220AC9" w14:textId="77777777" w:rsidR="00D30BA3" w:rsidRPr="00D30BA3" w:rsidRDefault="00D30BA3" w:rsidP="00D30BA3">
      <w:pPr>
        <w:jc w:val="both"/>
        <w:rPr>
          <w:rFonts w:eastAsia="Calibri"/>
          <w:lang w:val="lv-LV"/>
        </w:rPr>
      </w:pPr>
    </w:p>
    <w:p w14:paraId="1AF555C8" w14:textId="2616E19E" w:rsidR="0060780C" w:rsidRDefault="0060780C" w:rsidP="008100AA">
      <w:pPr>
        <w:jc w:val="both"/>
        <w:rPr>
          <w:lang w:val="lv-LV"/>
        </w:rPr>
      </w:pPr>
    </w:p>
    <w:p w14:paraId="4FD1F50E" w14:textId="0BDEA597" w:rsidR="00B17249" w:rsidRDefault="00F00E4E" w:rsidP="00B17249">
      <w:pPr>
        <w:jc w:val="both"/>
        <w:rPr>
          <w:bCs/>
          <w:i/>
          <w:iCs/>
          <w:lang w:val="lv-LV"/>
        </w:rPr>
      </w:pPr>
      <w:r w:rsidRPr="00B17249">
        <w:rPr>
          <w:i/>
          <w:iCs/>
          <w:color w:val="000000"/>
          <w:lang w:val="lv-LV" w:eastAsia="lv-LV"/>
        </w:rPr>
        <w:t>3</w:t>
      </w:r>
      <w:r w:rsidR="00B17249" w:rsidRPr="00B17249">
        <w:rPr>
          <w:i/>
          <w:iCs/>
          <w:color w:val="000000"/>
          <w:lang w:val="lv-LV" w:eastAsia="lv-LV"/>
        </w:rPr>
        <w:t xml:space="preserve">.jautājums </w:t>
      </w:r>
      <w:r w:rsidR="00B17249" w:rsidRPr="00B17249">
        <w:rPr>
          <w:bCs/>
          <w:i/>
          <w:iCs/>
          <w:u w:val="single"/>
          <w:lang w:val="lv-LV"/>
        </w:rPr>
        <w:t>5.pielikums lokālā tāme</w:t>
      </w:r>
      <w:r w:rsidR="00B17249" w:rsidRPr="00B17249">
        <w:rPr>
          <w:bCs/>
          <w:i/>
          <w:iCs/>
          <w:lang w:val="lv-LV"/>
        </w:rPr>
        <w:t xml:space="preserve">, lokālo tāmi nr. 1 (Sagatavošanās darbi, sliežu ceļi, pieturvietas, satiksmes organizācija, labiekārtojums) </w:t>
      </w:r>
      <w:r w:rsidR="00B17249" w:rsidRPr="00B17249">
        <w:rPr>
          <w:b/>
          <w:i/>
          <w:iCs/>
          <w:lang w:val="lv-LV"/>
        </w:rPr>
        <w:t>Darbu daudzuma pozīcija nr. 108</w:t>
      </w:r>
      <w:r w:rsidR="00B17249" w:rsidRPr="00B17249">
        <w:rPr>
          <w:bCs/>
          <w:i/>
          <w:iCs/>
          <w:lang w:val="lv-LV"/>
        </w:rPr>
        <w:t xml:space="preserve"> (Esošo ēku ieejas </w:t>
      </w:r>
      <w:proofErr w:type="spellStart"/>
      <w:r w:rsidR="00B17249" w:rsidRPr="00B17249">
        <w:rPr>
          <w:bCs/>
          <w:i/>
          <w:iCs/>
          <w:lang w:val="lv-LV"/>
        </w:rPr>
        <w:t>pandusu</w:t>
      </w:r>
      <w:proofErr w:type="spellEnd"/>
      <w:r w:rsidR="00B17249" w:rsidRPr="00B17249">
        <w:rPr>
          <w:bCs/>
          <w:i/>
          <w:iCs/>
          <w:lang w:val="lv-LV"/>
        </w:rPr>
        <w:t xml:space="preserve"> vai pakāpienu demontāža, līmeņošana vai pārbūve, pielāgojot projektētajam ietves seguma līmenim (apjoms precizējams būvdarbu laikā)) un </w:t>
      </w:r>
      <w:r w:rsidR="00B17249" w:rsidRPr="00B17249">
        <w:rPr>
          <w:b/>
          <w:i/>
          <w:iCs/>
          <w:lang w:val="lv-LV"/>
        </w:rPr>
        <w:t>Darbu daudzuma pozīcija nr. 109</w:t>
      </w:r>
      <w:r w:rsidR="00B17249" w:rsidRPr="00B17249">
        <w:rPr>
          <w:bCs/>
          <w:i/>
          <w:iCs/>
          <w:lang w:val="lv-LV"/>
        </w:rPr>
        <w:t xml:space="preserve"> (Esošo ēku ieejas </w:t>
      </w:r>
      <w:proofErr w:type="spellStart"/>
      <w:r w:rsidR="00B17249" w:rsidRPr="00B17249">
        <w:rPr>
          <w:bCs/>
          <w:i/>
          <w:iCs/>
          <w:lang w:val="lv-LV"/>
        </w:rPr>
        <w:t>pandusu</w:t>
      </w:r>
      <w:proofErr w:type="spellEnd"/>
      <w:r w:rsidR="00B17249" w:rsidRPr="00B17249">
        <w:rPr>
          <w:bCs/>
          <w:i/>
          <w:iCs/>
          <w:lang w:val="lv-LV"/>
        </w:rPr>
        <w:t xml:space="preserve"> vai pakāpienu demontāža, līmeņošana vai pārbūve, pielāgojot projektētajam ietves seguma līmenim (apjoms precizējams būvdarbu laikā)). Lūdzam Pasūtītāju skaidrot šo abu minēto pozīcijas atšķirību. </w:t>
      </w:r>
    </w:p>
    <w:p w14:paraId="778350CB" w14:textId="77777777" w:rsidR="00B17249" w:rsidRPr="00B17249" w:rsidRDefault="00B17249" w:rsidP="00B17249">
      <w:pPr>
        <w:jc w:val="both"/>
        <w:rPr>
          <w:bCs/>
          <w:i/>
          <w:iCs/>
          <w:lang w:val="lv-LV"/>
        </w:rPr>
      </w:pPr>
    </w:p>
    <w:p w14:paraId="2A82EE62" w14:textId="1BB2BC80" w:rsidR="00B17249" w:rsidRPr="00B17249" w:rsidRDefault="00B17249" w:rsidP="00B17249">
      <w:pPr>
        <w:jc w:val="both"/>
        <w:rPr>
          <w:rFonts w:eastAsiaTheme="minorHAnsi"/>
          <w:bCs/>
          <w:u w:val="single"/>
          <w:lang w:val="lv-LV"/>
        </w:rPr>
      </w:pPr>
      <w:r w:rsidRPr="00B17249">
        <w:rPr>
          <w:bCs/>
          <w:lang w:val="lv-LV"/>
        </w:rPr>
        <w:t xml:space="preserve">Atbilde: </w:t>
      </w:r>
      <w:bookmarkStart w:id="3" w:name="_Hlk93521651"/>
      <w:r w:rsidRPr="00B17249">
        <w:rPr>
          <w:bCs/>
          <w:lang w:val="lv-LV"/>
        </w:rPr>
        <w:t>informējam, ka nolikumā ir veikt</w:t>
      </w:r>
      <w:r w:rsidR="0038464D">
        <w:rPr>
          <w:bCs/>
          <w:lang w:val="lv-LV"/>
        </w:rPr>
        <w:t>i</w:t>
      </w:r>
      <w:r w:rsidRPr="00B17249">
        <w:rPr>
          <w:bCs/>
          <w:lang w:val="lv-LV"/>
        </w:rPr>
        <w:t xml:space="preserve"> grozījumi. Lūdzam sekot informācijai </w:t>
      </w:r>
      <w:r w:rsidRPr="00B17249">
        <w:rPr>
          <w:rFonts w:eastAsiaTheme="minorHAnsi"/>
          <w:bCs/>
          <w:lang w:val="lv-LV"/>
        </w:rPr>
        <w:t xml:space="preserve">tīmekļa vietnēs </w:t>
      </w:r>
      <w:hyperlink r:id="rId14" w:history="1">
        <w:r w:rsidRPr="00B17249">
          <w:rPr>
            <w:rFonts w:eastAsiaTheme="minorHAnsi"/>
            <w:bCs/>
            <w:u w:val="single"/>
            <w:lang w:val="lv-LV"/>
          </w:rPr>
          <w:t>www.eis.gov.lv</w:t>
        </w:r>
      </w:hyperlink>
      <w:r w:rsidRPr="00B17249">
        <w:rPr>
          <w:rFonts w:eastAsiaTheme="minorHAnsi"/>
          <w:bCs/>
          <w:lang w:val="lv-LV"/>
        </w:rPr>
        <w:t xml:space="preserve"> un </w:t>
      </w:r>
      <w:hyperlink r:id="rId15" w:history="1">
        <w:r w:rsidRPr="00B17249">
          <w:rPr>
            <w:rFonts w:eastAsiaTheme="minorHAnsi"/>
            <w:bCs/>
            <w:u w:val="single"/>
            <w:lang w:val="lv-LV"/>
          </w:rPr>
          <w:t>www.rigassatiksme.lv</w:t>
        </w:r>
      </w:hyperlink>
      <w:r w:rsidRPr="00B17249">
        <w:rPr>
          <w:rFonts w:eastAsiaTheme="minorHAnsi"/>
          <w:bCs/>
          <w:u w:val="single"/>
          <w:lang w:val="lv-LV"/>
        </w:rPr>
        <w:t>.</w:t>
      </w:r>
    </w:p>
    <w:bookmarkEnd w:id="3"/>
    <w:p w14:paraId="44B2EF81" w14:textId="7E414F0F" w:rsidR="00B17249" w:rsidRPr="00B17249" w:rsidRDefault="00B17249" w:rsidP="00B17249">
      <w:pPr>
        <w:jc w:val="both"/>
        <w:rPr>
          <w:bCs/>
          <w:i/>
          <w:iCs/>
          <w:color w:val="FF0000"/>
          <w:lang w:val="lv-LV"/>
        </w:rPr>
      </w:pPr>
    </w:p>
    <w:p w14:paraId="342FE79F" w14:textId="47A99550" w:rsidR="003657EF" w:rsidRPr="007272AD" w:rsidRDefault="003657EF" w:rsidP="00B17249">
      <w:pPr>
        <w:spacing w:after="200" w:line="276" w:lineRule="auto"/>
        <w:contextualSpacing/>
        <w:jc w:val="both"/>
        <w:rPr>
          <w:i/>
          <w:color w:val="FF0000"/>
          <w:lang w:val="lv-LV" w:eastAsia="lv-LV"/>
        </w:rPr>
      </w:pPr>
    </w:p>
    <w:p w14:paraId="71B3F8C8" w14:textId="62EECDCB" w:rsidR="00B17249" w:rsidRPr="00B17249" w:rsidRDefault="00B17249" w:rsidP="00B17249">
      <w:pPr>
        <w:jc w:val="both"/>
        <w:rPr>
          <w:bCs/>
          <w:i/>
          <w:iCs/>
          <w:lang w:val="lv-LV"/>
        </w:rPr>
      </w:pPr>
      <w:r w:rsidRPr="00B17249">
        <w:rPr>
          <w:bCs/>
          <w:i/>
          <w:iCs/>
          <w:lang w:val="lv-LV"/>
        </w:rPr>
        <w:t xml:space="preserve">4.jautājums: Lūdzam Pasūtītāju rast iespēju pagarināt piedāvājumu iesniegšanas termiņu vismaz par vienu kalendāro nedēļu, saistībā ar to, ka pēc iepirkuma izsludināšanas dienas kalendārā ir iekrituši garie svētki, kas sakrita ar daudzu uzņēmumu atvaļinājumu laiku, tādējādi kavējot savlaicīgu apakšuzņēmēju un materiālu piegādātāju cenu piedāvājumu saņemšanu un to apkopošanu, lai pēc tam Pasūtītājam sniegtu precīzu un konkurētspējīgu piedāvājumu. </w:t>
      </w:r>
    </w:p>
    <w:p w14:paraId="0254DA9E" w14:textId="77777777" w:rsidR="00B17249" w:rsidRDefault="00B17249" w:rsidP="003657EF">
      <w:pPr>
        <w:jc w:val="both"/>
        <w:rPr>
          <w:iCs/>
          <w:lang w:val="lv-LV" w:eastAsia="lv-LV"/>
        </w:rPr>
      </w:pPr>
    </w:p>
    <w:p w14:paraId="1E945675" w14:textId="533E01A6" w:rsidR="00B17249" w:rsidRPr="00B17249" w:rsidRDefault="00B17249" w:rsidP="00B17249">
      <w:pPr>
        <w:jc w:val="both"/>
        <w:rPr>
          <w:rFonts w:eastAsiaTheme="minorHAnsi"/>
          <w:bCs/>
          <w:u w:val="single"/>
          <w:lang w:val="lv-LV"/>
        </w:rPr>
      </w:pPr>
      <w:r>
        <w:rPr>
          <w:iCs/>
          <w:lang w:val="lv-LV" w:eastAsia="lv-LV"/>
        </w:rPr>
        <w:t xml:space="preserve">Atbilde: </w:t>
      </w:r>
      <w:r w:rsidRPr="00B17249">
        <w:rPr>
          <w:bCs/>
          <w:lang w:val="lv-LV"/>
        </w:rPr>
        <w:t>informējam, ka nolikumā ir veikt</w:t>
      </w:r>
      <w:r w:rsidR="00ED25C5">
        <w:rPr>
          <w:bCs/>
          <w:lang w:val="lv-LV"/>
        </w:rPr>
        <w:t>i</w:t>
      </w:r>
      <w:r w:rsidRPr="00B17249">
        <w:rPr>
          <w:bCs/>
          <w:lang w:val="lv-LV"/>
        </w:rPr>
        <w:t xml:space="preserve"> grozījumi. Lūdzam sekot informācijai </w:t>
      </w:r>
      <w:r w:rsidRPr="00B17249">
        <w:rPr>
          <w:rFonts w:eastAsiaTheme="minorHAnsi"/>
          <w:bCs/>
          <w:lang w:val="lv-LV"/>
        </w:rPr>
        <w:t xml:space="preserve">tīmekļa vietnēs </w:t>
      </w:r>
      <w:hyperlink r:id="rId16" w:history="1">
        <w:r w:rsidRPr="00B17249">
          <w:rPr>
            <w:rFonts w:eastAsiaTheme="minorHAnsi"/>
            <w:bCs/>
            <w:u w:val="single"/>
            <w:lang w:val="lv-LV"/>
          </w:rPr>
          <w:t>www.eis.gov.lv</w:t>
        </w:r>
      </w:hyperlink>
      <w:r w:rsidRPr="00B17249">
        <w:rPr>
          <w:rFonts w:eastAsiaTheme="minorHAnsi"/>
          <w:bCs/>
          <w:lang w:val="lv-LV"/>
        </w:rPr>
        <w:t xml:space="preserve"> un </w:t>
      </w:r>
      <w:hyperlink r:id="rId17" w:history="1">
        <w:r w:rsidRPr="00B17249">
          <w:rPr>
            <w:rFonts w:eastAsiaTheme="minorHAnsi"/>
            <w:bCs/>
            <w:u w:val="single"/>
            <w:lang w:val="lv-LV"/>
          </w:rPr>
          <w:t>www.rigassatiksme.lv</w:t>
        </w:r>
      </w:hyperlink>
      <w:r w:rsidRPr="00B17249">
        <w:rPr>
          <w:rFonts w:eastAsiaTheme="minorHAnsi"/>
          <w:bCs/>
          <w:u w:val="single"/>
          <w:lang w:val="lv-LV"/>
        </w:rPr>
        <w:t>.</w:t>
      </w:r>
    </w:p>
    <w:p w14:paraId="7B8A2051" w14:textId="47CD458B" w:rsidR="00B17249" w:rsidRDefault="00B17249" w:rsidP="003657EF">
      <w:pPr>
        <w:jc w:val="both"/>
        <w:rPr>
          <w:iCs/>
          <w:lang w:val="lv-LV" w:eastAsia="lv-LV"/>
        </w:rPr>
      </w:pPr>
    </w:p>
    <w:p w14:paraId="7ABB5B74" w14:textId="393919FA" w:rsidR="00CE3A19" w:rsidRPr="00CE3A19" w:rsidRDefault="00CE3A19" w:rsidP="00CE3A19">
      <w:pPr>
        <w:spacing w:after="200" w:line="276" w:lineRule="auto"/>
        <w:contextualSpacing/>
        <w:jc w:val="both"/>
        <w:rPr>
          <w:i/>
          <w:iCs/>
          <w:lang w:val="lv-LV"/>
        </w:rPr>
      </w:pPr>
      <w:r w:rsidRPr="00CE3A19">
        <w:rPr>
          <w:i/>
          <w:iCs/>
          <w:lang w:val="lv-LV"/>
        </w:rPr>
        <w:t>5.jautājums</w:t>
      </w:r>
      <w:r w:rsidRPr="00CE3A19">
        <w:rPr>
          <w:i/>
          <w:iCs/>
          <w:u w:val="single"/>
          <w:lang w:val="lv-LV"/>
        </w:rPr>
        <w:t xml:space="preserve"> 5.pielikums lokālā tāme</w:t>
      </w:r>
      <w:r w:rsidRPr="00CE3A19">
        <w:rPr>
          <w:i/>
          <w:iCs/>
          <w:lang w:val="lv-LV"/>
        </w:rPr>
        <w:t xml:space="preserve">, lokālā tāme nr. 1 (Sagatavošanās darbi, sliežu ceļi, pieturvietas, satiksmes organizācija, labiekārtojums) </w:t>
      </w:r>
      <w:r w:rsidRPr="00CE3A19">
        <w:rPr>
          <w:b/>
          <w:bCs/>
          <w:i/>
          <w:iCs/>
          <w:lang w:val="lv-LV"/>
        </w:rPr>
        <w:t>Darbu daudzuma pozīcija nr. 30</w:t>
      </w:r>
      <w:r w:rsidRPr="00CE3A19">
        <w:rPr>
          <w:i/>
          <w:iCs/>
          <w:lang w:val="lv-LV"/>
        </w:rPr>
        <w:t xml:space="preserve"> (Esošu inženierkomunikāciju </w:t>
      </w:r>
      <w:proofErr w:type="spellStart"/>
      <w:r w:rsidRPr="00CE3A19">
        <w:rPr>
          <w:i/>
          <w:iCs/>
          <w:lang w:val="lv-LV"/>
        </w:rPr>
        <w:t>atšurfēšana</w:t>
      </w:r>
      <w:proofErr w:type="spellEnd"/>
      <w:r w:rsidRPr="00CE3A19">
        <w:rPr>
          <w:i/>
          <w:iCs/>
          <w:lang w:val="lv-LV"/>
        </w:rPr>
        <w:t xml:space="preserve">), norādītais apjoms - 1 </w:t>
      </w:r>
      <w:proofErr w:type="spellStart"/>
      <w:r w:rsidRPr="00CE3A19">
        <w:rPr>
          <w:i/>
          <w:iCs/>
          <w:lang w:val="lv-LV"/>
        </w:rPr>
        <w:t>kpl</w:t>
      </w:r>
      <w:proofErr w:type="spellEnd"/>
      <w:r w:rsidRPr="00CE3A19">
        <w:rPr>
          <w:i/>
          <w:iCs/>
          <w:lang w:val="lv-LV"/>
        </w:rPr>
        <w:t>.</w:t>
      </w:r>
    </w:p>
    <w:p w14:paraId="00B064FC" w14:textId="77777777" w:rsidR="00CE3A19" w:rsidRPr="00667CBF" w:rsidRDefault="00CE3A19" w:rsidP="00CE3A19">
      <w:pPr>
        <w:jc w:val="both"/>
        <w:rPr>
          <w:i/>
          <w:iCs/>
          <w:lang w:val="lv-LV"/>
        </w:rPr>
      </w:pPr>
      <w:r w:rsidRPr="00667CBF">
        <w:rPr>
          <w:i/>
          <w:iCs/>
          <w:lang w:val="lv-LV"/>
        </w:rPr>
        <w:t xml:space="preserve">Vēršam uzmanību, ja Pasūtītājs šo apjomu 1 kpl.  attiecina uz visu projektu kopumā, tad šādas situācija radītu neobjektīvi salīdzināmus piedāvājumus. </w:t>
      </w:r>
    </w:p>
    <w:p w14:paraId="0A1EC422" w14:textId="77777777" w:rsidR="00CE3A19" w:rsidRPr="00667CBF" w:rsidRDefault="00CE3A19" w:rsidP="00CE3A19">
      <w:pPr>
        <w:jc w:val="both"/>
        <w:rPr>
          <w:bCs/>
          <w:i/>
          <w:iCs/>
          <w:lang w:val="lv-LV"/>
        </w:rPr>
      </w:pPr>
      <w:r w:rsidRPr="00667CBF">
        <w:rPr>
          <w:bCs/>
          <w:i/>
          <w:iCs/>
          <w:lang w:val="lv-LV"/>
        </w:rPr>
        <w:t>Lūdzam precizēt kādā apjomā ir domāts 1 kpl. un kā šis darbs tiks procentēts pēc darbu izpildes.</w:t>
      </w:r>
    </w:p>
    <w:p w14:paraId="5A9445D9" w14:textId="77777777" w:rsidR="00CE3A19" w:rsidRPr="00CE3A19" w:rsidRDefault="00CE3A19" w:rsidP="00CE3A19">
      <w:pPr>
        <w:pStyle w:val="ListParagraph"/>
        <w:jc w:val="both"/>
        <w:rPr>
          <w:rFonts w:ascii="Times New Roman" w:hAnsi="Times New Roman" w:cs="Times New Roman"/>
          <w:bCs/>
          <w:color w:val="FF0000"/>
          <w:sz w:val="24"/>
          <w:szCs w:val="24"/>
        </w:rPr>
      </w:pPr>
    </w:p>
    <w:p w14:paraId="595702C0" w14:textId="5333AEC2" w:rsidR="00CE3A19" w:rsidRPr="00667CBF" w:rsidRDefault="00CE3A19" w:rsidP="00CE3A19">
      <w:pPr>
        <w:jc w:val="both"/>
        <w:rPr>
          <w:bCs/>
          <w:lang w:val="lv-LV"/>
        </w:rPr>
      </w:pPr>
      <w:r w:rsidRPr="00CE3A19">
        <w:rPr>
          <w:bCs/>
          <w:lang w:val="lv-LV"/>
        </w:rPr>
        <w:t xml:space="preserve">Atbilde – katrā konkrētā darbu veikšanas iecirknī būvuzņēmējam pirms rakšanas darbu sākuma ir jāpārliecinās par esošu inženierkomunikāciju precīzu novietojumu. </w:t>
      </w:r>
      <w:r w:rsidRPr="00667CBF">
        <w:rPr>
          <w:bCs/>
          <w:lang w:val="lv-LV"/>
        </w:rPr>
        <w:t xml:space="preserve">Īpaši svarīgi tas ir ņemot vērā objekta atrašanās vietu Rīgas vēsturiskajā centrā, kur ir liels esošo inženiertīklu blīvums un to novietojums dabā bieži vien ir atšķirīgs no topogrāfiskajā plānā uzmērītā. Katra atšurfējamā </w:t>
      </w:r>
      <w:r w:rsidRPr="00667CBF">
        <w:rPr>
          <w:bCs/>
          <w:lang w:val="lv-LV"/>
        </w:rPr>
        <w:lastRenderedPageBreak/>
        <w:t xml:space="preserve">inženiertīkla uzskaite nav iespējama, atšurfēšana jāparedz pēc nepieciešamības, tāpēc apjoms ir komplekts. Procentēšana līdzīgi kā Lokālās tāmes Nr.1darbu pozīcijās Nr.1 un Nr.2. </w:t>
      </w:r>
    </w:p>
    <w:p w14:paraId="00C43BB8" w14:textId="0333C343" w:rsidR="00CE3A19" w:rsidRPr="00667CBF" w:rsidRDefault="00CE3A19" w:rsidP="00CE3A19">
      <w:pPr>
        <w:jc w:val="both"/>
        <w:rPr>
          <w:bCs/>
          <w:lang w:val="lv-LV"/>
        </w:rPr>
      </w:pPr>
    </w:p>
    <w:p w14:paraId="249EB4B5" w14:textId="77777777" w:rsidR="00CE3A19" w:rsidRPr="00667CBF" w:rsidRDefault="00CE3A19" w:rsidP="00CE3A19">
      <w:pPr>
        <w:spacing w:after="200" w:line="276" w:lineRule="auto"/>
        <w:contextualSpacing/>
        <w:jc w:val="both"/>
        <w:rPr>
          <w:i/>
          <w:iCs/>
          <w:lang w:val="lv-LV"/>
        </w:rPr>
      </w:pPr>
      <w:r w:rsidRPr="00667CBF">
        <w:rPr>
          <w:bCs/>
          <w:i/>
          <w:iCs/>
          <w:lang w:val="lv-LV"/>
        </w:rPr>
        <w:t xml:space="preserve">6.jautājums: </w:t>
      </w:r>
      <w:r w:rsidRPr="00667CBF">
        <w:rPr>
          <w:i/>
          <w:iCs/>
          <w:u w:val="single"/>
          <w:lang w:val="lv-LV"/>
        </w:rPr>
        <w:t>5.pielikums lokālā tāme</w:t>
      </w:r>
      <w:r w:rsidRPr="00667CBF">
        <w:rPr>
          <w:i/>
          <w:iCs/>
          <w:lang w:val="lv-LV"/>
        </w:rPr>
        <w:t xml:space="preserve">, lokālā tāme nr. 1 (Sagatavošanās darbi, sliežu ceļi, pieturvietas, satiksmes organizācija, labiekārtojums) </w:t>
      </w:r>
      <w:r w:rsidRPr="00667CBF">
        <w:rPr>
          <w:b/>
          <w:bCs/>
          <w:i/>
          <w:iCs/>
          <w:lang w:val="lv-LV"/>
        </w:rPr>
        <w:t xml:space="preserve">Darbu daudzuma pozīcija nr. 55 </w:t>
      </w:r>
      <w:r w:rsidRPr="00667CBF">
        <w:rPr>
          <w:i/>
          <w:iCs/>
          <w:lang w:val="lv-LV"/>
        </w:rPr>
        <w:t>(Piesūcinātu ozolkoka gulšņu (L2600) izbūve sliežu ceļa pārejas posmā uz esošās sliežu ceļa konstrukcijas klātnes (apjoms precizējams būvdarbu laikā)), norādītais apjoms - 82 gab.</w:t>
      </w:r>
    </w:p>
    <w:p w14:paraId="778738F3" w14:textId="77777777" w:rsidR="00CE3A19" w:rsidRPr="00CE3A19" w:rsidRDefault="00CE3A19" w:rsidP="00CE3A19">
      <w:pPr>
        <w:jc w:val="both"/>
        <w:rPr>
          <w:i/>
          <w:iCs/>
        </w:rPr>
      </w:pPr>
      <w:r w:rsidRPr="00667CBF">
        <w:rPr>
          <w:i/>
          <w:iCs/>
          <w:lang w:val="lv-LV"/>
        </w:rPr>
        <w:t xml:space="preserve">Projektu dokumentācijā 03_Vispārīgā_ daļa_SA ir ļoti vispārējs apraksts, no kā nevar gūt priekštatu kā ir paredzēts izbūvēt piesūcinātus ozolkoka gulšņus. Rasējumos TS-CD-12 pie seguma specifikācijas tabulas, attiecīgi konstrukcija, kur ir norādīta gulšņu izbūve ir attēloti materiāli zem gulšņiem. </w:t>
      </w:r>
      <w:r w:rsidRPr="00CE3A19">
        <w:rPr>
          <w:i/>
          <w:iCs/>
        </w:rPr>
        <w:t xml:space="preserve">Norādītie </w:t>
      </w:r>
      <w:proofErr w:type="spellStart"/>
      <w:r w:rsidRPr="00CE3A19">
        <w:rPr>
          <w:i/>
          <w:iCs/>
        </w:rPr>
        <w:t>materiāli</w:t>
      </w:r>
      <w:proofErr w:type="spellEnd"/>
      <w:r w:rsidRPr="00CE3A19">
        <w:rPr>
          <w:i/>
          <w:iCs/>
        </w:rPr>
        <w:t xml:space="preserve"> </w:t>
      </w:r>
      <w:proofErr w:type="spellStart"/>
      <w:r w:rsidRPr="00CE3A19">
        <w:rPr>
          <w:i/>
          <w:iCs/>
        </w:rPr>
        <w:t>zem</w:t>
      </w:r>
      <w:proofErr w:type="spellEnd"/>
      <w:r w:rsidRPr="00CE3A19">
        <w:rPr>
          <w:i/>
          <w:iCs/>
        </w:rPr>
        <w:t xml:space="preserve"> </w:t>
      </w:r>
      <w:proofErr w:type="spellStart"/>
      <w:r w:rsidRPr="00CE3A19">
        <w:rPr>
          <w:i/>
          <w:iCs/>
        </w:rPr>
        <w:t>gulšņiem</w:t>
      </w:r>
      <w:proofErr w:type="spellEnd"/>
      <w:r w:rsidRPr="00CE3A19">
        <w:rPr>
          <w:i/>
          <w:iCs/>
        </w:rPr>
        <w:t xml:space="preserve"> </w:t>
      </w:r>
      <w:proofErr w:type="spellStart"/>
      <w:r w:rsidRPr="00CE3A19">
        <w:rPr>
          <w:i/>
          <w:iCs/>
        </w:rPr>
        <w:t>ir</w:t>
      </w:r>
      <w:proofErr w:type="spellEnd"/>
      <w:r w:rsidRPr="00CE3A19">
        <w:rPr>
          <w:i/>
          <w:iCs/>
        </w:rPr>
        <w:t xml:space="preserve">: </w:t>
      </w:r>
      <w:proofErr w:type="spellStart"/>
      <w:r w:rsidRPr="00CE3A19">
        <w:rPr>
          <w:i/>
          <w:iCs/>
        </w:rPr>
        <w:t>frakcija</w:t>
      </w:r>
      <w:proofErr w:type="spellEnd"/>
      <w:r w:rsidRPr="00CE3A19">
        <w:rPr>
          <w:i/>
          <w:iCs/>
        </w:rPr>
        <w:t xml:space="preserve"> 8/16 </w:t>
      </w:r>
      <w:proofErr w:type="spellStart"/>
      <w:r w:rsidRPr="00CE3A19">
        <w:rPr>
          <w:i/>
          <w:iCs/>
        </w:rPr>
        <w:t>granītu</w:t>
      </w:r>
      <w:proofErr w:type="spellEnd"/>
      <w:r w:rsidRPr="00CE3A19">
        <w:rPr>
          <w:i/>
          <w:iCs/>
        </w:rPr>
        <w:t xml:space="preserve"> </w:t>
      </w:r>
      <w:proofErr w:type="spellStart"/>
      <w:r w:rsidRPr="00CE3A19">
        <w:rPr>
          <w:i/>
          <w:iCs/>
        </w:rPr>
        <w:t>šķembu</w:t>
      </w:r>
      <w:proofErr w:type="spellEnd"/>
      <w:r w:rsidRPr="00CE3A19">
        <w:rPr>
          <w:i/>
          <w:iCs/>
        </w:rPr>
        <w:t xml:space="preserve"> </w:t>
      </w:r>
      <w:proofErr w:type="spellStart"/>
      <w:r w:rsidRPr="00CE3A19">
        <w:rPr>
          <w:i/>
          <w:iCs/>
        </w:rPr>
        <w:t>balasts</w:t>
      </w:r>
      <w:proofErr w:type="spellEnd"/>
      <w:r w:rsidRPr="00CE3A19">
        <w:rPr>
          <w:i/>
          <w:iCs/>
        </w:rPr>
        <w:t xml:space="preserve">, </w:t>
      </w:r>
      <w:proofErr w:type="spellStart"/>
      <w:r w:rsidRPr="00CE3A19">
        <w:rPr>
          <w:i/>
          <w:iCs/>
        </w:rPr>
        <w:t>frakc</w:t>
      </w:r>
      <w:proofErr w:type="spellEnd"/>
      <w:r w:rsidRPr="00CE3A19">
        <w:rPr>
          <w:i/>
          <w:iCs/>
        </w:rPr>
        <w:t xml:space="preserve">. </w:t>
      </w:r>
      <w:proofErr w:type="spellStart"/>
      <w:r w:rsidRPr="00CE3A19">
        <w:rPr>
          <w:i/>
          <w:iCs/>
        </w:rPr>
        <w:t>Minerālmateriāls</w:t>
      </w:r>
      <w:proofErr w:type="spellEnd"/>
      <w:r w:rsidRPr="00CE3A19">
        <w:rPr>
          <w:i/>
          <w:iCs/>
        </w:rPr>
        <w:t xml:space="preserve"> </w:t>
      </w:r>
      <w:proofErr w:type="spellStart"/>
      <w:r w:rsidRPr="00CE3A19">
        <w:rPr>
          <w:i/>
          <w:iCs/>
        </w:rPr>
        <w:t>fr.</w:t>
      </w:r>
      <w:proofErr w:type="spellEnd"/>
      <w:r w:rsidRPr="00CE3A19">
        <w:rPr>
          <w:i/>
          <w:iCs/>
        </w:rPr>
        <w:t xml:space="preserve"> 31.5/63 un salizturīgā kārta. Nosauktie materiāli nav norādīti darbu daudzumu sarakstā.</w:t>
      </w:r>
    </w:p>
    <w:p w14:paraId="19A0C122" w14:textId="4092BDB1" w:rsidR="00CE3A19" w:rsidRPr="00CE3A19" w:rsidRDefault="00CE3A19" w:rsidP="00CE3A19">
      <w:pPr>
        <w:jc w:val="both"/>
        <w:rPr>
          <w:bCs/>
          <w:i/>
          <w:iCs/>
        </w:rPr>
      </w:pPr>
      <w:proofErr w:type="spellStart"/>
      <w:r w:rsidRPr="00CE3A19">
        <w:rPr>
          <w:bCs/>
          <w:i/>
          <w:iCs/>
        </w:rPr>
        <w:t>Lūdzam</w:t>
      </w:r>
      <w:proofErr w:type="spellEnd"/>
      <w:r w:rsidRPr="00CE3A19">
        <w:rPr>
          <w:bCs/>
          <w:i/>
          <w:iCs/>
        </w:rPr>
        <w:t xml:space="preserve"> </w:t>
      </w:r>
      <w:proofErr w:type="spellStart"/>
      <w:r w:rsidRPr="00CE3A19">
        <w:rPr>
          <w:bCs/>
          <w:i/>
          <w:iCs/>
        </w:rPr>
        <w:t>plašāk</w:t>
      </w:r>
      <w:proofErr w:type="spellEnd"/>
      <w:r w:rsidRPr="00CE3A19">
        <w:rPr>
          <w:bCs/>
          <w:i/>
          <w:iCs/>
        </w:rPr>
        <w:t xml:space="preserve"> </w:t>
      </w:r>
      <w:proofErr w:type="spellStart"/>
      <w:r w:rsidRPr="00CE3A19">
        <w:rPr>
          <w:bCs/>
          <w:i/>
          <w:iCs/>
        </w:rPr>
        <w:t>skaidrot</w:t>
      </w:r>
      <w:proofErr w:type="spellEnd"/>
      <w:r w:rsidRPr="00CE3A19">
        <w:rPr>
          <w:bCs/>
          <w:i/>
          <w:iCs/>
        </w:rPr>
        <w:t xml:space="preserve">, </w:t>
      </w:r>
      <w:proofErr w:type="spellStart"/>
      <w:r w:rsidRPr="00CE3A19">
        <w:rPr>
          <w:bCs/>
          <w:i/>
          <w:iCs/>
        </w:rPr>
        <w:t>kādi</w:t>
      </w:r>
      <w:proofErr w:type="spellEnd"/>
      <w:r w:rsidRPr="00CE3A19">
        <w:rPr>
          <w:bCs/>
          <w:i/>
          <w:iCs/>
        </w:rPr>
        <w:t xml:space="preserve"> darbi un kādi materiāli ir paredzēti darbu daudzuma pozīcijā nr. 55.</w:t>
      </w:r>
    </w:p>
    <w:p w14:paraId="2C55845E" w14:textId="77777777" w:rsidR="00CE3A19" w:rsidRDefault="00CE3A19" w:rsidP="00CE3A19">
      <w:pPr>
        <w:jc w:val="both"/>
        <w:rPr>
          <w:bCs/>
          <w:color w:val="FF0000"/>
        </w:rPr>
      </w:pPr>
    </w:p>
    <w:p w14:paraId="471DFCC2" w14:textId="445C848A" w:rsidR="00CE3A19" w:rsidRPr="00CE3A19" w:rsidRDefault="00CE3A19" w:rsidP="00CE3A19">
      <w:pPr>
        <w:jc w:val="both"/>
        <w:rPr>
          <w:bCs/>
        </w:rPr>
      </w:pPr>
      <w:proofErr w:type="spellStart"/>
      <w:r w:rsidRPr="00CE3A19">
        <w:rPr>
          <w:bCs/>
        </w:rPr>
        <w:t>Atbilde</w:t>
      </w:r>
      <w:proofErr w:type="spellEnd"/>
      <w:r w:rsidRPr="00CE3A19">
        <w:rPr>
          <w:bCs/>
        </w:rPr>
        <w:t xml:space="preserve"> – </w:t>
      </w:r>
      <w:proofErr w:type="spellStart"/>
      <w:r w:rsidRPr="00CE3A19">
        <w:rPr>
          <w:bCs/>
        </w:rPr>
        <w:t>rasējumā</w:t>
      </w:r>
      <w:proofErr w:type="spellEnd"/>
      <w:r w:rsidRPr="00CE3A19">
        <w:rPr>
          <w:bCs/>
        </w:rPr>
        <w:t xml:space="preserve"> TS-CD-12 norādīta tipveida konstrukcija jauna sliežu ceļa izbūvei uz koka gulšņu pamata. Šajā gadījumā koka gulšņu izbūve paredzēta tikai pārejas posmos uz esošās sliežu ceļa pamata klātnes, demontējot esošās sliedes un gulšņus. Pārejas posmi paredzēti, lai saslēgtu pilnībā pārbūvētos pieturvietu posmus ar esošajiem sliežu ceļiem gadījumā, ja izveidojusies nobīde plānā. Tāpēc pārejas posma apjoms precizējams būvdarbu laikā, atkarībā no konkrētas situācijas.</w:t>
      </w:r>
    </w:p>
    <w:p w14:paraId="64767C49" w14:textId="77777777" w:rsidR="00CE3A19" w:rsidRDefault="00CE3A19" w:rsidP="00CE3A19">
      <w:pPr>
        <w:pStyle w:val="ListParagraph"/>
        <w:jc w:val="both"/>
        <w:rPr>
          <w:rFonts w:ascii="Times New Roman" w:hAnsi="Times New Roman" w:cs="Times New Roman"/>
          <w:b/>
          <w:sz w:val="24"/>
          <w:szCs w:val="24"/>
        </w:rPr>
      </w:pPr>
    </w:p>
    <w:p w14:paraId="448E7447" w14:textId="53AC0F5C" w:rsidR="00CE3A19" w:rsidRPr="00CE3A19" w:rsidRDefault="00CE3A19" w:rsidP="00CE3A19">
      <w:pPr>
        <w:spacing w:after="200" w:line="276" w:lineRule="auto"/>
        <w:contextualSpacing/>
        <w:jc w:val="both"/>
        <w:rPr>
          <w:b/>
          <w:i/>
          <w:iCs/>
          <w:lang w:val="lv-LV"/>
        </w:rPr>
      </w:pPr>
      <w:r w:rsidRPr="00CE3A19">
        <w:rPr>
          <w:i/>
          <w:iCs/>
          <w:lang w:val="lv-LV"/>
        </w:rPr>
        <w:t xml:space="preserve">7.jautājums: 03_Vispārīgā_ </w:t>
      </w:r>
      <w:proofErr w:type="spellStart"/>
      <w:r w:rsidRPr="00CE3A19">
        <w:rPr>
          <w:i/>
          <w:iCs/>
          <w:lang w:val="lv-LV"/>
        </w:rPr>
        <w:t>daļa_SA</w:t>
      </w:r>
      <w:proofErr w:type="spellEnd"/>
      <w:r w:rsidRPr="00CE3A19">
        <w:rPr>
          <w:i/>
          <w:iCs/>
          <w:lang w:val="lv-LV"/>
        </w:rPr>
        <w:t xml:space="preserve"> prasību par </w:t>
      </w:r>
      <w:proofErr w:type="spellStart"/>
      <w:r w:rsidRPr="00CE3A19">
        <w:rPr>
          <w:i/>
          <w:iCs/>
          <w:lang w:val="lv-LV"/>
        </w:rPr>
        <w:t>starpsliežu</w:t>
      </w:r>
      <w:proofErr w:type="spellEnd"/>
      <w:r w:rsidRPr="00CE3A19">
        <w:rPr>
          <w:i/>
          <w:iCs/>
          <w:lang w:val="lv-LV"/>
        </w:rPr>
        <w:t xml:space="preserve"> savienojumiem (141. </w:t>
      </w:r>
      <w:proofErr w:type="spellStart"/>
      <w:r w:rsidRPr="00CE3A19">
        <w:rPr>
          <w:i/>
          <w:iCs/>
          <w:lang w:val="lv-LV"/>
        </w:rPr>
        <w:t>lpp</w:t>
      </w:r>
      <w:proofErr w:type="spellEnd"/>
      <w:r w:rsidRPr="00CE3A19">
        <w:rPr>
          <w:i/>
          <w:iCs/>
          <w:lang w:val="lv-LV"/>
        </w:rPr>
        <w:t xml:space="preserve">), prasībās ir norādīts uz </w:t>
      </w:r>
      <w:proofErr w:type="spellStart"/>
      <w:r w:rsidRPr="00CE3A19">
        <w:rPr>
          <w:i/>
          <w:iCs/>
          <w:lang w:val="lv-LV"/>
        </w:rPr>
        <w:t>starpceļu</w:t>
      </w:r>
      <w:proofErr w:type="spellEnd"/>
      <w:r w:rsidRPr="00CE3A19">
        <w:rPr>
          <w:i/>
          <w:iCs/>
          <w:lang w:val="lv-LV"/>
        </w:rPr>
        <w:t xml:space="preserve"> savienojumu ierīkošanu pk3+08.75 (1.ass). </w:t>
      </w:r>
    </w:p>
    <w:p w14:paraId="280FA8FA" w14:textId="77777777" w:rsidR="00CE3A19" w:rsidRPr="00667CBF" w:rsidRDefault="00CE3A19" w:rsidP="00CE3A19">
      <w:pPr>
        <w:jc w:val="both"/>
        <w:rPr>
          <w:bCs/>
          <w:i/>
          <w:iCs/>
          <w:lang w:val="lv-LV"/>
        </w:rPr>
      </w:pPr>
      <w:r w:rsidRPr="00667CBF">
        <w:rPr>
          <w:bCs/>
          <w:i/>
          <w:iCs/>
          <w:lang w:val="lv-LV"/>
        </w:rPr>
        <w:t>Lūdzam norādīt kurā darbu daudzumu pozīcijā ir paredzēts ietvert izmaksas par starpceļu savienojumu ierīkošanu, kā arī norādīt shematisku rasējumu.</w:t>
      </w:r>
    </w:p>
    <w:p w14:paraId="3A38F7E3" w14:textId="77777777" w:rsidR="00CE3A19" w:rsidRDefault="00CE3A19" w:rsidP="00CE3A19">
      <w:pPr>
        <w:pStyle w:val="ListParagraph"/>
        <w:jc w:val="both"/>
        <w:rPr>
          <w:rFonts w:ascii="Times New Roman" w:hAnsi="Times New Roman" w:cs="Times New Roman"/>
          <w:bCs/>
          <w:color w:val="FF0000"/>
        </w:rPr>
      </w:pPr>
    </w:p>
    <w:p w14:paraId="7BD248D9" w14:textId="03A7D359" w:rsidR="00CE3A19" w:rsidRPr="00CE3A19" w:rsidRDefault="00CE3A19" w:rsidP="00CE3A19">
      <w:pPr>
        <w:jc w:val="both"/>
        <w:rPr>
          <w:bCs/>
          <w:lang w:val="lv-LV"/>
        </w:rPr>
      </w:pPr>
      <w:r w:rsidRPr="00CE3A19">
        <w:rPr>
          <w:bCs/>
          <w:lang w:val="lv-LV"/>
        </w:rPr>
        <w:t>Atbilde</w:t>
      </w:r>
      <w:r>
        <w:rPr>
          <w:bCs/>
          <w:lang w:val="lv-LV"/>
        </w:rPr>
        <w:t xml:space="preserve">: paskaidrojam, ka </w:t>
      </w:r>
      <w:proofErr w:type="spellStart"/>
      <w:r>
        <w:rPr>
          <w:bCs/>
          <w:lang w:val="lv-LV"/>
        </w:rPr>
        <w:t>s</w:t>
      </w:r>
      <w:r w:rsidRPr="00CE3A19">
        <w:rPr>
          <w:bCs/>
          <w:lang w:val="lv-LV"/>
        </w:rPr>
        <w:t>tarpsliežu</w:t>
      </w:r>
      <w:proofErr w:type="spellEnd"/>
      <w:r w:rsidRPr="00CE3A19">
        <w:rPr>
          <w:bCs/>
          <w:lang w:val="lv-LV"/>
        </w:rPr>
        <w:t xml:space="preserve"> un </w:t>
      </w:r>
      <w:proofErr w:type="spellStart"/>
      <w:r w:rsidRPr="00CE3A19">
        <w:rPr>
          <w:bCs/>
          <w:lang w:val="lv-LV"/>
        </w:rPr>
        <w:t>starpceļu</w:t>
      </w:r>
      <w:proofErr w:type="spellEnd"/>
      <w:r w:rsidRPr="00CE3A19">
        <w:rPr>
          <w:bCs/>
          <w:lang w:val="lv-LV"/>
        </w:rPr>
        <w:t xml:space="preserve"> savienojuma prasības ir definētas skaidrojošā apraksta 141.lpp, punktos 3, 4, 5, bet punktos 1 un 2 norādītās plāna vietas nav precīzas.</w:t>
      </w:r>
    </w:p>
    <w:p w14:paraId="687EA7B5" w14:textId="77777777" w:rsidR="00CE3A19" w:rsidRPr="00CE3A19" w:rsidRDefault="00CE3A19" w:rsidP="00CE3A19">
      <w:pPr>
        <w:jc w:val="both"/>
        <w:rPr>
          <w:bCs/>
        </w:rPr>
      </w:pPr>
      <w:proofErr w:type="spellStart"/>
      <w:r w:rsidRPr="00CE3A19">
        <w:rPr>
          <w:bCs/>
        </w:rPr>
        <w:t>Precizētas</w:t>
      </w:r>
      <w:proofErr w:type="spellEnd"/>
      <w:r w:rsidRPr="00CE3A19">
        <w:rPr>
          <w:bCs/>
        </w:rPr>
        <w:t xml:space="preserve"> </w:t>
      </w:r>
      <w:proofErr w:type="spellStart"/>
      <w:r w:rsidRPr="00CE3A19">
        <w:rPr>
          <w:bCs/>
        </w:rPr>
        <w:t>izbūves</w:t>
      </w:r>
      <w:proofErr w:type="spellEnd"/>
      <w:r w:rsidRPr="00CE3A19">
        <w:rPr>
          <w:bCs/>
        </w:rPr>
        <w:t xml:space="preserve"> </w:t>
      </w:r>
      <w:proofErr w:type="spellStart"/>
      <w:r w:rsidRPr="00CE3A19">
        <w:rPr>
          <w:bCs/>
        </w:rPr>
        <w:t>vietas</w:t>
      </w:r>
      <w:proofErr w:type="spellEnd"/>
      <w:r w:rsidRPr="00CE3A19">
        <w:rPr>
          <w:bCs/>
        </w:rPr>
        <w:t>:</w:t>
      </w:r>
    </w:p>
    <w:p w14:paraId="5DF4C3FD" w14:textId="77777777" w:rsidR="00CE3A19" w:rsidRPr="00CE3A19" w:rsidRDefault="00CE3A19" w:rsidP="00CE3A19">
      <w:pPr>
        <w:pStyle w:val="ListParagraph"/>
        <w:jc w:val="both"/>
        <w:rPr>
          <w:rFonts w:ascii="Times New Roman" w:hAnsi="Times New Roman" w:cs="Times New Roman"/>
          <w:bCs/>
          <w:sz w:val="24"/>
          <w:szCs w:val="24"/>
        </w:rPr>
      </w:pPr>
      <w:r w:rsidRPr="00CE3A19">
        <w:rPr>
          <w:rFonts w:ascii="Times New Roman" w:hAnsi="Times New Roman" w:cs="Times New Roman"/>
          <w:bCs/>
          <w:sz w:val="24"/>
          <w:szCs w:val="24"/>
        </w:rPr>
        <w:t>Pieturvietā “Nacionālā opera”:</w:t>
      </w:r>
    </w:p>
    <w:p w14:paraId="120F96B5" w14:textId="77777777" w:rsidR="00CE3A19" w:rsidRPr="00CE3A19" w:rsidRDefault="00CE3A19" w:rsidP="00CE3A19">
      <w:pPr>
        <w:pStyle w:val="ListParagraph"/>
        <w:numPr>
          <w:ilvl w:val="0"/>
          <w:numId w:val="14"/>
        </w:numPr>
        <w:contextualSpacing/>
        <w:jc w:val="both"/>
        <w:rPr>
          <w:rFonts w:ascii="Times New Roman" w:hAnsi="Times New Roman" w:cs="Times New Roman"/>
          <w:bCs/>
          <w:sz w:val="24"/>
          <w:szCs w:val="24"/>
        </w:rPr>
      </w:pPr>
      <w:proofErr w:type="spellStart"/>
      <w:r w:rsidRPr="00CE3A19">
        <w:rPr>
          <w:rFonts w:ascii="Times New Roman" w:hAnsi="Times New Roman" w:cs="Times New Roman"/>
          <w:bCs/>
          <w:sz w:val="24"/>
          <w:szCs w:val="24"/>
        </w:rPr>
        <w:t>starpsliežu</w:t>
      </w:r>
      <w:proofErr w:type="spellEnd"/>
      <w:r w:rsidRPr="00CE3A19">
        <w:rPr>
          <w:rFonts w:ascii="Times New Roman" w:hAnsi="Times New Roman" w:cs="Times New Roman"/>
          <w:bCs/>
          <w:sz w:val="24"/>
          <w:szCs w:val="24"/>
        </w:rPr>
        <w:t xml:space="preserve"> savienojums 20m no platformas sākuma (</w:t>
      </w:r>
      <w:proofErr w:type="spellStart"/>
      <w:r w:rsidRPr="00CE3A19">
        <w:rPr>
          <w:rFonts w:ascii="Times New Roman" w:hAnsi="Times New Roman" w:cs="Times New Roman"/>
          <w:bCs/>
          <w:sz w:val="24"/>
          <w:szCs w:val="24"/>
        </w:rPr>
        <w:t>ārpuscentra</w:t>
      </w:r>
      <w:proofErr w:type="spellEnd"/>
      <w:r w:rsidRPr="00CE3A19">
        <w:rPr>
          <w:rFonts w:ascii="Times New Roman" w:hAnsi="Times New Roman" w:cs="Times New Roman"/>
          <w:bCs/>
          <w:sz w:val="24"/>
          <w:szCs w:val="24"/>
        </w:rPr>
        <w:t xml:space="preserve"> virziena pietura);</w:t>
      </w:r>
    </w:p>
    <w:p w14:paraId="7B155067" w14:textId="77777777" w:rsidR="00CE3A19" w:rsidRPr="00CE3A19" w:rsidRDefault="00CE3A19" w:rsidP="00CE3A19">
      <w:pPr>
        <w:pStyle w:val="ListParagraph"/>
        <w:numPr>
          <w:ilvl w:val="0"/>
          <w:numId w:val="14"/>
        </w:numPr>
        <w:contextualSpacing/>
        <w:jc w:val="both"/>
        <w:rPr>
          <w:rFonts w:ascii="Times New Roman" w:hAnsi="Times New Roman" w:cs="Times New Roman"/>
          <w:bCs/>
          <w:sz w:val="24"/>
          <w:szCs w:val="24"/>
        </w:rPr>
      </w:pPr>
      <w:proofErr w:type="spellStart"/>
      <w:r w:rsidRPr="00CE3A19">
        <w:rPr>
          <w:rFonts w:ascii="Times New Roman" w:hAnsi="Times New Roman" w:cs="Times New Roman"/>
          <w:bCs/>
          <w:sz w:val="24"/>
          <w:szCs w:val="24"/>
        </w:rPr>
        <w:t>starpceļu</w:t>
      </w:r>
      <w:proofErr w:type="spellEnd"/>
      <w:r w:rsidRPr="00CE3A19">
        <w:rPr>
          <w:rFonts w:ascii="Times New Roman" w:hAnsi="Times New Roman" w:cs="Times New Roman"/>
          <w:bCs/>
          <w:sz w:val="24"/>
          <w:szCs w:val="24"/>
        </w:rPr>
        <w:t xml:space="preserve"> savienojums 22m no platformas sākuma (</w:t>
      </w:r>
      <w:proofErr w:type="spellStart"/>
      <w:r w:rsidRPr="00CE3A19">
        <w:rPr>
          <w:rFonts w:ascii="Times New Roman" w:hAnsi="Times New Roman" w:cs="Times New Roman"/>
          <w:bCs/>
          <w:sz w:val="24"/>
          <w:szCs w:val="24"/>
        </w:rPr>
        <w:t>ārpuscentra</w:t>
      </w:r>
      <w:proofErr w:type="spellEnd"/>
      <w:r w:rsidRPr="00CE3A19">
        <w:rPr>
          <w:rFonts w:ascii="Times New Roman" w:hAnsi="Times New Roman" w:cs="Times New Roman"/>
          <w:bCs/>
          <w:sz w:val="24"/>
          <w:szCs w:val="24"/>
        </w:rPr>
        <w:t xml:space="preserve"> virziena pietura);</w:t>
      </w:r>
    </w:p>
    <w:p w14:paraId="7BBA7786" w14:textId="77777777" w:rsidR="00CE3A19" w:rsidRPr="00CE3A19" w:rsidRDefault="00CE3A19" w:rsidP="00CE3A19">
      <w:pPr>
        <w:ind w:left="709"/>
        <w:jc w:val="both"/>
        <w:rPr>
          <w:bCs/>
        </w:rPr>
      </w:pPr>
      <w:proofErr w:type="spellStart"/>
      <w:r w:rsidRPr="00CE3A19">
        <w:rPr>
          <w:bCs/>
        </w:rPr>
        <w:t>Pieturvietā</w:t>
      </w:r>
      <w:proofErr w:type="spellEnd"/>
      <w:r w:rsidRPr="00CE3A19">
        <w:rPr>
          <w:bCs/>
        </w:rPr>
        <w:t xml:space="preserve"> “</w:t>
      </w:r>
      <w:proofErr w:type="spellStart"/>
      <w:r w:rsidRPr="00CE3A19">
        <w:rPr>
          <w:bCs/>
        </w:rPr>
        <w:t>Nacionālais</w:t>
      </w:r>
      <w:proofErr w:type="spellEnd"/>
      <w:r w:rsidRPr="00CE3A19">
        <w:rPr>
          <w:bCs/>
        </w:rPr>
        <w:t xml:space="preserve"> </w:t>
      </w:r>
      <w:proofErr w:type="spellStart"/>
      <w:r w:rsidRPr="00CE3A19">
        <w:rPr>
          <w:bCs/>
        </w:rPr>
        <w:t>teātris</w:t>
      </w:r>
      <w:proofErr w:type="spellEnd"/>
      <w:r w:rsidRPr="00CE3A19">
        <w:rPr>
          <w:bCs/>
        </w:rPr>
        <w:t>”:</w:t>
      </w:r>
    </w:p>
    <w:p w14:paraId="3B88567A" w14:textId="77777777" w:rsidR="00CE3A19" w:rsidRPr="00CE3A19" w:rsidRDefault="00CE3A19" w:rsidP="00CE3A19">
      <w:pPr>
        <w:pStyle w:val="ListParagraph"/>
        <w:numPr>
          <w:ilvl w:val="0"/>
          <w:numId w:val="14"/>
        </w:numPr>
        <w:contextualSpacing/>
        <w:jc w:val="both"/>
        <w:rPr>
          <w:rFonts w:ascii="Times New Roman" w:hAnsi="Times New Roman" w:cs="Times New Roman"/>
          <w:bCs/>
          <w:sz w:val="24"/>
          <w:szCs w:val="24"/>
        </w:rPr>
      </w:pPr>
      <w:proofErr w:type="spellStart"/>
      <w:r w:rsidRPr="00CE3A19">
        <w:rPr>
          <w:rFonts w:ascii="Times New Roman" w:hAnsi="Times New Roman" w:cs="Times New Roman"/>
          <w:bCs/>
          <w:sz w:val="24"/>
          <w:szCs w:val="24"/>
        </w:rPr>
        <w:t>starpsliežu</w:t>
      </w:r>
      <w:proofErr w:type="spellEnd"/>
      <w:r w:rsidRPr="00CE3A19">
        <w:rPr>
          <w:rFonts w:ascii="Times New Roman" w:hAnsi="Times New Roman" w:cs="Times New Roman"/>
          <w:bCs/>
          <w:sz w:val="24"/>
          <w:szCs w:val="24"/>
        </w:rPr>
        <w:t xml:space="preserve"> savienojums 20m no platformas sākuma (</w:t>
      </w:r>
      <w:proofErr w:type="spellStart"/>
      <w:r w:rsidRPr="00CE3A19">
        <w:rPr>
          <w:rFonts w:ascii="Times New Roman" w:hAnsi="Times New Roman" w:cs="Times New Roman"/>
          <w:bCs/>
          <w:sz w:val="24"/>
          <w:szCs w:val="24"/>
        </w:rPr>
        <w:t>ārpuscentra</w:t>
      </w:r>
      <w:proofErr w:type="spellEnd"/>
      <w:r w:rsidRPr="00CE3A19">
        <w:rPr>
          <w:rFonts w:ascii="Times New Roman" w:hAnsi="Times New Roman" w:cs="Times New Roman"/>
          <w:bCs/>
          <w:sz w:val="24"/>
          <w:szCs w:val="24"/>
        </w:rPr>
        <w:t xml:space="preserve"> virziena pietura);</w:t>
      </w:r>
    </w:p>
    <w:p w14:paraId="786A5777" w14:textId="77777777" w:rsidR="00CE3A19" w:rsidRPr="00CE3A19" w:rsidRDefault="00CE3A19" w:rsidP="00CE3A19">
      <w:pPr>
        <w:pStyle w:val="ListParagraph"/>
        <w:numPr>
          <w:ilvl w:val="0"/>
          <w:numId w:val="14"/>
        </w:numPr>
        <w:contextualSpacing/>
        <w:jc w:val="both"/>
        <w:rPr>
          <w:rFonts w:ascii="Times New Roman" w:hAnsi="Times New Roman" w:cs="Times New Roman"/>
          <w:bCs/>
          <w:sz w:val="24"/>
          <w:szCs w:val="24"/>
        </w:rPr>
      </w:pPr>
      <w:proofErr w:type="spellStart"/>
      <w:r w:rsidRPr="00CE3A19">
        <w:rPr>
          <w:rFonts w:ascii="Times New Roman" w:hAnsi="Times New Roman" w:cs="Times New Roman"/>
          <w:bCs/>
          <w:sz w:val="24"/>
          <w:szCs w:val="24"/>
        </w:rPr>
        <w:t>starpceļu</w:t>
      </w:r>
      <w:proofErr w:type="spellEnd"/>
      <w:r w:rsidRPr="00CE3A19">
        <w:rPr>
          <w:rFonts w:ascii="Times New Roman" w:hAnsi="Times New Roman" w:cs="Times New Roman"/>
          <w:bCs/>
          <w:sz w:val="24"/>
          <w:szCs w:val="24"/>
        </w:rPr>
        <w:t xml:space="preserve"> savienojums 22m no platformas sākuma (</w:t>
      </w:r>
      <w:proofErr w:type="spellStart"/>
      <w:r w:rsidRPr="00CE3A19">
        <w:rPr>
          <w:rFonts w:ascii="Times New Roman" w:hAnsi="Times New Roman" w:cs="Times New Roman"/>
          <w:bCs/>
          <w:sz w:val="24"/>
          <w:szCs w:val="24"/>
        </w:rPr>
        <w:t>ārpuscentra</w:t>
      </w:r>
      <w:proofErr w:type="spellEnd"/>
      <w:r w:rsidRPr="00CE3A19">
        <w:rPr>
          <w:rFonts w:ascii="Times New Roman" w:hAnsi="Times New Roman" w:cs="Times New Roman"/>
          <w:bCs/>
          <w:sz w:val="24"/>
          <w:szCs w:val="24"/>
        </w:rPr>
        <w:t xml:space="preserve"> virziena pietura);</w:t>
      </w:r>
    </w:p>
    <w:p w14:paraId="22AA6592" w14:textId="77777777" w:rsidR="00CE3A19" w:rsidRPr="00CE3A19" w:rsidRDefault="00CE3A19" w:rsidP="00CE3A19">
      <w:pPr>
        <w:ind w:left="709"/>
        <w:jc w:val="both"/>
        <w:rPr>
          <w:bCs/>
        </w:rPr>
      </w:pPr>
      <w:proofErr w:type="spellStart"/>
      <w:r w:rsidRPr="00CE3A19">
        <w:rPr>
          <w:bCs/>
        </w:rPr>
        <w:t>Pieturvietā</w:t>
      </w:r>
      <w:proofErr w:type="spellEnd"/>
      <w:r w:rsidRPr="00CE3A19">
        <w:rPr>
          <w:bCs/>
        </w:rPr>
        <w:t xml:space="preserve"> “</w:t>
      </w:r>
      <w:proofErr w:type="spellStart"/>
      <w:r w:rsidRPr="00CE3A19">
        <w:rPr>
          <w:bCs/>
        </w:rPr>
        <w:t>Ausekļa</w:t>
      </w:r>
      <w:proofErr w:type="spellEnd"/>
      <w:r w:rsidRPr="00CE3A19">
        <w:rPr>
          <w:bCs/>
        </w:rPr>
        <w:t xml:space="preserve"> </w:t>
      </w:r>
      <w:proofErr w:type="spellStart"/>
      <w:r w:rsidRPr="00CE3A19">
        <w:rPr>
          <w:bCs/>
        </w:rPr>
        <w:t>iela</w:t>
      </w:r>
      <w:proofErr w:type="spellEnd"/>
      <w:r w:rsidRPr="00CE3A19">
        <w:rPr>
          <w:bCs/>
        </w:rPr>
        <w:t>”:</w:t>
      </w:r>
    </w:p>
    <w:p w14:paraId="7E0756E5" w14:textId="77777777" w:rsidR="00CE3A19" w:rsidRPr="00CE3A19" w:rsidRDefault="00CE3A19" w:rsidP="00CE3A19">
      <w:pPr>
        <w:pStyle w:val="ListParagraph"/>
        <w:numPr>
          <w:ilvl w:val="0"/>
          <w:numId w:val="14"/>
        </w:numPr>
        <w:contextualSpacing/>
        <w:jc w:val="both"/>
        <w:rPr>
          <w:rFonts w:ascii="Times New Roman" w:hAnsi="Times New Roman" w:cs="Times New Roman"/>
          <w:bCs/>
          <w:sz w:val="24"/>
          <w:szCs w:val="24"/>
        </w:rPr>
      </w:pPr>
      <w:proofErr w:type="spellStart"/>
      <w:r w:rsidRPr="00CE3A19">
        <w:rPr>
          <w:rFonts w:ascii="Times New Roman" w:hAnsi="Times New Roman" w:cs="Times New Roman"/>
          <w:bCs/>
          <w:sz w:val="24"/>
          <w:szCs w:val="24"/>
        </w:rPr>
        <w:t>starpsliežu</w:t>
      </w:r>
      <w:proofErr w:type="spellEnd"/>
      <w:r w:rsidRPr="00CE3A19">
        <w:rPr>
          <w:rFonts w:ascii="Times New Roman" w:hAnsi="Times New Roman" w:cs="Times New Roman"/>
          <w:bCs/>
          <w:sz w:val="24"/>
          <w:szCs w:val="24"/>
        </w:rPr>
        <w:t xml:space="preserve"> savienojums 16m no platformas sākuma (</w:t>
      </w:r>
      <w:proofErr w:type="spellStart"/>
      <w:r w:rsidRPr="00CE3A19">
        <w:rPr>
          <w:rFonts w:ascii="Times New Roman" w:hAnsi="Times New Roman" w:cs="Times New Roman"/>
          <w:bCs/>
          <w:sz w:val="24"/>
          <w:szCs w:val="24"/>
        </w:rPr>
        <w:t>ārpuscentra</w:t>
      </w:r>
      <w:proofErr w:type="spellEnd"/>
      <w:r w:rsidRPr="00CE3A19">
        <w:rPr>
          <w:rFonts w:ascii="Times New Roman" w:hAnsi="Times New Roman" w:cs="Times New Roman"/>
          <w:bCs/>
          <w:sz w:val="24"/>
          <w:szCs w:val="24"/>
        </w:rPr>
        <w:t xml:space="preserve"> virziena pietura);</w:t>
      </w:r>
    </w:p>
    <w:p w14:paraId="7A9D8C9E" w14:textId="77777777" w:rsidR="00CE3A19" w:rsidRPr="00CE3A19" w:rsidRDefault="00CE3A19" w:rsidP="00CE3A19">
      <w:pPr>
        <w:pStyle w:val="ListParagraph"/>
        <w:numPr>
          <w:ilvl w:val="0"/>
          <w:numId w:val="14"/>
        </w:numPr>
        <w:contextualSpacing/>
        <w:jc w:val="both"/>
        <w:rPr>
          <w:rFonts w:ascii="Times New Roman" w:hAnsi="Times New Roman" w:cs="Times New Roman"/>
          <w:bCs/>
          <w:sz w:val="24"/>
          <w:szCs w:val="24"/>
        </w:rPr>
      </w:pPr>
      <w:proofErr w:type="spellStart"/>
      <w:r w:rsidRPr="00CE3A19">
        <w:rPr>
          <w:rFonts w:ascii="Times New Roman" w:hAnsi="Times New Roman" w:cs="Times New Roman"/>
          <w:bCs/>
          <w:sz w:val="24"/>
          <w:szCs w:val="24"/>
        </w:rPr>
        <w:t>starpceļu</w:t>
      </w:r>
      <w:proofErr w:type="spellEnd"/>
      <w:r w:rsidRPr="00CE3A19">
        <w:rPr>
          <w:rFonts w:ascii="Times New Roman" w:hAnsi="Times New Roman" w:cs="Times New Roman"/>
          <w:bCs/>
          <w:sz w:val="24"/>
          <w:szCs w:val="24"/>
        </w:rPr>
        <w:t xml:space="preserve"> savienojums 18m no platformas sākuma (</w:t>
      </w:r>
      <w:proofErr w:type="spellStart"/>
      <w:r w:rsidRPr="00CE3A19">
        <w:rPr>
          <w:rFonts w:ascii="Times New Roman" w:hAnsi="Times New Roman" w:cs="Times New Roman"/>
          <w:bCs/>
          <w:sz w:val="24"/>
          <w:szCs w:val="24"/>
        </w:rPr>
        <w:t>ārpuscentra</w:t>
      </w:r>
      <w:proofErr w:type="spellEnd"/>
      <w:r w:rsidRPr="00CE3A19">
        <w:rPr>
          <w:rFonts w:ascii="Times New Roman" w:hAnsi="Times New Roman" w:cs="Times New Roman"/>
          <w:bCs/>
          <w:sz w:val="24"/>
          <w:szCs w:val="24"/>
        </w:rPr>
        <w:t xml:space="preserve"> virziena pietura);</w:t>
      </w:r>
    </w:p>
    <w:p w14:paraId="09288C4D" w14:textId="77777777" w:rsidR="00CE3A19" w:rsidRPr="00CE3A19" w:rsidRDefault="00CE3A19" w:rsidP="00CE3A19">
      <w:pPr>
        <w:ind w:left="709"/>
        <w:jc w:val="both"/>
        <w:rPr>
          <w:bCs/>
        </w:rPr>
      </w:pPr>
      <w:proofErr w:type="spellStart"/>
      <w:r w:rsidRPr="00CE3A19">
        <w:rPr>
          <w:bCs/>
        </w:rPr>
        <w:t>Pieturvietā</w:t>
      </w:r>
      <w:proofErr w:type="spellEnd"/>
      <w:r w:rsidRPr="00CE3A19">
        <w:rPr>
          <w:bCs/>
        </w:rPr>
        <w:t xml:space="preserve"> “</w:t>
      </w:r>
      <w:proofErr w:type="spellStart"/>
      <w:r w:rsidRPr="00CE3A19">
        <w:rPr>
          <w:bCs/>
        </w:rPr>
        <w:t>Kronvalda</w:t>
      </w:r>
      <w:proofErr w:type="spellEnd"/>
      <w:r w:rsidRPr="00CE3A19">
        <w:rPr>
          <w:bCs/>
        </w:rPr>
        <w:t xml:space="preserve"> </w:t>
      </w:r>
      <w:proofErr w:type="spellStart"/>
      <w:r w:rsidRPr="00CE3A19">
        <w:rPr>
          <w:bCs/>
        </w:rPr>
        <w:t>bulvāris</w:t>
      </w:r>
      <w:proofErr w:type="spellEnd"/>
      <w:r w:rsidRPr="00CE3A19">
        <w:rPr>
          <w:bCs/>
        </w:rPr>
        <w:t>”:</w:t>
      </w:r>
    </w:p>
    <w:p w14:paraId="739B2609" w14:textId="0B465A36" w:rsidR="00CE3A19" w:rsidRDefault="00CE3A19" w:rsidP="00CE3A19">
      <w:pPr>
        <w:pStyle w:val="ListParagraph"/>
        <w:numPr>
          <w:ilvl w:val="0"/>
          <w:numId w:val="14"/>
        </w:numPr>
        <w:contextualSpacing/>
        <w:jc w:val="both"/>
        <w:rPr>
          <w:rFonts w:ascii="Times New Roman" w:hAnsi="Times New Roman" w:cs="Times New Roman"/>
          <w:bCs/>
          <w:sz w:val="24"/>
          <w:szCs w:val="24"/>
        </w:rPr>
      </w:pPr>
      <w:proofErr w:type="spellStart"/>
      <w:r w:rsidRPr="00CE3A19">
        <w:rPr>
          <w:rFonts w:ascii="Times New Roman" w:hAnsi="Times New Roman" w:cs="Times New Roman"/>
          <w:bCs/>
          <w:sz w:val="24"/>
          <w:szCs w:val="24"/>
        </w:rPr>
        <w:t>starpsliežu</w:t>
      </w:r>
      <w:proofErr w:type="spellEnd"/>
      <w:r w:rsidRPr="00CE3A19">
        <w:rPr>
          <w:rFonts w:ascii="Times New Roman" w:hAnsi="Times New Roman" w:cs="Times New Roman"/>
          <w:bCs/>
          <w:sz w:val="24"/>
          <w:szCs w:val="24"/>
        </w:rPr>
        <w:t xml:space="preserve"> savienojums 20m no platformas sākuma (centra virziena pietura)</w:t>
      </w:r>
      <w:r>
        <w:rPr>
          <w:rFonts w:ascii="Times New Roman" w:hAnsi="Times New Roman" w:cs="Times New Roman"/>
          <w:bCs/>
          <w:sz w:val="24"/>
          <w:szCs w:val="24"/>
        </w:rPr>
        <w:t>.</w:t>
      </w:r>
    </w:p>
    <w:p w14:paraId="24FF7F45" w14:textId="77777777" w:rsidR="002B145D" w:rsidRDefault="002B145D" w:rsidP="00F077D5">
      <w:pPr>
        <w:pStyle w:val="ListParagraph"/>
        <w:ind w:left="1440"/>
        <w:contextualSpacing/>
        <w:jc w:val="both"/>
        <w:rPr>
          <w:rFonts w:ascii="Times New Roman" w:hAnsi="Times New Roman" w:cs="Times New Roman"/>
          <w:bCs/>
          <w:sz w:val="24"/>
          <w:szCs w:val="24"/>
        </w:rPr>
      </w:pPr>
      <w:bookmarkStart w:id="4" w:name="_GoBack"/>
      <w:bookmarkEnd w:id="4"/>
    </w:p>
    <w:p w14:paraId="06D90905" w14:textId="4613212B" w:rsidR="00CE3A19" w:rsidRPr="00CE3A19" w:rsidRDefault="00CE3A19" w:rsidP="00CE3A19">
      <w:pPr>
        <w:jc w:val="both"/>
        <w:rPr>
          <w:rFonts w:eastAsiaTheme="minorHAnsi"/>
          <w:bCs/>
          <w:u w:val="single"/>
          <w:lang w:val="lv-LV"/>
        </w:rPr>
      </w:pPr>
      <w:r w:rsidRPr="00CE3A19">
        <w:rPr>
          <w:bCs/>
          <w:lang w:val="lv-LV"/>
        </w:rPr>
        <w:t>Papildus informējam, ka nolikumā ir veikti grozījumi,</w:t>
      </w:r>
      <w:r>
        <w:rPr>
          <w:bCs/>
          <w:lang w:val="lv-LV"/>
        </w:rPr>
        <w:t xml:space="preserve"> papildinot Lokālo tāmi Nr.1 ar pozīcijām Nr.139 un Nr.140.</w:t>
      </w:r>
      <w:r w:rsidRPr="00CE3A19">
        <w:rPr>
          <w:bCs/>
          <w:lang w:val="lv-LV"/>
        </w:rPr>
        <w:t xml:space="preserve"> Lūdzam sekot informācijai </w:t>
      </w:r>
      <w:r w:rsidRPr="00CE3A19">
        <w:rPr>
          <w:rFonts w:eastAsiaTheme="minorHAnsi"/>
          <w:bCs/>
          <w:lang w:val="lv-LV"/>
        </w:rPr>
        <w:t xml:space="preserve">tīmekļa vietnēs </w:t>
      </w:r>
      <w:hyperlink r:id="rId18" w:history="1">
        <w:r w:rsidRPr="00CE3A19">
          <w:rPr>
            <w:rFonts w:eastAsiaTheme="minorHAnsi"/>
            <w:bCs/>
            <w:u w:val="single"/>
            <w:lang w:val="lv-LV"/>
          </w:rPr>
          <w:t>www.eis.gov.lv</w:t>
        </w:r>
      </w:hyperlink>
      <w:r w:rsidRPr="00CE3A19">
        <w:rPr>
          <w:rFonts w:eastAsiaTheme="minorHAnsi"/>
          <w:bCs/>
          <w:lang w:val="lv-LV"/>
        </w:rPr>
        <w:t xml:space="preserve"> un </w:t>
      </w:r>
      <w:hyperlink r:id="rId19" w:history="1">
        <w:r w:rsidRPr="00CE3A19">
          <w:rPr>
            <w:rFonts w:eastAsiaTheme="minorHAnsi"/>
            <w:bCs/>
            <w:u w:val="single"/>
            <w:lang w:val="lv-LV"/>
          </w:rPr>
          <w:t>www.rigassatiksme.lv</w:t>
        </w:r>
      </w:hyperlink>
      <w:r w:rsidRPr="00CE3A19">
        <w:rPr>
          <w:rFonts w:eastAsiaTheme="minorHAnsi"/>
          <w:bCs/>
          <w:u w:val="single"/>
          <w:lang w:val="lv-LV"/>
        </w:rPr>
        <w:t>.</w:t>
      </w:r>
    </w:p>
    <w:p w14:paraId="5636183B" w14:textId="2EF676C7" w:rsidR="00CE3A19" w:rsidRPr="00CE3A19" w:rsidRDefault="00CE3A19" w:rsidP="00CE3A19">
      <w:pPr>
        <w:contextualSpacing/>
        <w:jc w:val="both"/>
        <w:rPr>
          <w:bCs/>
          <w:lang w:val="lv-LV"/>
        </w:rPr>
      </w:pPr>
    </w:p>
    <w:p w14:paraId="233E6C75" w14:textId="77777777" w:rsidR="008100AA" w:rsidRPr="007272AD" w:rsidRDefault="008100AA" w:rsidP="008100AA">
      <w:pPr>
        <w:spacing w:line="240" w:lineRule="exact"/>
        <w:ind w:firstLine="720"/>
        <w:jc w:val="both"/>
        <w:rPr>
          <w:lang w:val="lv-LV"/>
        </w:rPr>
      </w:pPr>
    </w:p>
    <w:p w14:paraId="7054CEC5" w14:textId="3FBBB82B" w:rsidR="00ED287C" w:rsidRPr="00ED287C" w:rsidRDefault="00ED287C" w:rsidP="006A6145">
      <w:pPr>
        <w:spacing w:after="120"/>
        <w:ind w:right="89"/>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Pr="00ED287C">
        <w:rPr>
          <w:lang w:val="lv-LV"/>
        </w:rPr>
        <w:t xml:space="preserve"> Karīna Meiberga</w:t>
      </w:r>
    </w:p>
    <w:p w14:paraId="55ADFC89" w14:textId="77777777" w:rsidR="00684FF7" w:rsidRPr="00E80785" w:rsidRDefault="00684FF7" w:rsidP="000604EE">
      <w:pPr>
        <w:ind w:right="372"/>
        <w:jc w:val="both"/>
        <w:rPr>
          <w:rFonts w:ascii="Times New Roman Bold" w:hAnsi="Times New Roman Bold"/>
          <w:lang w:val="lv-LV"/>
        </w:rPr>
      </w:pPr>
    </w:p>
    <w:sectPr w:rsidR="00684FF7" w:rsidRPr="00E80785" w:rsidSect="00E80785">
      <w:headerReference w:type="even" r:id="rId20"/>
      <w:headerReference w:type="default" r:id="rId21"/>
      <w:headerReference w:type="first" r:id="rId22"/>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CC0D1" w14:textId="77777777" w:rsidR="00064503" w:rsidRDefault="00064503">
      <w:r>
        <w:separator/>
      </w:r>
    </w:p>
  </w:endnote>
  <w:endnote w:type="continuationSeparator" w:id="0">
    <w:p w14:paraId="7832A474" w14:textId="77777777" w:rsidR="00064503" w:rsidRDefault="0006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23E68" w14:textId="77777777" w:rsidR="00064503" w:rsidRDefault="00064503">
      <w:r>
        <w:separator/>
      </w:r>
    </w:p>
  </w:footnote>
  <w:footnote w:type="continuationSeparator" w:id="0">
    <w:p w14:paraId="640FFB70" w14:textId="77777777" w:rsidR="00064503" w:rsidRDefault="0006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4C12E0C9" w:rsidR="001B6FD9" w:rsidRDefault="00667CBF" w:rsidP="00477D5C">
    <w:pPr>
      <w:pStyle w:val="Header"/>
      <w:tabs>
        <w:tab w:val="left" w:pos="426"/>
        <w:tab w:val="left" w:pos="1418"/>
      </w:tabs>
      <w:jc w:val="both"/>
    </w:pPr>
    <w:bookmarkStart w:id="5" w:name="docDate"/>
    <w:bookmarkStart w:id="6" w:name="docNr"/>
    <w:bookmarkEnd w:id="5"/>
    <w:bookmarkEnd w:id="6"/>
    <w:r>
      <w:t>2</w:t>
    </w:r>
    <w:r w:rsidR="002B145D">
      <w:t>1</w:t>
    </w:r>
    <w:r>
      <w:t>.01.2022.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FF4985"/>
    <w:multiLevelType w:val="hybridMultilevel"/>
    <w:tmpl w:val="822437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718E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E6A22"/>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A26312"/>
    <w:multiLevelType w:val="hybridMultilevel"/>
    <w:tmpl w:val="F168E89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8730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A1579D"/>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B5063D"/>
    <w:multiLevelType w:val="hybridMultilevel"/>
    <w:tmpl w:val="043CE55E"/>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97F7CAF"/>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13"/>
  </w:num>
  <w:num w:numId="4">
    <w:abstractNumId w:val="1"/>
  </w:num>
  <w:num w:numId="5">
    <w:abstractNumId w:val="10"/>
  </w:num>
  <w:num w:numId="6">
    <w:abstractNumId w:val="3"/>
  </w:num>
  <w:num w:numId="7">
    <w:abstractNumId w:val="6"/>
  </w:num>
  <w:num w:numId="8">
    <w:abstractNumId w:val="11"/>
  </w:num>
  <w:num w:numId="9">
    <w:abstractNumId w:val="4"/>
  </w:num>
  <w:num w:numId="10">
    <w:abstractNumId w:val="8"/>
  </w:num>
  <w:num w:numId="11">
    <w:abstractNumId w:val="9"/>
  </w:num>
  <w:num w:numId="12">
    <w:abstractNumId w:val="5"/>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64503"/>
    <w:rsid w:val="00072933"/>
    <w:rsid w:val="00085C08"/>
    <w:rsid w:val="000B0105"/>
    <w:rsid w:val="000C2F69"/>
    <w:rsid w:val="000D6732"/>
    <w:rsid w:val="000E1AA8"/>
    <w:rsid w:val="000E35C8"/>
    <w:rsid w:val="00127A43"/>
    <w:rsid w:val="00185A7E"/>
    <w:rsid w:val="00191138"/>
    <w:rsid w:val="001A0311"/>
    <w:rsid w:val="001A6133"/>
    <w:rsid w:val="001A6A27"/>
    <w:rsid w:val="001B000D"/>
    <w:rsid w:val="001B2AD7"/>
    <w:rsid w:val="001B6FD9"/>
    <w:rsid w:val="00233FCE"/>
    <w:rsid w:val="00234157"/>
    <w:rsid w:val="00234C11"/>
    <w:rsid w:val="002519F8"/>
    <w:rsid w:val="0026220C"/>
    <w:rsid w:val="002671CE"/>
    <w:rsid w:val="00273B07"/>
    <w:rsid w:val="002747E5"/>
    <w:rsid w:val="002B145D"/>
    <w:rsid w:val="002B1A94"/>
    <w:rsid w:val="002C178C"/>
    <w:rsid w:val="002E10DC"/>
    <w:rsid w:val="002E43A6"/>
    <w:rsid w:val="002E786C"/>
    <w:rsid w:val="00300D5F"/>
    <w:rsid w:val="00301EF1"/>
    <w:rsid w:val="003130A2"/>
    <w:rsid w:val="00325A6F"/>
    <w:rsid w:val="003351CC"/>
    <w:rsid w:val="00336D5E"/>
    <w:rsid w:val="0034617A"/>
    <w:rsid w:val="00364BA7"/>
    <w:rsid w:val="00365003"/>
    <w:rsid w:val="003657EF"/>
    <w:rsid w:val="00375769"/>
    <w:rsid w:val="0038464D"/>
    <w:rsid w:val="00384C24"/>
    <w:rsid w:val="003877B2"/>
    <w:rsid w:val="00390AA0"/>
    <w:rsid w:val="003A76FA"/>
    <w:rsid w:val="003C19BB"/>
    <w:rsid w:val="003C47E5"/>
    <w:rsid w:val="003C50A5"/>
    <w:rsid w:val="003D5F72"/>
    <w:rsid w:val="003F3681"/>
    <w:rsid w:val="003F5509"/>
    <w:rsid w:val="0042756D"/>
    <w:rsid w:val="00433E36"/>
    <w:rsid w:val="00446224"/>
    <w:rsid w:val="00454749"/>
    <w:rsid w:val="00454D63"/>
    <w:rsid w:val="00455984"/>
    <w:rsid w:val="0046337E"/>
    <w:rsid w:val="00477D5C"/>
    <w:rsid w:val="00495061"/>
    <w:rsid w:val="004A0D6C"/>
    <w:rsid w:val="004B0AF2"/>
    <w:rsid w:val="004B17EF"/>
    <w:rsid w:val="004B761C"/>
    <w:rsid w:val="004C1642"/>
    <w:rsid w:val="004C2F01"/>
    <w:rsid w:val="004F0DA4"/>
    <w:rsid w:val="004F581B"/>
    <w:rsid w:val="00514C32"/>
    <w:rsid w:val="00517B44"/>
    <w:rsid w:val="00521B07"/>
    <w:rsid w:val="0052581A"/>
    <w:rsid w:val="0054525F"/>
    <w:rsid w:val="00570E1F"/>
    <w:rsid w:val="00574553"/>
    <w:rsid w:val="00576EBE"/>
    <w:rsid w:val="005D3F37"/>
    <w:rsid w:val="005D47D5"/>
    <w:rsid w:val="005F3ACE"/>
    <w:rsid w:val="00605FE2"/>
    <w:rsid w:val="006075F6"/>
    <w:rsid w:val="0060780C"/>
    <w:rsid w:val="0061281B"/>
    <w:rsid w:val="00620886"/>
    <w:rsid w:val="006312F4"/>
    <w:rsid w:val="006339F1"/>
    <w:rsid w:val="006414CC"/>
    <w:rsid w:val="00663534"/>
    <w:rsid w:val="00667CBF"/>
    <w:rsid w:val="00684FF7"/>
    <w:rsid w:val="006874A7"/>
    <w:rsid w:val="006A3C1B"/>
    <w:rsid w:val="006A6145"/>
    <w:rsid w:val="006A672C"/>
    <w:rsid w:val="006B0D98"/>
    <w:rsid w:val="006B5782"/>
    <w:rsid w:val="006C4115"/>
    <w:rsid w:val="006D3BDA"/>
    <w:rsid w:val="00706549"/>
    <w:rsid w:val="00712459"/>
    <w:rsid w:val="0071685A"/>
    <w:rsid w:val="00720501"/>
    <w:rsid w:val="007272AD"/>
    <w:rsid w:val="00735447"/>
    <w:rsid w:val="00741397"/>
    <w:rsid w:val="0075033F"/>
    <w:rsid w:val="00756CAE"/>
    <w:rsid w:val="00781423"/>
    <w:rsid w:val="007875D1"/>
    <w:rsid w:val="007A34BE"/>
    <w:rsid w:val="007B1AFB"/>
    <w:rsid w:val="007B3E19"/>
    <w:rsid w:val="007D343F"/>
    <w:rsid w:val="007D3547"/>
    <w:rsid w:val="007D4DAC"/>
    <w:rsid w:val="007D62F7"/>
    <w:rsid w:val="007E1B98"/>
    <w:rsid w:val="007F411B"/>
    <w:rsid w:val="00803136"/>
    <w:rsid w:val="00803A1A"/>
    <w:rsid w:val="008100AA"/>
    <w:rsid w:val="00825FA6"/>
    <w:rsid w:val="00830C0F"/>
    <w:rsid w:val="008324A5"/>
    <w:rsid w:val="008400B1"/>
    <w:rsid w:val="008533C8"/>
    <w:rsid w:val="00857D3F"/>
    <w:rsid w:val="00872B40"/>
    <w:rsid w:val="008A1BCE"/>
    <w:rsid w:val="008A3C61"/>
    <w:rsid w:val="008B5F30"/>
    <w:rsid w:val="008C4EFF"/>
    <w:rsid w:val="008C672B"/>
    <w:rsid w:val="008D5DA8"/>
    <w:rsid w:val="008E13DB"/>
    <w:rsid w:val="008E4C93"/>
    <w:rsid w:val="008F37EE"/>
    <w:rsid w:val="00904B48"/>
    <w:rsid w:val="00933542"/>
    <w:rsid w:val="00940EF4"/>
    <w:rsid w:val="00964FE8"/>
    <w:rsid w:val="00975730"/>
    <w:rsid w:val="00984992"/>
    <w:rsid w:val="00996DDD"/>
    <w:rsid w:val="009B03BA"/>
    <w:rsid w:val="009B1D90"/>
    <w:rsid w:val="009C289F"/>
    <w:rsid w:val="009D4243"/>
    <w:rsid w:val="009D4658"/>
    <w:rsid w:val="00A075D3"/>
    <w:rsid w:val="00A14F6B"/>
    <w:rsid w:val="00A3285A"/>
    <w:rsid w:val="00A435F3"/>
    <w:rsid w:val="00A470A8"/>
    <w:rsid w:val="00A52673"/>
    <w:rsid w:val="00A555AB"/>
    <w:rsid w:val="00A55640"/>
    <w:rsid w:val="00A771E3"/>
    <w:rsid w:val="00A83D90"/>
    <w:rsid w:val="00A842D4"/>
    <w:rsid w:val="00A84550"/>
    <w:rsid w:val="00A90154"/>
    <w:rsid w:val="00A90585"/>
    <w:rsid w:val="00AA0015"/>
    <w:rsid w:val="00AA0E4F"/>
    <w:rsid w:val="00AA180C"/>
    <w:rsid w:val="00AA3A2C"/>
    <w:rsid w:val="00AB152E"/>
    <w:rsid w:val="00AB1ED9"/>
    <w:rsid w:val="00AB3115"/>
    <w:rsid w:val="00AB61DF"/>
    <w:rsid w:val="00AC3F0C"/>
    <w:rsid w:val="00AD44B9"/>
    <w:rsid w:val="00AF6DD2"/>
    <w:rsid w:val="00B05285"/>
    <w:rsid w:val="00B05C16"/>
    <w:rsid w:val="00B120E3"/>
    <w:rsid w:val="00B12BD6"/>
    <w:rsid w:val="00B17037"/>
    <w:rsid w:val="00B17249"/>
    <w:rsid w:val="00B36E79"/>
    <w:rsid w:val="00B40C08"/>
    <w:rsid w:val="00B45069"/>
    <w:rsid w:val="00B46803"/>
    <w:rsid w:val="00B6333C"/>
    <w:rsid w:val="00B67B48"/>
    <w:rsid w:val="00B84DE7"/>
    <w:rsid w:val="00BB402A"/>
    <w:rsid w:val="00BC2049"/>
    <w:rsid w:val="00BC2E48"/>
    <w:rsid w:val="00BE279A"/>
    <w:rsid w:val="00BE62C4"/>
    <w:rsid w:val="00BE690F"/>
    <w:rsid w:val="00BE69EA"/>
    <w:rsid w:val="00BE6EB3"/>
    <w:rsid w:val="00BF56E0"/>
    <w:rsid w:val="00BF7D80"/>
    <w:rsid w:val="00C20551"/>
    <w:rsid w:val="00C234E1"/>
    <w:rsid w:val="00C27E7A"/>
    <w:rsid w:val="00C52E8C"/>
    <w:rsid w:val="00C82B02"/>
    <w:rsid w:val="00C950CD"/>
    <w:rsid w:val="00CA73ED"/>
    <w:rsid w:val="00CC5B28"/>
    <w:rsid w:val="00CD01E0"/>
    <w:rsid w:val="00CE0D4F"/>
    <w:rsid w:val="00CE3A19"/>
    <w:rsid w:val="00D02772"/>
    <w:rsid w:val="00D05646"/>
    <w:rsid w:val="00D30BA3"/>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62503"/>
    <w:rsid w:val="00E718B5"/>
    <w:rsid w:val="00E71B3D"/>
    <w:rsid w:val="00E80785"/>
    <w:rsid w:val="00E842ED"/>
    <w:rsid w:val="00E86D70"/>
    <w:rsid w:val="00E874EE"/>
    <w:rsid w:val="00E959CF"/>
    <w:rsid w:val="00EB089E"/>
    <w:rsid w:val="00EC1BA5"/>
    <w:rsid w:val="00ED0F5E"/>
    <w:rsid w:val="00ED1C42"/>
    <w:rsid w:val="00ED25C5"/>
    <w:rsid w:val="00ED287C"/>
    <w:rsid w:val="00EE2231"/>
    <w:rsid w:val="00F00E4E"/>
    <w:rsid w:val="00F01C15"/>
    <w:rsid w:val="00F077D5"/>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uiPriority w:val="99"/>
    <w:locked/>
    <w:rsid w:val="008100AA"/>
    <w:rPr>
      <w:sz w:val="16"/>
      <w:szCs w:val="16"/>
    </w:rPr>
  </w:style>
  <w:style w:type="paragraph" w:styleId="CommentText">
    <w:name w:val="annotation text"/>
    <w:basedOn w:val="Normal"/>
    <w:link w:val="CommentTextChar"/>
    <w:uiPriority w:val="99"/>
    <w:locked/>
    <w:rsid w:val="008100AA"/>
    <w:rPr>
      <w:sz w:val="20"/>
      <w:szCs w:val="20"/>
    </w:rPr>
  </w:style>
  <w:style w:type="character" w:customStyle="1" w:styleId="CommentTextChar">
    <w:name w:val="Comment Text Char"/>
    <w:basedOn w:val="DefaultParagraphFont"/>
    <w:link w:val="CommentText"/>
    <w:uiPriority w:val="99"/>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Revision">
    <w:name w:val="Revision"/>
    <w:hidden/>
    <w:uiPriority w:val="99"/>
    <w:semiHidden/>
    <w:rsid w:val="00CE3A1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yperlink" Target="http://www.eis.gov.l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igassatiksme.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6B6DA-ADE9-4347-A76C-432D1F4CC259}">
  <ds:schemaRefs>
    <ds:schemaRef ds:uri="http://purl.org/dc/terms/"/>
    <ds:schemaRef ds:uri="http://purl.org/dc/dcmitype/"/>
    <ds:schemaRef ds:uri="http://purl.org/dc/elements/1.1/"/>
    <ds:schemaRef ds:uri="http://www.w3.org/XML/1998/namespace"/>
    <ds:schemaRef ds:uri="http://schemas.microsoft.com/office/2006/documentManagement/types"/>
    <ds:schemaRef ds:uri="6e8af54f-37a3-4179-b2ce-85d568299097"/>
    <ds:schemaRef ds:uri="407fae41-c47b-43cc-966a-01b838070d44"/>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85837605-46D5-4676-8CBF-9BF09620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9069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4</cp:revision>
  <cp:lastPrinted>2021-09-09T02:05:00Z</cp:lastPrinted>
  <dcterms:created xsi:type="dcterms:W3CDTF">2022-01-20T20:34:00Z</dcterms:created>
  <dcterms:modified xsi:type="dcterms:W3CDTF">2022-01-21T06:17:00Z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