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C625D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D078B1A" w14:textId="47D1A982" w:rsidR="00C966A2" w:rsidRDefault="00EC1BA5" w:rsidP="00423FDD">
      <w:pPr>
        <w:tabs>
          <w:tab w:val="left" w:pos="6237"/>
        </w:tabs>
        <w:ind w:right="372"/>
        <w:jc w:val="right"/>
      </w:pPr>
      <w:r w:rsidRPr="00E80785">
        <w:rPr>
          <w:lang w:val="lv-LV"/>
        </w:rPr>
        <w:t xml:space="preserve">                                                                                           </w:t>
      </w:r>
    </w:p>
    <w:p w14:paraId="1AFBF73D" w14:textId="77777777" w:rsidR="00C966A2" w:rsidRDefault="00C966A2" w:rsidP="000C625D">
      <w:pPr>
        <w:ind w:right="372"/>
        <w:jc w:val="right"/>
      </w:pPr>
    </w:p>
    <w:p w14:paraId="6EB70CAC" w14:textId="61DAAC0E" w:rsidR="00ED287C" w:rsidRPr="00536A4D" w:rsidRDefault="00ED287C" w:rsidP="000C625D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Par </w:t>
      </w:r>
      <w:r w:rsidR="00536A4D" w:rsidRPr="00536A4D">
        <w:rPr>
          <w:i/>
          <w:lang w:val="lv-LV"/>
        </w:rPr>
        <w:t>atklāta konkursa</w:t>
      </w:r>
      <w:r w:rsidR="00940141" w:rsidRPr="00536A4D">
        <w:rPr>
          <w:i/>
          <w:lang w:val="lv-LV"/>
        </w:rPr>
        <w:t xml:space="preserve"> </w:t>
      </w:r>
    </w:p>
    <w:p w14:paraId="6E7DF1F2" w14:textId="2BB8156B" w:rsidR="00C71D15" w:rsidRPr="00536A4D" w:rsidRDefault="00C71D15" w:rsidP="000C625D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536A4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967819"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Piesūcinātu ozolkoka gulšņu un sliežu stiprinājumu piegāde</w:t>
      </w:r>
      <w:r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034372C5" w:rsidR="00ED287C" w:rsidRPr="00536A4D" w:rsidRDefault="00C71D15" w:rsidP="000C625D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 </w:t>
      </w:r>
      <w:r w:rsidR="00ED287C" w:rsidRPr="00536A4D">
        <w:rPr>
          <w:i/>
          <w:lang w:val="lv-LV"/>
        </w:rPr>
        <w:t>(ID Nr.RS/202</w:t>
      </w:r>
      <w:r w:rsidR="00C540E8" w:rsidRPr="00536A4D">
        <w:rPr>
          <w:i/>
          <w:lang w:val="lv-LV"/>
        </w:rPr>
        <w:t>2</w:t>
      </w:r>
      <w:r w:rsidR="00ED287C" w:rsidRPr="00536A4D">
        <w:rPr>
          <w:i/>
          <w:lang w:val="lv-LV"/>
        </w:rPr>
        <w:t>/</w:t>
      </w:r>
      <w:r w:rsidR="00C540E8" w:rsidRPr="00536A4D">
        <w:rPr>
          <w:i/>
          <w:lang w:val="lv-LV"/>
        </w:rPr>
        <w:t>1</w:t>
      </w:r>
      <w:r w:rsidR="00967819">
        <w:rPr>
          <w:i/>
          <w:lang w:val="lv-LV"/>
        </w:rPr>
        <w:t>8</w:t>
      </w:r>
      <w:r w:rsidR="00ED287C" w:rsidRPr="00536A4D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66FC9AA7" w14:textId="10561868" w:rsidR="00ED287C" w:rsidRPr="00205DB1" w:rsidRDefault="00ED287C" w:rsidP="000C625D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>Rīgas pašvaldības sabiedrības ar ierobežotu atbildību „Rīgas satiksme” Iepirkuma komisija (turpmāk – Pasūtītājs)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4754691B" w14:textId="77777777" w:rsidR="006429F6" w:rsidRPr="006429F6" w:rsidRDefault="00CB6B5B" w:rsidP="000C625D">
      <w:pPr>
        <w:ind w:right="372"/>
        <w:jc w:val="both"/>
        <w:rPr>
          <w:b/>
          <w:bCs/>
          <w:lang w:val="lv-LV"/>
        </w:rPr>
      </w:pPr>
      <w:r w:rsidRPr="006429F6">
        <w:rPr>
          <w:b/>
          <w:bCs/>
          <w:lang w:val="lv-LV"/>
        </w:rPr>
        <w:t xml:space="preserve">Jautājums: </w:t>
      </w:r>
    </w:p>
    <w:p w14:paraId="2D0174A3" w14:textId="68CCC0C3" w:rsidR="00967819" w:rsidRPr="00967819" w:rsidRDefault="00967819" w:rsidP="000C625D">
      <w:pPr>
        <w:ind w:right="372"/>
        <w:jc w:val="both"/>
        <w:rPr>
          <w:sz w:val="22"/>
          <w:szCs w:val="22"/>
          <w:lang w:val="lv-LV" w:eastAsia="lv-LV"/>
        </w:rPr>
      </w:pPr>
      <w:r>
        <w:t>2</w:t>
      </w:r>
      <w:r w:rsidRPr="00967819">
        <w:rPr>
          <w:lang w:val="lv-LV"/>
        </w:rPr>
        <w:t>.</w:t>
      </w:r>
      <w:r w:rsidRPr="00967819">
        <w:rPr>
          <w:lang w:val="lv-LV"/>
        </w:rPr>
        <w:t>daļa</w:t>
      </w:r>
      <w:r w:rsidRPr="00967819">
        <w:rPr>
          <w:lang w:val="lv-LV"/>
        </w:rPr>
        <w:t xml:space="preserve"> -</w:t>
      </w:r>
      <w:r w:rsidRPr="00967819">
        <w:rPr>
          <w:lang w:val="lv-LV"/>
        </w:rPr>
        <w:t> </w:t>
      </w:r>
      <w:proofErr w:type="spellStart"/>
      <w:r w:rsidRPr="00967819">
        <w:rPr>
          <w:lang w:val="lv-LV"/>
        </w:rPr>
        <w:t>Vossloh</w:t>
      </w:r>
      <w:proofErr w:type="spellEnd"/>
      <w:r w:rsidRPr="00967819">
        <w:rPr>
          <w:lang w:val="lv-LV"/>
        </w:rPr>
        <w:t xml:space="preserve"> KS vai ekvivalenti stiprinājumi</w:t>
      </w:r>
      <w:r w:rsidRPr="00967819">
        <w:rPr>
          <w:lang w:val="lv-LV"/>
        </w:rPr>
        <w:t>.</w:t>
      </w:r>
    </w:p>
    <w:p w14:paraId="734DDC61" w14:textId="6F85448D" w:rsidR="00967819" w:rsidRPr="00967819" w:rsidRDefault="00967819" w:rsidP="000C625D">
      <w:pPr>
        <w:ind w:right="372"/>
        <w:jc w:val="both"/>
        <w:rPr>
          <w:lang w:val="lv-LV"/>
        </w:rPr>
      </w:pPr>
      <w:r w:rsidRPr="00967819">
        <w:rPr>
          <w:lang w:val="lv-LV"/>
        </w:rPr>
        <w:t xml:space="preserve">Nolikumā nav noradīts </w:t>
      </w:r>
      <w:proofErr w:type="spellStart"/>
      <w:r w:rsidRPr="00967819">
        <w:rPr>
          <w:lang w:val="lv-LV"/>
        </w:rPr>
        <w:t>zemsliežu</w:t>
      </w:r>
      <w:proofErr w:type="spellEnd"/>
      <w:r w:rsidRPr="00967819">
        <w:rPr>
          <w:lang w:val="lv-LV"/>
        </w:rPr>
        <w:t xml:space="preserve"> starplika (Rail </w:t>
      </w:r>
      <w:proofErr w:type="spellStart"/>
      <w:r w:rsidRPr="00967819">
        <w:rPr>
          <w:lang w:val="lv-LV"/>
        </w:rPr>
        <w:t>pad</w:t>
      </w:r>
      <w:proofErr w:type="spellEnd"/>
      <w:r w:rsidRPr="00967819">
        <w:rPr>
          <w:lang w:val="lv-LV"/>
        </w:rPr>
        <w:t xml:space="preserve"> </w:t>
      </w:r>
      <w:proofErr w:type="spellStart"/>
      <w:r w:rsidRPr="00967819">
        <w:rPr>
          <w:lang w:val="lv-LV"/>
        </w:rPr>
        <w:t>Zw</w:t>
      </w:r>
      <w:proofErr w:type="spellEnd"/>
      <w:r w:rsidRPr="00967819">
        <w:rPr>
          <w:lang w:val="lv-LV"/>
        </w:rPr>
        <w:t xml:space="preserve">) īpašības, </w:t>
      </w:r>
      <w:hyperlink r:id="rId12" w:history="1">
        <w:r w:rsidRPr="00967819">
          <w:rPr>
            <w:rStyle w:val="Hyperlink"/>
            <w:color w:val="auto"/>
            <w:u w:val="none"/>
            <w:lang w:val="lv-LV"/>
          </w:rPr>
          <w:t>t.sk</w:t>
        </w:r>
      </w:hyperlink>
      <w:r w:rsidRPr="00967819">
        <w:rPr>
          <w:lang w:val="lv-LV"/>
        </w:rPr>
        <w:t xml:space="preserve">. materiāls </w:t>
      </w:r>
      <w:proofErr w:type="gramStart"/>
      <w:r w:rsidRPr="00967819">
        <w:rPr>
          <w:lang w:val="lv-LV"/>
        </w:rPr>
        <w:t>(</w:t>
      </w:r>
      <w:proofErr w:type="gramEnd"/>
      <w:r w:rsidRPr="00967819">
        <w:rPr>
          <w:lang w:val="lv-LV"/>
        </w:rPr>
        <w:t>EVA? Gumija?), nepieci</w:t>
      </w:r>
      <w:r w:rsidR="000C625D">
        <w:rPr>
          <w:lang w:val="lv-LV"/>
        </w:rPr>
        <w:t>e</w:t>
      </w:r>
      <w:r w:rsidRPr="00967819">
        <w:rPr>
          <w:lang w:val="lv-LV"/>
        </w:rPr>
        <w:t>šamie tehniskie parametri u.t.t</w:t>
      </w:r>
      <w:r w:rsidRPr="00967819">
        <w:rPr>
          <w:lang w:val="lv-LV"/>
        </w:rPr>
        <w:t xml:space="preserve">. </w:t>
      </w:r>
      <w:r w:rsidRPr="00967819">
        <w:rPr>
          <w:lang w:val="lv-LV"/>
        </w:rPr>
        <w:t>Lūdzu precizēt.</w:t>
      </w:r>
    </w:p>
    <w:p w14:paraId="5AFFF127" w14:textId="27D35C15" w:rsidR="00A23EA6" w:rsidRPr="00205DB1" w:rsidRDefault="00A23EA6" w:rsidP="000C625D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Default="00A23EA6" w:rsidP="000C625D">
      <w:pPr>
        <w:ind w:right="372"/>
        <w:contextualSpacing/>
        <w:jc w:val="both"/>
        <w:rPr>
          <w:lang w:val="lv-LV"/>
        </w:rPr>
      </w:pPr>
      <w:r w:rsidRPr="006429F6">
        <w:rPr>
          <w:b/>
          <w:bCs/>
          <w:lang w:val="lv-LV"/>
        </w:rPr>
        <w:t>Atbilde:</w:t>
      </w:r>
      <w:r>
        <w:rPr>
          <w:lang w:val="lv-LV"/>
        </w:rPr>
        <w:t xml:space="preserve"> </w:t>
      </w:r>
    </w:p>
    <w:p w14:paraId="132A2953" w14:textId="6EC8D5A0" w:rsidR="000C625D" w:rsidRPr="000C625D" w:rsidRDefault="000C625D" w:rsidP="000C625D">
      <w:pPr>
        <w:ind w:right="372"/>
        <w:jc w:val="both"/>
        <w:rPr>
          <w:lang w:val="lv-LV"/>
        </w:rPr>
      </w:pPr>
      <w:proofErr w:type="spellStart"/>
      <w:r w:rsidRPr="000C625D">
        <w:rPr>
          <w:lang w:val="lv-LV"/>
        </w:rPr>
        <w:t>Celentic</w:t>
      </w:r>
      <w:proofErr w:type="spellEnd"/>
      <w:r w:rsidRPr="000C625D">
        <w:rPr>
          <w:lang w:val="lv-LV"/>
        </w:rPr>
        <w:t xml:space="preserve"> sliežu paliktnis (starplika) (vai analogs) nepieciešams optimālai vertikālo spēku sadalīšanai. Tā elastība ir pielāgota satiksmes slodzei un nodrošina tās optimālu sadalījumu</w:t>
      </w:r>
      <w:r>
        <w:rPr>
          <w:lang w:val="lv-LV"/>
        </w:rPr>
        <w:t xml:space="preserve">, </w:t>
      </w:r>
      <w:r w:rsidRPr="000C625D">
        <w:rPr>
          <w:lang w:val="lv-LV"/>
        </w:rPr>
        <w:t>nepārslogojot sliedi.</w:t>
      </w:r>
    </w:p>
    <w:p w14:paraId="41492B6F" w14:textId="77777777" w:rsidR="000C625D" w:rsidRPr="000C625D" w:rsidRDefault="000C625D" w:rsidP="000C625D">
      <w:pPr>
        <w:ind w:right="372"/>
        <w:jc w:val="both"/>
        <w:rPr>
          <w:sz w:val="22"/>
          <w:szCs w:val="22"/>
          <w:lang w:val="lv-LV"/>
        </w:rPr>
      </w:pPr>
    </w:p>
    <w:p w14:paraId="3EDB064F" w14:textId="29B84813" w:rsidR="000C625D" w:rsidRPr="000C625D" w:rsidRDefault="000C625D" w:rsidP="000C625D">
      <w:pPr>
        <w:autoSpaceDE w:val="0"/>
        <w:autoSpaceDN w:val="0"/>
        <w:ind w:right="372"/>
        <w:jc w:val="both"/>
        <w:rPr>
          <w:rFonts w:eastAsia="Calibri"/>
          <w:lang w:val="lv-LV" w:eastAsia="lv-LV"/>
        </w:rPr>
      </w:pPr>
      <w:proofErr w:type="spellStart"/>
      <w:r w:rsidRPr="000C625D">
        <w:rPr>
          <w:rFonts w:eastAsia="Calibri"/>
          <w:lang w:val="lv-LV" w:eastAsia="lv-LV"/>
        </w:rPr>
        <w:t>Vertical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fatigue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strength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of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Skl</w:t>
      </w:r>
      <w:proofErr w:type="spellEnd"/>
      <w:r w:rsidRPr="000C625D">
        <w:rPr>
          <w:rFonts w:eastAsia="Calibri"/>
          <w:lang w:val="lv-LV" w:eastAsia="lv-LV"/>
        </w:rPr>
        <w:t xml:space="preserve"> 24 (vertikālā noguruma izturība)</w:t>
      </w:r>
      <w:r w:rsidRPr="000C625D">
        <w:rPr>
          <w:rFonts w:eastAsia="Calibri"/>
          <w:lang w:val="lv-LV" w:eastAsia="lv-LV"/>
        </w:rPr>
        <w:t xml:space="preserve"> </w:t>
      </w:r>
      <w:r w:rsidRPr="000C625D">
        <w:rPr>
          <w:rFonts w:eastAsia="Calibri"/>
          <w:lang w:val="lv-LV" w:eastAsia="lv-LV"/>
        </w:rPr>
        <w:t> 2.5 mm</w:t>
      </w:r>
      <w:r>
        <w:rPr>
          <w:rFonts w:eastAsia="Calibri"/>
          <w:lang w:val="lv-LV" w:eastAsia="lv-LV"/>
        </w:rPr>
        <w:t>;</w:t>
      </w:r>
    </w:p>
    <w:p w14:paraId="738DD71E" w14:textId="1DB1B894" w:rsidR="000C625D" w:rsidRPr="000C625D" w:rsidRDefault="000C625D" w:rsidP="000C625D">
      <w:pPr>
        <w:autoSpaceDE w:val="0"/>
        <w:autoSpaceDN w:val="0"/>
        <w:ind w:right="372"/>
        <w:jc w:val="both"/>
        <w:rPr>
          <w:rFonts w:eastAsia="Calibri"/>
          <w:lang w:val="lv-LV" w:eastAsia="lv-LV"/>
        </w:rPr>
      </w:pPr>
      <w:proofErr w:type="spellStart"/>
      <w:r w:rsidRPr="000C625D">
        <w:rPr>
          <w:rFonts w:eastAsia="Calibri"/>
          <w:lang w:val="lv-LV" w:eastAsia="lv-LV"/>
        </w:rPr>
        <w:t>Static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stiffness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of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i/>
          <w:iCs/>
          <w:lang w:val="lv-LV" w:eastAsia="lv-LV"/>
        </w:rPr>
        <w:t>cellentic</w:t>
      </w:r>
      <w:proofErr w:type="spellEnd"/>
      <w:r w:rsidRPr="000C625D">
        <w:rPr>
          <w:rFonts w:eastAsia="Calibri"/>
          <w:i/>
          <w:iCs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rail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pad</w:t>
      </w:r>
      <w:proofErr w:type="spellEnd"/>
      <w:r w:rsidRPr="000C625D">
        <w:rPr>
          <w:rFonts w:eastAsia="Calibri"/>
          <w:lang w:val="lv-LV" w:eastAsia="lv-LV"/>
        </w:rPr>
        <w:t xml:space="preserve"> ( paliktņa </w:t>
      </w:r>
      <w:proofErr w:type="spellStart"/>
      <w:r w:rsidRPr="000C625D">
        <w:rPr>
          <w:rFonts w:eastAsia="Calibri"/>
          <w:lang w:val="lv-LV" w:eastAsia="lv-LV"/>
        </w:rPr>
        <w:t>statikskā</w:t>
      </w:r>
      <w:proofErr w:type="spellEnd"/>
      <w:r w:rsidRPr="000C625D">
        <w:rPr>
          <w:rFonts w:eastAsia="Calibri"/>
          <w:lang w:val="lv-LV" w:eastAsia="lv-LV"/>
        </w:rPr>
        <w:t xml:space="preserve"> stingrība)</w:t>
      </w:r>
      <w:r w:rsidRPr="000C625D">
        <w:rPr>
          <w:rFonts w:eastAsia="Calibri"/>
          <w:lang w:val="lv-LV" w:eastAsia="lv-LV"/>
        </w:rPr>
        <w:t xml:space="preserve"> </w:t>
      </w:r>
      <w:r w:rsidRPr="000C625D">
        <w:rPr>
          <w:rFonts w:eastAsia="Calibri"/>
          <w:lang w:val="lv-LV" w:eastAsia="lv-LV"/>
        </w:rPr>
        <w:t xml:space="preserve"> ≥ 40 </w:t>
      </w:r>
      <w:proofErr w:type="spellStart"/>
      <w:r w:rsidRPr="000C625D">
        <w:rPr>
          <w:rFonts w:eastAsia="Calibri"/>
          <w:lang w:val="lv-LV" w:eastAsia="lv-LV"/>
        </w:rPr>
        <w:t>kN</w:t>
      </w:r>
      <w:proofErr w:type="spellEnd"/>
      <w:r w:rsidRPr="000C625D">
        <w:rPr>
          <w:rFonts w:eastAsia="Calibri"/>
          <w:lang w:val="lv-LV" w:eastAsia="lv-LV"/>
        </w:rPr>
        <w:t>/mm</w:t>
      </w:r>
      <w:r w:rsidRPr="000C625D">
        <w:rPr>
          <w:rFonts w:eastAsia="Calibri"/>
          <w:lang w:val="lv-LV" w:eastAsia="lv-LV"/>
        </w:rPr>
        <w:t xml:space="preserve">, </w:t>
      </w:r>
      <w:r w:rsidRPr="000C625D">
        <w:rPr>
          <w:rFonts w:eastAsia="Calibri"/>
          <w:lang w:val="lv-LV" w:eastAsia="lv-LV"/>
        </w:rPr>
        <w:t>EN 13146-9: 2011</w:t>
      </w:r>
      <w:r>
        <w:rPr>
          <w:rFonts w:eastAsia="Calibri"/>
          <w:lang w:val="lv-LV" w:eastAsia="lv-LV"/>
        </w:rPr>
        <w:t>;</w:t>
      </w:r>
    </w:p>
    <w:p w14:paraId="2382929C" w14:textId="4602B7AB" w:rsidR="000C625D" w:rsidRPr="000C625D" w:rsidRDefault="000C625D" w:rsidP="000C625D">
      <w:pPr>
        <w:autoSpaceDE w:val="0"/>
        <w:autoSpaceDN w:val="0"/>
        <w:ind w:right="372"/>
        <w:jc w:val="both"/>
        <w:rPr>
          <w:rFonts w:eastAsia="Calibri"/>
          <w:lang w:val="lv-LV" w:eastAsia="lv-LV"/>
        </w:rPr>
      </w:pPr>
      <w:proofErr w:type="spellStart"/>
      <w:r w:rsidRPr="000C625D">
        <w:rPr>
          <w:rFonts w:eastAsia="Calibri"/>
          <w:lang w:val="lv-LV" w:eastAsia="lv-LV"/>
        </w:rPr>
        <w:t>Relation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of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dyn</w:t>
      </w:r>
      <w:proofErr w:type="spellEnd"/>
      <w:r w:rsidRPr="000C625D">
        <w:rPr>
          <w:rFonts w:eastAsia="Calibri"/>
          <w:lang w:val="lv-LV" w:eastAsia="lv-LV"/>
        </w:rPr>
        <w:t xml:space="preserve">. / stat. </w:t>
      </w:r>
      <w:proofErr w:type="spellStart"/>
      <w:r w:rsidRPr="000C625D">
        <w:rPr>
          <w:rFonts w:eastAsia="Calibri"/>
          <w:lang w:val="lv-LV" w:eastAsia="lv-LV"/>
        </w:rPr>
        <w:t>stiffness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of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i/>
          <w:iCs/>
          <w:lang w:val="lv-LV" w:eastAsia="lv-LV"/>
        </w:rPr>
        <w:t>cellentic</w:t>
      </w:r>
      <w:proofErr w:type="spellEnd"/>
      <w:r w:rsidRPr="000C625D">
        <w:rPr>
          <w:rFonts w:eastAsia="Calibri"/>
          <w:i/>
          <w:iCs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rail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pad</w:t>
      </w:r>
      <w:proofErr w:type="spellEnd"/>
      <w:r w:rsidRPr="000C625D">
        <w:rPr>
          <w:rFonts w:eastAsia="Calibri"/>
          <w:lang w:val="lv-LV" w:eastAsia="lv-LV"/>
        </w:rPr>
        <w:t xml:space="preserve">  (paliktņa statiskā stingrība)</w:t>
      </w:r>
      <w:r w:rsidRPr="000C625D">
        <w:rPr>
          <w:rFonts w:eastAsia="Calibri"/>
          <w:lang w:val="lv-LV" w:eastAsia="lv-LV"/>
        </w:rPr>
        <w:t xml:space="preserve"> </w:t>
      </w:r>
      <w:r w:rsidRPr="000C625D">
        <w:rPr>
          <w:rFonts w:eastAsia="Calibri"/>
          <w:lang w:val="lv-LV" w:eastAsia="lv-LV"/>
        </w:rPr>
        <w:t>1.1</w:t>
      </w:r>
      <w:r w:rsidRPr="000C625D">
        <w:rPr>
          <w:rFonts w:eastAsia="Calibri"/>
          <w:lang w:val="lv-LV" w:eastAsia="lv-LV"/>
        </w:rPr>
        <w:t xml:space="preserve">, </w:t>
      </w:r>
      <w:r w:rsidRPr="000C625D">
        <w:rPr>
          <w:rFonts w:eastAsia="Calibri"/>
          <w:lang w:val="lv-LV" w:eastAsia="lv-LV"/>
        </w:rPr>
        <w:t>EN 13146-9: 2011</w:t>
      </w:r>
      <w:r>
        <w:rPr>
          <w:rFonts w:eastAsia="Calibri"/>
          <w:lang w:val="lv-LV" w:eastAsia="lv-LV"/>
        </w:rPr>
        <w:t>;</w:t>
      </w:r>
    </w:p>
    <w:p w14:paraId="633F361F" w14:textId="714CF3E9" w:rsidR="000C625D" w:rsidRPr="000C625D" w:rsidRDefault="000C625D" w:rsidP="000C625D">
      <w:pPr>
        <w:autoSpaceDE w:val="0"/>
        <w:autoSpaceDN w:val="0"/>
        <w:ind w:right="372"/>
        <w:jc w:val="both"/>
        <w:rPr>
          <w:rFonts w:eastAsia="Calibri"/>
          <w:lang w:val="lv-LV" w:eastAsia="lv-LV"/>
        </w:rPr>
      </w:pPr>
      <w:proofErr w:type="spellStart"/>
      <w:r w:rsidRPr="000C625D">
        <w:rPr>
          <w:rFonts w:eastAsia="Calibri"/>
          <w:lang w:val="lv-LV" w:eastAsia="lv-LV"/>
        </w:rPr>
        <w:t>Toe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load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of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Skl</w:t>
      </w:r>
      <w:proofErr w:type="spellEnd"/>
      <w:r w:rsidRPr="000C625D">
        <w:rPr>
          <w:rFonts w:eastAsia="Calibri"/>
          <w:lang w:val="lv-LV" w:eastAsia="lv-LV"/>
        </w:rPr>
        <w:t xml:space="preserve"> 24 (</w:t>
      </w:r>
      <w:proofErr w:type="spellStart"/>
      <w:r w:rsidRPr="000C625D">
        <w:rPr>
          <w:rFonts w:eastAsia="Calibri"/>
          <w:lang w:val="lv-LV" w:eastAsia="lv-LV"/>
        </w:rPr>
        <w:t>nominal</w:t>
      </w:r>
      <w:proofErr w:type="spellEnd"/>
      <w:r w:rsidRPr="000C625D">
        <w:rPr>
          <w:rFonts w:eastAsia="Calibri"/>
          <w:lang w:val="lv-LV" w:eastAsia="lv-LV"/>
        </w:rPr>
        <w:t>) (piespiešanās slodze ( nominālā))</w:t>
      </w:r>
      <w:r w:rsidRPr="000C625D">
        <w:rPr>
          <w:rFonts w:eastAsia="Calibri"/>
          <w:lang w:val="lv-LV" w:eastAsia="lv-LV"/>
        </w:rPr>
        <w:t xml:space="preserve"> </w:t>
      </w:r>
      <w:r w:rsidRPr="000C625D">
        <w:rPr>
          <w:rFonts w:eastAsia="Calibri"/>
          <w:lang w:val="lv-LV" w:eastAsia="lv-LV"/>
        </w:rPr>
        <w:t xml:space="preserve">9 </w:t>
      </w:r>
      <w:proofErr w:type="spellStart"/>
      <w:r w:rsidRPr="000C625D">
        <w:rPr>
          <w:rFonts w:eastAsia="Calibri"/>
          <w:lang w:val="lv-LV" w:eastAsia="lv-LV"/>
        </w:rPr>
        <w:t>kN</w:t>
      </w:r>
      <w:proofErr w:type="spellEnd"/>
      <w:r w:rsidRPr="000C625D">
        <w:rPr>
          <w:rFonts w:eastAsia="Calibri"/>
          <w:lang w:val="lv-LV" w:eastAsia="lv-LV"/>
        </w:rPr>
        <w:t xml:space="preserve">, </w:t>
      </w:r>
      <w:r w:rsidRPr="000C625D">
        <w:rPr>
          <w:rFonts w:eastAsia="Calibri"/>
          <w:lang w:val="lv-LV" w:eastAsia="lv-LV"/>
        </w:rPr>
        <w:t>EN 13146-7: 2012</w:t>
      </w:r>
      <w:r>
        <w:rPr>
          <w:rFonts w:eastAsia="Calibri"/>
          <w:lang w:val="lv-LV" w:eastAsia="lv-LV"/>
        </w:rPr>
        <w:t>;</w:t>
      </w:r>
    </w:p>
    <w:p w14:paraId="0B0C4019" w14:textId="303614DA" w:rsidR="000C625D" w:rsidRPr="000C625D" w:rsidRDefault="000C625D" w:rsidP="000C625D">
      <w:pPr>
        <w:autoSpaceDE w:val="0"/>
        <w:autoSpaceDN w:val="0"/>
        <w:ind w:right="372"/>
        <w:jc w:val="both"/>
        <w:rPr>
          <w:rFonts w:eastAsia="Calibri"/>
          <w:lang w:val="lv-LV" w:eastAsia="lv-LV"/>
        </w:rPr>
      </w:pPr>
      <w:proofErr w:type="spellStart"/>
      <w:r w:rsidRPr="000C625D">
        <w:rPr>
          <w:rFonts w:eastAsia="Calibri"/>
          <w:lang w:val="lv-LV" w:eastAsia="lv-LV"/>
        </w:rPr>
        <w:t>Electrical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resistance</w:t>
      </w:r>
      <w:proofErr w:type="spellEnd"/>
      <w:r w:rsidRPr="000C625D">
        <w:rPr>
          <w:rFonts w:eastAsia="Calibri"/>
          <w:lang w:val="lv-LV" w:eastAsia="lv-LV"/>
        </w:rPr>
        <w:t xml:space="preserve"> (elektriskā pretestība) ≥ 5 </w:t>
      </w:r>
      <w:proofErr w:type="spellStart"/>
      <w:r w:rsidRPr="000C625D">
        <w:rPr>
          <w:rFonts w:eastAsia="Calibri"/>
          <w:lang w:val="lv-LV" w:eastAsia="lv-LV"/>
        </w:rPr>
        <w:t>kΩ</w:t>
      </w:r>
      <w:proofErr w:type="spellEnd"/>
      <w:r w:rsidRPr="000C625D">
        <w:rPr>
          <w:rFonts w:eastAsia="Calibri"/>
          <w:lang w:val="lv-LV" w:eastAsia="lv-LV"/>
        </w:rPr>
        <w:t>,</w:t>
      </w:r>
      <w:r w:rsidRPr="000C625D">
        <w:rPr>
          <w:rFonts w:eastAsia="Calibri"/>
          <w:lang w:val="lv-LV" w:eastAsia="lv-LV"/>
        </w:rPr>
        <w:t> EN 13146-5: 2003</w:t>
      </w:r>
      <w:r>
        <w:rPr>
          <w:rFonts w:eastAsia="Calibri"/>
          <w:lang w:val="lv-LV" w:eastAsia="lv-LV"/>
        </w:rPr>
        <w:t>;</w:t>
      </w:r>
    </w:p>
    <w:p w14:paraId="7003A3B8" w14:textId="25CAB58E" w:rsidR="000C625D" w:rsidRPr="000C625D" w:rsidRDefault="000C625D" w:rsidP="000C625D">
      <w:pPr>
        <w:ind w:right="372"/>
        <w:jc w:val="both"/>
        <w:rPr>
          <w:rFonts w:eastAsia="Calibri"/>
          <w:lang w:val="lv-LV" w:eastAsia="lv-LV"/>
        </w:rPr>
      </w:pPr>
      <w:r w:rsidRPr="000C625D">
        <w:rPr>
          <w:rFonts w:eastAsia="Calibri"/>
          <w:lang w:val="lv-LV" w:eastAsia="lv-LV"/>
        </w:rPr>
        <w:t xml:space="preserve">Rail </w:t>
      </w:r>
      <w:proofErr w:type="spellStart"/>
      <w:r w:rsidRPr="000C625D">
        <w:rPr>
          <w:rFonts w:eastAsia="Calibri"/>
          <w:lang w:val="lv-LV" w:eastAsia="lv-LV"/>
        </w:rPr>
        <w:t>creep</w:t>
      </w:r>
      <w:proofErr w:type="spellEnd"/>
      <w:r w:rsidRPr="000C625D">
        <w:rPr>
          <w:rFonts w:eastAsia="Calibri"/>
          <w:lang w:val="lv-LV" w:eastAsia="lv-LV"/>
        </w:rPr>
        <w:t xml:space="preserve"> </w:t>
      </w:r>
      <w:proofErr w:type="spellStart"/>
      <w:r w:rsidRPr="000C625D">
        <w:rPr>
          <w:rFonts w:eastAsia="Calibri"/>
          <w:lang w:val="lv-LV" w:eastAsia="lv-LV"/>
        </w:rPr>
        <w:t>resistance</w:t>
      </w:r>
      <w:proofErr w:type="spellEnd"/>
      <w:r w:rsidRPr="000C625D">
        <w:rPr>
          <w:rFonts w:eastAsia="Calibri"/>
          <w:lang w:val="lv-LV" w:eastAsia="lv-LV"/>
        </w:rPr>
        <w:t xml:space="preserve">  (šļūdes pretestība)</w:t>
      </w:r>
      <w:r w:rsidRPr="000C625D">
        <w:rPr>
          <w:rFonts w:eastAsia="Calibri"/>
          <w:lang w:val="lv-LV" w:eastAsia="lv-LV"/>
        </w:rPr>
        <w:t xml:space="preserve"> </w:t>
      </w:r>
      <w:r w:rsidRPr="000C625D">
        <w:rPr>
          <w:rFonts w:eastAsia="Calibri"/>
          <w:lang w:val="lv-LV" w:eastAsia="lv-LV"/>
        </w:rPr>
        <w:t xml:space="preserve"> ≥ 9 </w:t>
      </w:r>
      <w:proofErr w:type="spellStart"/>
      <w:r w:rsidRPr="000C625D">
        <w:rPr>
          <w:rFonts w:eastAsia="Calibri"/>
          <w:lang w:val="lv-LV" w:eastAsia="lv-LV"/>
        </w:rPr>
        <w:t>kN</w:t>
      </w:r>
      <w:proofErr w:type="spellEnd"/>
      <w:r w:rsidRPr="000C625D">
        <w:rPr>
          <w:rFonts w:eastAsia="Calibri"/>
          <w:lang w:val="lv-LV" w:eastAsia="lv-LV"/>
        </w:rPr>
        <w:t xml:space="preserve">, </w:t>
      </w:r>
      <w:r w:rsidRPr="000C625D">
        <w:rPr>
          <w:rFonts w:eastAsia="Calibri"/>
          <w:lang w:val="lv-LV" w:eastAsia="lv-LV"/>
        </w:rPr>
        <w:t>EN 13146-1: 2012</w:t>
      </w:r>
      <w:r>
        <w:rPr>
          <w:rFonts w:eastAsia="Calibri"/>
          <w:lang w:val="lv-LV" w:eastAsia="lv-LV"/>
        </w:rPr>
        <w:t>.</w:t>
      </w:r>
    </w:p>
    <w:p w14:paraId="268A507C" w14:textId="383C74AA" w:rsidR="008100AA" w:rsidRPr="000C625D" w:rsidRDefault="008100AA" w:rsidP="000C625D">
      <w:pPr>
        <w:spacing w:line="240" w:lineRule="exact"/>
        <w:ind w:right="372" w:firstLine="720"/>
        <w:jc w:val="both"/>
        <w:rPr>
          <w:lang w:val="lv-LV"/>
        </w:rPr>
      </w:pPr>
    </w:p>
    <w:p w14:paraId="233E6C75" w14:textId="77777777" w:rsidR="008100AA" w:rsidRPr="00143E88" w:rsidRDefault="008100AA" w:rsidP="000C625D">
      <w:pPr>
        <w:spacing w:line="240" w:lineRule="exact"/>
        <w:ind w:right="372" w:firstLine="720"/>
        <w:jc w:val="both"/>
        <w:rPr>
          <w:lang w:val="lv-LV"/>
        </w:rPr>
      </w:pPr>
    </w:p>
    <w:p w14:paraId="7054CEC5" w14:textId="3FBBB82B" w:rsidR="00ED287C" w:rsidRPr="00ED287C" w:rsidRDefault="00ED287C" w:rsidP="000C625D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proofErr w:type="gramStart"/>
      <w:r w:rsidRPr="00ED287C">
        <w:rPr>
          <w:lang w:val="lv-LV"/>
        </w:rPr>
        <w:t xml:space="preserve">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Pr="00ED287C">
        <w:rPr>
          <w:lang w:val="lv-LV"/>
        </w:rPr>
        <w:t xml:space="preserve"> </w:t>
      </w:r>
      <w:proofErr w:type="gramEnd"/>
      <w:r w:rsidRPr="00ED287C">
        <w:rPr>
          <w:lang w:val="lv-LV"/>
        </w:rPr>
        <w:t>Karīna Meiberga</w:t>
      </w:r>
    </w:p>
    <w:p w14:paraId="55ADFC89" w14:textId="77777777" w:rsidR="00684FF7" w:rsidRPr="00E80785" w:rsidRDefault="00684FF7" w:rsidP="000C625D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CD087C8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423FDD">
      <w:t>25.04.2022.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3FDD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t.s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purl.org/dc/dcmitype/"/>
    <ds:schemaRef ds:uri="http://www.w3.org/XML/1998/namespace"/>
    <ds:schemaRef ds:uri="6e8af54f-37a3-4179-b2ce-85d56829909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7fae41-c47b-43cc-966a-01b838070d4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AAFEF2-322B-4C54-84C9-5D945E07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2022-04-25T09:03:00Z</dcterms:created>
  <dcterms:modified xsi:type="dcterms:W3CDTF">2022-04-25T09:03:00Z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