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32B2" w14:textId="4C556014" w:rsidR="00324E69" w:rsidRPr="0028387D" w:rsidRDefault="0028387D" w:rsidP="00947577">
      <w:pPr>
        <w:ind w:right="372"/>
        <w:jc w:val="right"/>
        <w:rPr>
          <w:i/>
          <w:lang w:val="lv-LV"/>
        </w:rPr>
      </w:pPr>
      <w:r>
        <w:rPr>
          <w:lang w:val="en-US"/>
        </w:rPr>
        <w:t xml:space="preserve"> </w:t>
      </w:r>
      <w:r w:rsidR="00947577" w:rsidRPr="0028387D">
        <w:t xml:space="preserve"> </w:t>
      </w:r>
      <w:r w:rsidR="00810BC1" w:rsidRPr="0028387D">
        <w:t xml:space="preserve">  </w:t>
      </w:r>
    </w:p>
    <w:p w14:paraId="396837E1" w14:textId="77777777" w:rsidR="00527F3C" w:rsidRPr="00527F3C" w:rsidRDefault="00ED287C" w:rsidP="00527F3C">
      <w:pPr>
        <w:jc w:val="both"/>
        <w:rPr>
          <w:i/>
          <w:lang w:val="lv-LV"/>
        </w:rPr>
      </w:pPr>
      <w:r w:rsidRPr="00527F3C">
        <w:rPr>
          <w:i/>
          <w:lang w:val="lv-LV"/>
        </w:rPr>
        <w:t xml:space="preserve">Par </w:t>
      </w:r>
      <w:r w:rsidR="00527F3C" w:rsidRPr="00527F3C">
        <w:rPr>
          <w:i/>
          <w:lang w:val="lv-LV"/>
        </w:rPr>
        <w:t xml:space="preserve">atklāta konkursa </w:t>
      </w:r>
      <w:bookmarkStart w:id="0" w:name="_Hlk137213034"/>
      <w:r w:rsidR="00527F3C" w:rsidRPr="00527F3C">
        <w:rPr>
          <w:i/>
          <w:lang w:val="lv-LV"/>
        </w:rPr>
        <w:t xml:space="preserve">“Būvniecības ieceres “Tramvaja līnijas pagarinājuma, </w:t>
      </w:r>
    </w:p>
    <w:p w14:paraId="6E27BC49" w14:textId="77777777" w:rsidR="00527F3C" w:rsidRPr="00527F3C" w:rsidRDefault="00527F3C" w:rsidP="00527F3C">
      <w:pPr>
        <w:jc w:val="both"/>
        <w:rPr>
          <w:i/>
          <w:lang w:val="lv-LV"/>
        </w:rPr>
      </w:pPr>
      <w:proofErr w:type="spellStart"/>
      <w:r w:rsidRPr="00527F3C">
        <w:rPr>
          <w:i/>
          <w:lang w:val="lv-LV"/>
        </w:rPr>
        <w:t>transportmijas</w:t>
      </w:r>
      <w:proofErr w:type="spellEnd"/>
      <w:r w:rsidRPr="00527F3C">
        <w:rPr>
          <w:i/>
          <w:lang w:val="lv-LV"/>
        </w:rPr>
        <w:t xml:space="preserve"> punkta un ar tiem saistīto ēku un inženierbūvju būvniecība </w:t>
      </w:r>
    </w:p>
    <w:p w14:paraId="134C0711" w14:textId="0B2AEF0F" w:rsidR="00527F3C" w:rsidRPr="00527F3C" w:rsidRDefault="00527F3C" w:rsidP="00527F3C">
      <w:pPr>
        <w:jc w:val="both"/>
        <w:rPr>
          <w:i/>
          <w:lang w:val="lv-LV"/>
        </w:rPr>
      </w:pPr>
      <w:r w:rsidRPr="00527F3C">
        <w:rPr>
          <w:i/>
          <w:lang w:val="lv-LV"/>
        </w:rPr>
        <w:t>Maskavas un Višķu ielās, Rīgā” projektēšana, autoruzraudzība un būvdarbi”</w:t>
      </w:r>
    </w:p>
    <w:p w14:paraId="01E5FD02" w14:textId="30852991" w:rsidR="00ED287C" w:rsidRPr="00527F3C" w:rsidRDefault="0062231F" w:rsidP="00527F3C">
      <w:pPr>
        <w:jc w:val="both"/>
        <w:rPr>
          <w:i/>
          <w:lang w:val="lv-LV"/>
        </w:rPr>
      </w:pPr>
      <w:r>
        <w:rPr>
          <w:i/>
          <w:lang w:val="lv-LV"/>
        </w:rPr>
        <w:t>(</w:t>
      </w:r>
      <w:r w:rsidR="00527F3C" w:rsidRPr="00527F3C">
        <w:rPr>
          <w:i/>
          <w:lang w:val="lv-LV"/>
        </w:rPr>
        <w:t>ID Nr. RS/2023/34</w:t>
      </w:r>
      <w:r>
        <w:rPr>
          <w:i/>
          <w:lang w:val="lv-LV"/>
        </w:rPr>
        <w:t>)</w:t>
      </w:r>
      <w:r w:rsidR="00527F3C" w:rsidRPr="00527F3C">
        <w:rPr>
          <w:i/>
          <w:lang w:val="lv-LV"/>
        </w:rPr>
        <w:t xml:space="preserve"> </w:t>
      </w:r>
      <w:bookmarkEnd w:id="0"/>
      <w:r w:rsidR="00ED287C" w:rsidRPr="00527F3C">
        <w:rPr>
          <w:i/>
          <w:lang w:val="lv-LV"/>
        </w:rPr>
        <w:t>nolikuma prasībām</w:t>
      </w:r>
    </w:p>
    <w:p w14:paraId="6F27DAAA" w14:textId="77777777" w:rsidR="00ED287C" w:rsidRPr="00E96D73" w:rsidRDefault="00ED287C" w:rsidP="00D019CA">
      <w:pPr>
        <w:ind w:right="372"/>
        <w:jc w:val="both"/>
        <w:rPr>
          <w:lang w:val="lv-LV"/>
        </w:rPr>
      </w:pPr>
    </w:p>
    <w:p w14:paraId="4FA8B37C" w14:textId="41632C85" w:rsidR="0028387D" w:rsidRDefault="00ED287C" w:rsidP="00CE4970">
      <w:pPr>
        <w:ind w:right="372" w:firstLine="426"/>
        <w:jc w:val="both"/>
        <w:rPr>
          <w:lang w:val="lv-LV"/>
        </w:rPr>
      </w:pPr>
      <w:r w:rsidRPr="009720CB">
        <w:rPr>
          <w:lang w:val="lv-LV"/>
        </w:rPr>
        <w:t>Rīgas pašvaldības sabiedrības ar ierobežotu atbildību „Rīgas satiksme” Iepirkuma komisija (turpmāk – Pasūtītājs) no iespējamā p</w:t>
      </w:r>
      <w:r w:rsidR="0035660F">
        <w:rPr>
          <w:lang w:val="lv-LV"/>
        </w:rPr>
        <w:t>retendenta</w:t>
      </w:r>
      <w:r w:rsidRPr="009720CB">
        <w:rPr>
          <w:lang w:val="lv-LV"/>
        </w:rPr>
        <w:t xml:space="preserve"> ir saņēmusi vēstuli</w:t>
      </w:r>
      <w:r w:rsidR="0028387D">
        <w:rPr>
          <w:lang w:val="lv-LV"/>
        </w:rPr>
        <w:t xml:space="preserve"> </w:t>
      </w:r>
      <w:r w:rsidR="0028387D" w:rsidRPr="0026253D">
        <w:rPr>
          <w:lang w:val="lv-LV"/>
        </w:rPr>
        <w:t>ar lūgumu sniegt skaidrojumu par nolikumā ietvertajām prasībām.</w:t>
      </w:r>
    </w:p>
    <w:p w14:paraId="370E64DE" w14:textId="77777777" w:rsidR="0028387D" w:rsidRDefault="0028387D" w:rsidP="0028387D">
      <w:pPr>
        <w:widowControl w:val="0"/>
        <w:ind w:right="372" w:firstLine="567"/>
        <w:jc w:val="both"/>
        <w:rPr>
          <w:rFonts w:eastAsia="Calibri"/>
          <w:lang w:val="lv-LV"/>
        </w:rPr>
      </w:pPr>
    </w:p>
    <w:p w14:paraId="0A0C85BA" w14:textId="77777777" w:rsidR="005C7AA1" w:rsidRDefault="0028387D" w:rsidP="0028387D">
      <w:pPr>
        <w:widowControl w:val="0"/>
        <w:ind w:right="372"/>
        <w:jc w:val="both"/>
        <w:rPr>
          <w:rFonts w:eastAsia="Calibri"/>
          <w:i/>
          <w:iCs/>
          <w:lang w:val="lv-LV"/>
        </w:rPr>
      </w:pPr>
      <w:r w:rsidRPr="0028387D">
        <w:rPr>
          <w:rFonts w:eastAsia="Calibri"/>
          <w:b/>
          <w:bCs/>
          <w:i/>
          <w:iCs/>
          <w:lang w:val="lv-LV"/>
        </w:rPr>
        <w:t>Jautājums:</w:t>
      </w:r>
    </w:p>
    <w:p w14:paraId="69764230" w14:textId="6CF4E545" w:rsidR="0028387D" w:rsidRPr="0028387D" w:rsidRDefault="0028387D" w:rsidP="0028387D">
      <w:pPr>
        <w:widowControl w:val="0"/>
        <w:ind w:right="372"/>
        <w:jc w:val="both"/>
        <w:rPr>
          <w:rFonts w:eastAsia="Calibri"/>
          <w:i/>
          <w:iCs/>
          <w:lang w:val="lv-LV"/>
        </w:rPr>
      </w:pPr>
      <w:r>
        <w:rPr>
          <w:rFonts w:eastAsia="Calibri"/>
          <w:i/>
          <w:iCs/>
          <w:lang w:val="lv-LV"/>
        </w:rPr>
        <w:t>I</w:t>
      </w:r>
      <w:r w:rsidRPr="0028387D">
        <w:rPr>
          <w:rFonts w:eastAsia="Calibri"/>
          <w:i/>
          <w:iCs/>
          <w:lang w:val="lv-LV"/>
        </w:rPr>
        <w:t xml:space="preserve">epazīstoties ar iepirkuma dokumentāciju esam konstatējuši, ka nav pieejami orientējošie plānotie būvdarbu apjomi. Savukārt pārskatot iepriekšējās stadijas pakalpojuma nolikumu, precīzāk - iepirkuma „Atveseļošanās un noturības mehānisma plānā iekļauto Rīgas pilsētas pašvaldības projektu </w:t>
      </w:r>
      <w:proofErr w:type="spellStart"/>
      <w:r w:rsidRPr="0028387D">
        <w:rPr>
          <w:rFonts w:eastAsia="Calibri"/>
          <w:i/>
          <w:iCs/>
          <w:lang w:val="lv-LV"/>
        </w:rPr>
        <w:t>priekšizpētes</w:t>
      </w:r>
      <w:proofErr w:type="spellEnd"/>
      <w:r w:rsidRPr="0028387D">
        <w:rPr>
          <w:rFonts w:eastAsia="Calibri"/>
          <w:i/>
          <w:iCs/>
          <w:lang w:val="lv-LV"/>
        </w:rPr>
        <w:t xml:space="preserve"> veikšana un nepieciešamo ekspertu piesaiste” konkursa nolikuma 1.pielikumu “Tehniskā specifikācija”, redzams, ka Pasūtītājs ir uzdevis sekojošo: punkts 5.7.: Sniegt būvniecības ieceru risinājumu izmaksu detalizētu </w:t>
      </w:r>
      <w:proofErr w:type="spellStart"/>
      <w:r w:rsidRPr="0028387D">
        <w:rPr>
          <w:rFonts w:eastAsia="Calibri"/>
          <w:i/>
          <w:iCs/>
          <w:lang w:val="lv-LV"/>
        </w:rPr>
        <w:t>izvērtējumu</w:t>
      </w:r>
      <w:proofErr w:type="spellEnd"/>
      <w:r w:rsidRPr="0028387D">
        <w:rPr>
          <w:rFonts w:eastAsia="Calibri"/>
          <w:i/>
          <w:iCs/>
          <w:lang w:val="lv-LV"/>
        </w:rPr>
        <w:t>, ietverot tāmju izstrādi saskaņā ar Ministru kabineta 2017. gada 3. maija noteikumiem Nr. 330 „Noteikumi par Latvijas būvnormatīvu LBN 501-15 „</w:t>
      </w:r>
      <w:proofErr w:type="spellStart"/>
      <w:r w:rsidRPr="0028387D">
        <w:rPr>
          <w:rFonts w:eastAsia="Calibri"/>
          <w:i/>
          <w:iCs/>
          <w:lang w:val="lv-LV"/>
        </w:rPr>
        <w:t>Būvizmaksu</w:t>
      </w:r>
      <w:proofErr w:type="spellEnd"/>
      <w:r w:rsidRPr="0028387D">
        <w:rPr>
          <w:rFonts w:eastAsia="Calibri"/>
          <w:i/>
          <w:iCs/>
          <w:lang w:val="lv-LV"/>
        </w:rPr>
        <w:t xml:space="preserve"> noteikšanas kārtība”” un citiem normatīvajiem aktiem. Risinājumu izstrādes gaitā saskaņot tāmi ar Pasūtītāju.</w:t>
      </w:r>
    </w:p>
    <w:p w14:paraId="596A4BA3" w14:textId="77777777" w:rsidR="005C7AA1" w:rsidRDefault="005C7AA1" w:rsidP="005C7AA1">
      <w:pPr>
        <w:widowControl w:val="0"/>
        <w:ind w:right="372"/>
        <w:jc w:val="both"/>
        <w:rPr>
          <w:rFonts w:eastAsia="Calibri"/>
          <w:i/>
          <w:iCs/>
          <w:lang w:val="lv-LV"/>
        </w:rPr>
      </w:pPr>
    </w:p>
    <w:p w14:paraId="47CE6CDC" w14:textId="1D72D536" w:rsidR="0028387D" w:rsidRPr="0028387D" w:rsidRDefault="0028387D" w:rsidP="005C7AA1">
      <w:pPr>
        <w:widowControl w:val="0"/>
        <w:ind w:right="372"/>
        <w:jc w:val="both"/>
        <w:rPr>
          <w:i/>
          <w:iCs/>
          <w:sz w:val="22"/>
          <w:szCs w:val="22"/>
          <w:lang w:val="lv-LV"/>
        </w:rPr>
      </w:pPr>
      <w:r w:rsidRPr="0028387D">
        <w:rPr>
          <w:rFonts w:eastAsia="Calibri"/>
          <w:i/>
          <w:iCs/>
          <w:lang w:val="lv-LV"/>
        </w:rPr>
        <w:t>No šī varam secināt, ka Pasūtītāja rīcībā ir pieejami prognozētie būvdarbu apjomi, uz kuriem balstoties ir sastādītas Tehniskajā specifikācijā prasītās tāmes. Lai nodrošinātu līdzvērtīgas iespējas visiem pretendentiem, lūdzam publicēt prognozētos orientējošos būvdarbu apjomus.</w:t>
      </w:r>
    </w:p>
    <w:p w14:paraId="7A77140A" w14:textId="77777777" w:rsidR="0028387D" w:rsidRDefault="0028387D" w:rsidP="0028387D">
      <w:pPr>
        <w:ind w:right="372"/>
        <w:jc w:val="both"/>
        <w:rPr>
          <w:lang w:val="lv-LV"/>
        </w:rPr>
      </w:pPr>
    </w:p>
    <w:p w14:paraId="247307B0" w14:textId="77777777" w:rsidR="005C7AA1" w:rsidRDefault="0028387D" w:rsidP="0028387D">
      <w:pPr>
        <w:ind w:right="372"/>
        <w:jc w:val="both"/>
        <w:rPr>
          <w:lang w:val="lv-LV"/>
        </w:rPr>
      </w:pPr>
      <w:r w:rsidRPr="0028387D">
        <w:rPr>
          <w:b/>
          <w:bCs/>
          <w:lang w:val="lv-LV"/>
        </w:rPr>
        <w:t>Atbilde</w:t>
      </w:r>
      <w:r>
        <w:rPr>
          <w:lang w:val="lv-LV"/>
        </w:rPr>
        <w:t xml:space="preserve">: </w:t>
      </w:r>
    </w:p>
    <w:p w14:paraId="13B37928" w14:textId="5DE48FF1" w:rsidR="0028387D" w:rsidRDefault="00EC5A7F" w:rsidP="0028387D">
      <w:pPr>
        <w:ind w:right="372"/>
        <w:jc w:val="both"/>
        <w:rPr>
          <w:lang w:val="lv-LV"/>
        </w:rPr>
      </w:pPr>
      <w:r>
        <w:rPr>
          <w:lang w:val="lv-LV"/>
        </w:rPr>
        <w:t>I</w:t>
      </w:r>
      <w:r w:rsidR="0028387D">
        <w:rPr>
          <w:lang w:val="lv-LV"/>
        </w:rPr>
        <w:t xml:space="preserve">nformējam, ka Elektronisko iepirkumu sistēmā </w:t>
      </w:r>
      <w:r w:rsidR="00801D8A">
        <w:rPr>
          <w:lang w:val="lv-LV"/>
        </w:rPr>
        <w:t>tika</w:t>
      </w:r>
      <w:r w:rsidR="0028387D">
        <w:rPr>
          <w:lang w:val="lv-LV"/>
        </w:rPr>
        <w:t xml:space="preserve"> publicēts </w:t>
      </w:r>
      <w:r w:rsidR="00850DE6">
        <w:rPr>
          <w:lang w:val="lv-LV"/>
        </w:rPr>
        <w:t>orientējošs projekta darbu daudzumu saraksts.</w:t>
      </w:r>
      <w:r w:rsidR="00D0792E">
        <w:rPr>
          <w:lang w:val="lv-LV"/>
        </w:rPr>
        <w:t xml:space="preserve"> Lūdzam sekot informācijai </w:t>
      </w:r>
      <w:hyperlink r:id="rId12" w:history="1">
        <w:r w:rsidR="00D0792E" w:rsidRPr="00174B5D">
          <w:rPr>
            <w:rStyle w:val="Hyperlink"/>
            <w:lang w:val="lv-LV"/>
          </w:rPr>
          <w:t>www.eis.gov.lv</w:t>
        </w:r>
      </w:hyperlink>
      <w:r w:rsidR="00D0792E">
        <w:rPr>
          <w:lang w:val="lv-LV"/>
        </w:rPr>
        <w:t xml:space="preserve">. </w:t>
      </w:r>
    </w:p>
    <w:p w14:paraId="18035F5E" w14:textId="22B53D02" w:rsidR="00686645" w:rsidRDefault="00686645" w:rsidP="00324E69">
      <w:pPr>
        <w:spacing w:before="60" w:after="60" w:line="259" w:lineRule="auto"/>
        <w:ind w:right="372"/>
        <w:jc w:val="both"/>
        <w:rPr>
          <w:lang w:val="lv-LV"/>
        </w:rPr>
      </w:pPr>
    </w:p>
    <w:p w14:paraId="1DF245AD" w14:textId="77777777" w:rsidR="0028387D" w:rsidRPr="00F4367F" w:rsidRDefault="0028387D" w:rsidP="00324E69">
      <w:pPr>
        <w:spacing w:before="60" w:after="60" w:line="259" w:lineRule="auto"/>
        <w:ind w:right="372"/>
        <w:jc w:val="both"/>
        <w:rPr>
          <w:rFonts w:eastAsiaTheme="minorHAnsi"/>
          <w:lang w:val="lv-LV"/>
        </w:rPr>
      </w:pPr>
    </w:p>
    <w:p w14:paraId="7054CEC5" w14:textId="57DB02D3" w:rsidR="00ED287C" w:rsidRDefault="00ED287C" w:rsidP="00E34725">
      <w:pPr>
        <w:ind w:right="372"/>
        <w:jc w:val="both"/>
        <w:outlineLvl w:val="0"/>
        <w:rPr>
          <w:lang w:val="lv-LV"/>
        </w:rPr>
      </w:pPr>
      <w:r w:rsidRPr="00325C33">
        <w:rPr>
          <w:lang w:val="lv-LV"/>
        </w:rPr>
        <w:t xml:space="preserve">Iepirkumu komisijas priekšsēdētāja                                                                          </w:t>
      </w:r>
      <w:r w:rsidR="00DF0270" w:rsidRPr="00325C33">
        <w:rPr>
          <w:lang w:val="lv-LV"/>
        </w:rPr>
        <w:t xml:space="preserve"> </w:t>
      </w:r>
      <w:r w:rsidR="006A6145" w:rsidRPr="00325C33">
        <w:rPr>
          <w:lang w:val="lv-LV"/>
        </w:rPr>
        <w:t xml:space="preserve"> </w:t>
      </w:r>
      <w:r w:rsidR="0061319C" w:rsidRPr="00325C33">
        <w:rPr>
          <w:lang w:val="lv-LV"/>
        </w:rPr>
        <w:t xml:space="preserve">       </w:t>
      </w:r>
      <w:r w:rsidRPr="00325C33">
        <w:rPr>
          <w:lang w:val="lv-LV"/>
        </w:rPr>
        <w:t xml:space="preserve"> </w:t>
      </w:r>
      <w:r w:rsidR="00483476" w:rsidRPr="00325C33">
        <w:rPr>
          <w:lang w:val="lv-LV"/>
        </w:rPr>
        <w:t>Inta Novika</w:t>
      </w:r>
    </w:p>
    <w:p w14:paraId="080838F0" w14:textId="3E7D1253" w:rsidR="00ED7FC3" w:rsidRDefault="00ED7FC3" w:rsidP="00E34725">
      <w:pPr>
        <w:ind w:right="372"/>
        <w:jc w:val="both"/>
        <w:outlineLvl w:val="0"/>
        <w:rPr>
          <w:lang w:val="lv-LV"/>
        </w:rPr>
      </w:pPr>
    </w:p>
    <w:p w14:paraId="3FDDFF0E" w14:textId="77777777" w:rsidR="00D0792E" w:rsidRDefault="00D0792E" w:rsidP="00ED7FC3">
      <w:pPr>
        <w:jc w:val="center"/>
      </w:pPr>
    </w:p>
    <w:p w14:paraId="7270DE66" w14:textId="77777777" w:rsidR="00D0792E" w:rsidRDefault="00D0792E" w:rsidP="00ED7FC3">
      <w:pPr>
        <w:jc w:val="center"/>
      </w:pPr>
    </w:p>
    <w:p w14:paraId="73D7D56A" w14:textId="77777777" w:rsidR="00D0792E" w:rsidRDefault="00D0792E" w:rsidP="00ED7FC3">
      <w:pPr>
        <w:jc w:val="center"/>
      </w:pPr>
    </w:p>
    <w:p w14:paraId="5F34CA66" w14:textId="77777777" w:rsidR="00ED7FC3" w:rsidRPr="00325C33" w:rsidRDefault="00ED7FC3" w:rsidP="00E34725">
      <w:pPr>
        <w:ind w:right="372"/>
        <w:jc w:val="both"/>
        <w:outlineLvl w:val="0"/>
        <w:rPr>
          <w:lang w:val="lv-LV"/>
        </w:rPr>
      </w:pPr>
    </w:p>
    <w:p w14:paraId="55ADFC89" w14:textId="77777777" w:rsidR="00684FF7" w:rsidRPr="00325C33" w:rsidRDefault="00684FF7" w:rsidP="00D019CA">
      <w:pPr>
        <w:ind w:right="372"/>
        <w:jc w:val="both"/>
        <w:rPr>
          <w:lang w:val="lv-LV"/>
        </w:rPr>
      </w:pPr>
    </w:p>
    <w:sectPr w:rsidR="00684FF7" w:rsidRPr="00325C33" w:rsidSect="00E80785">
      <w:headerReference w:type="even" r:id="rId13"/>
      <w:headerReference w:type="default" r:id="rId14"/>
      <w:headerReference w:type="first" r:id="rId15"/>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199E" w14:textId="77777777" w:rsidR="009A45F1" w:rsidRDefault="009A45F1">
      <w:r>
        <w:separator/>
      </w:r>
    </w:p>
  </w:endnote>
  <w:endnote w:type="continuationSeparator" w:id="0">
    <w:p w14:paraId="73A5794F" w14:textId="77777777" w:rsidR="009A45F1" w:rsidRDefault="009A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AC5A" w14:textId="77777777" w:rsidR="009A45F1" w:rsidRDefault="009A45F1">
      <w:r>
        <w:separator/>
      </w:r>
    </w:p>
  </w:footnote>
  <w:footnote w:type="continuationSeparator" w:id="0">
    <w:p w14:paraId="554C4541" w14:textId="77777777" w:rsidR="009A45F1" w:rsidRDefault="009A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50CEA2D1" w:rsidR="001B6FD9" w:rsidRDefault="0032782B" w:rsidP="00477D5C">
    <w:pPr>
      <w:pStyle w:val="Header"/>
      <w:tabs>
        <w:tab w:val="left" w:pos="426"/>
        <w:tab w:val="left" w:pos="1418"/>
      </w:tabs>
      <w:jc w:val="both"/>
    </w:pPr>
    <w:bookmarkStart w:id="1" w:name="docDate"/>
    <w:bookmarkStart w:id="2" w:name="docNr"/>
    <w:bookmarkEnd w:id="1"/>
    <w:bookmarkEnd w:id="2"/>
    <w:r>
      <w:t>16.06.2023.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0E0F0F"/>
    <w:multiLevelType w:val="hybridMultilevel"/>
    <w:tmpl w:val="72E083BC"/>
    <w:lvl w:ilvl="0" w:tplc="899C94FE">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755594013">
    <w:abstractNumId w:val="0"/>
  </w:num>
  <w:num w:numId="2" w16cid:durableId="268853921">
    <w:abstractNumId w:val="6"/>
  </w:num>
  <w:num w:numId="3" w16cid:durableId="1346135039">
    <w:abstractNumId w:val="12"/>
  </w:num>
  <w:num w:numId="4" w16cid:durableId="662854321">
    <w:abstractNumId w:val="1"/>
  </w:num>
  <w:num w:numId="5" w16cid:durableId="1736705838">
    <w:abstractNumId w:val="8"/>
  </w:num>
  <w:num w:numId="6" w16cid:durableId="1144736612">
    <w:abstractNumId w:val="4"/>
  </w:num>
  <w:num w:numId="7" w16cid:durableId="1784956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10"/>
  </w:num>
  <w:num w:numId="9" w16cid:durableId="84345720">
    <w:abstractNumId w:val="5"/>
  </w:num>
  <w:num w:numId="10" w16cid:durableId="1766462949">
    <w:abstractNumId w:val="2"/>
  </w:num>
  <w:num w:numId="11" w16cid:durableId="89766680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13"/>
  </w:num>
  <w:num w:numId="13" w16cid:durableId="511839796">
    <w:abstractNumId w:val="3"/>
  </w:num>
  <w:num w:numId="14" w16cid:durableId="1531914271">
    <w:abstractNumId w:val="9"/>
  </w:num>
  <w:num w:numId="15" w16cid:durableId="1615549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107AF"/>
    <w:rsid w:val="00011A1E"/>
    <w:rsid w:val="00012860"/>
    <w:rsid w:val="0001357B"/>
    <w:rsid w:val="0001453B"/>
    <w:rsid w:val="00014AAA"/>
    <w:rsid w:val="00015838"/>
    <w:rsid w:val="00022B3D"/>
    <w:rsid w:val="000311C0"/>
    <w:rsid w:val="0004076F"/>
    <w:rsid w:val="0004286D"/>
    <w:rsid w:val="00044AEE"/>
    <w:rsid w:val="000465D1"/>
    <w:rsid w:val="000513F6"/>
    <w:rsid w:val="000525F0"/>
    <w:rsid w:val="00052CD7"/>
    <w:rsid w:val="000604EE"/>
    <w:rsid w:val="000616A3"/>
    <w:rsid w:val="00072933"/>
    <w:rsid w:val="000B0105"/>
    <w:rsid w:val="000B6FD1"/>
    <w:rsid w:val="000C2F69"/>
    <w:rsid w:val="000C4C00"/>
    <w:rsid w:val="000D371C"/>
    <w:rsid w:val="000D6732"/>
    <w:rsid w:val="000E1AA8"/>
    <w:rsid w:val="000E35C8"/>
    <w:rsid w:val="000E35F8"/>
    <w:rsid w:val="000E7E1F"/>
    <w:rsid w:val="000F4D1B"/>
    <w:rsid w:val="000F573B"/>
    <w:rsid w:val="00122A4B"/>
    <w:rsid w:val="00127A43"/>
    <w:rsid w:val="00141881"/>
    <w:rsid w:val="00143E88"/>
    <w:rsid w:val="00145341"/>
    <w:rsid w:val="00185A7E"/>
    <w:rsid w:val="0019049E"/>
    <w:rsid w:val="00190530"/>
    <w:rsid w:val="00191138"/>
    <w:rsid w:val="0019753D"/>
    <w:rsid w:val="001A4C62"/>
    <w:rsid w:val="001A6133"/>
    <w:rsid w:val="001A6A27"/>
    <w:rsid w:val="001B000D"/>
    <w:rsid w:val="001B2AD7"/>
    <w:rsid w:val="001B6718"/>
    <w:rsid w:val="001B6FD9"/>
    <w:rsid w:val="001C5053"/>
    <w:rsid w:val="002001E4"/>
    <w:rsid w:val="0020720F"/>
    <w:rsid w:val="002222DE"/>
    <w:rsid w:val="00233FCE"/>
    <w:rsid w:val="00234157"/>
    <w:rsid w:val="00234C11"/>
    <w:rsid w:val="00250C8B"/>
    <w:rsid w:val="002519F8"/>
    <w:rsid w:val="0026220C"/>
    <w:rsid w:val="00263228"/>
    <w:rsid w:val="002671CE"/>
    <w:rsid w:val="00274245"/>
    <w:rsid w:val="002747E5"/>
    <w:rsid w:val="0028387D"/>
    <w:rsid w:val="00284340"/>
    <w:rsid w:val="002B1A94"/>
    <w:rsid w:val="002C178C"/>
    <w:rsid w:val="002C786C"/>
    <w:rsid w:val="002D303C"/>
    <w:rsid w:val="002E10DC"/>
    <w:rsid w:val="002E43A6"/>
    <w:rsid w:val="002E5BC5"/>
    <w:rsid w:val="002E733C"/>
    <w:rsid w:val="002E786C"/>
    <w:rsid w:val="00300D5F"/>
    <w:rsid w:val="003014F9"/>
    <w:rsid w:val="00301EF1"/>
    <w:rsid w:val="0030309A"/>
    <w:rsid w:val="003130A2"/>
    <w:rsid w:val="00324E69"/>
    <w:rsid w:val="00325A6F"/>
    <w:rsid w:val="00325C33"/>
    <w:rsid w:val="0032782B"/>
    <w:rsid w:val="00333E82"/>
    <w:rsid w:val="003351CC"/>
    <w:rsid w:val="00335EEB"/>
    <w:rsid w:val="00336D5E"/>
    <w:rsid w:val="0034565C"/>
    <w:rsid w:val="0034617A"/>
    <w:rsid w:val="0035193C"/>
    <w:rsid w:val="0035660F"/>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6224"/>
    <w:rsid w:val="00454749"/>
    <w:rsid w:val="00454D63"/>
    <w:rsid w:val="00455984"/>
    <w:rsid w:val="00477D5C"/>
    <w:rsid w:val="00483476"/>
    <w:rsid w:val="00495061"/>
    <w:rsid w:val="004A0D6C"/>
    <w:rsid w:val="004B0AF2"/>
    <w:rsid w:val="004B0C9F"/>
    <w:rsid w:val="004B17EF"/>
    <w:rsid w:val="004B761C"/>
    <w:rsid w:val="004C2F01"/>
    <w:rsid w:val="004D46D3"/>
    <w:rsid w:val="004D636B"/>
    <w:rsid w:val="004E3581"/>
    <w:rsid w:val="004F098D"/>
    <w:rsid w:val="004F0DA4"/>
    <w:rsid w:val="004F581B"/>
    <w:rsid w:val="00514C32"/>
    <w:rsid w:val="00517B44"/>
    <w:rsid w:val="00521B07"/>
    <w:rsid w:val="0052354F"/>
    <w:rsid w:val="0052581A"/>
    <w:rsid w:val="00526FFA"/>
    <w:rsid w:val="00527F3C"/>
    <w:rsid w:val="005402A8"/>
    <w:rsid w:val="0054525F"/>
    <w:rsid w:val="0056186C"/>
    <w:rsid w:val="0057098B"/>
    <w:rsid w:val="00570E1F"/>
    <w:rsid w:val="00573C21"/>
    <w:rsid w:val="00574553"/>
    <w:rsid w:val="00576258"/>
    <w:rsid w:val="00576EBE"/>
    <w:rsid w:val="005A0903"/>
    <w:rsid w:val="005B1FDE"/>
    <w:rsid w:val="005C7AA1"/>
    <w:rsid w:val="005D3F37"/>
    <w:rsid w:val="005D47D5"/>
    <w:rsid w:val="005E66ED"/>
    <w:rsid w:val="005F3ACE"/>
    <w:rsid w:val="00605FE2"/>
    <w:rsid w:val="006075F6"/>
    <w:rsid w:val="0061319C"/>
    <w:rsid w:val="00620886"/>
    <w:rsid w:val="0062231F"/>
    <w:rsid w:val="006223E9"/>
    <w:rsid w:val="00624E1C"/>
    <w:rsid w:val="006312F4"/>
    <w:rsid w:val="006339F1"/>
    <w:rsid w:val="006414CC"/>
    <w:rsid w:val="00663534"/>
    <w:rsid w:val="00675848"/>
    <w:rsid w:val="006765C4"/>
    <w:rsid w:val="00684FF7"/>
    <w:rsid w:val="00686645"/>
    <w:rsid w:val="006874A7"/>
    <w:rsid w:val="006964E9"/>
    <w:rsid w:val="006A3C1B"/>
    <w:rsid w:val="006A6145"/>
    <w:rsid w:val="006A672C"/>
    <w:rsid w:val="006A7A31"/>
    <w:rsid w:val="006B0D98"/>
    <w:rsid w:val="006B52BC"/>
    <w:rsid w:val="006B5782"/>
    <w:rsid w:val="006C4115"/>
    <w:rsid w:val="006D3BDA"/>
    <w:rsid w:val="00706549"/>
    <w:rsid w:val="00712459"/>
    <w:rsid w:val="0071685A"/>
    <w:rsid w:val="00720501"/>
    <w:rsid w:val="00732D57"/>
    <w:rsid w:val="00735447"/>
    <w:rsid w:val="00737061"/>
    <w:rsid w:val="00741397"/>
    <w:rsid w:val="007426A4"/>
    <w:rsid w:val="0075033F"/>
    <w:rsid w:val="00756CAE"/>
    <w:rsid w:val="00761DC2"/>
    <w:rsid w:val="007666D6"/>
    <w:rsid w:val="00770759"/>
    <w:rsid w:val="00780537"/>
    <w:rsid w:val="00781423"/>
    <w:rsid w:val="00781934"/>
    <w:rsid w:val="007875D1"/>
    <w:rsid w:val="00792BCA"/>
    <w:rsid w:val="007A34BE"/>
    <w:rsid w:val="007B0C95"/>
    <w:rsid w:val="007B1AFB"/>
    <w:rsid w:val="007B3E19"/>
    <w:rsid w:val="007C7D70"/>
    <w:rsid w:val="007D161A"/>
    <w:rsid w:val="007D343F"/>
    <w:rsid w:val="007D4DAC"/>
    <w:rsid w:val="007D62F7"/>
    <w:rsid w:val="007E1B98"/>
    <w:rsid w:val="007F411B"/>
    <w:rsid w:val="00801D8A"/>
    <w:rsid w:val="00803136"/>
    <w:rsid w:val="00803A1A"/>
    <w:rsid w:val="00804B9C"/>
    <w:rsid w:val="008100AA"/>
    <w:rsid w:val="00810BC1"/>
    <w:rsid w:val="00811234"/>
    <w:rsid w:val="00816196"/>
    <w:rsid w:val="0082594E"/>
    <w:rsid w:val="00825FA6"/>
    <w:rsid w:val="00830C0F"/>
    <w:rsid w:val="00830FE1"/>
    <w:rsid w:val="008324A5"/>
    <w:rsid w:val="00835D79"/>
    <w:rsid w:val="00850DE6"/>
    <w:rsid w:val="008533C8"/>
    <w:rsid w:val="00857D3F"/>
    <w:rsid w:val="00863CC3"/>
    <w:rsid w:val="00867667"/>
    <w:rsid w:val="00872B40"/>
    <w:rsid w:val="008929F2"/>
    <w:rsid w:val="008A1BCE"/>
    <w:rsid w:val="008A36B8"/>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47577"/>
    <w:rsid w:val="00956FC7"/>
    <w:rsid w:val="00964FE8"/>
    <w:rsid w:val="009720CB"/>
    <w:rsid w:val="00975730"/>
    <w:rsid w:val="00983AFB"/>
    <w:rsid w:val="00984992"/>
    <w:rsid w:val="009950FF"/>
    <w:rsid w:val="00996DDD"/>
    <w:rsid w:val="009A3987"/>
    <w:rsid w:val="009A45F1"/>
    <w:rsid w:val="009B03BA"/>
    <w:rsid w:val="009B6D80"/>
    <w:rsid w:val="009B7901"/>
    <w:rsid w:val="009C289F"/>
    <w:rsid w:val="009D1FF6"/>
    <w:rsid w:val="009D36E3"/>
    <w:rsid w:val="009D4658"/>
    <w:rsid w:val="009E2111"/>
    <w:rsid w:val="009E75C3"/>
    <w:rsid w:val="00A075D3"/>
    <w:rsid w:val="00A14F6B"/>
    <w:rsid w:val="00A23EA6"/>
    <w:rsid w:val="00A26288"/>
    <w:rsid w:val="00A3285A"/>
    <w:rsid w:val="00A42309"/>
    <w:rsid w:val="00A435F3"/>
    <w:rsid w:val="00A470A8"/>
    <w:rsid w:val="00A50882"/>
    <w:rsid w:val="00A52673"/>
    <w:rsid w:val="00A551B1"/>
    <w:rsid w:val="00A555AB"/>
    <w:rsid w:val="00A55640"/>
    <w:rsid w:val="00A65F0D"/>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2C1E"/>
    <w:rsid w:val="00B6333C"/>
    <w:rsid w:val="00B6726F"/>
    <w:rsid w:val="00B67B48"/>
    <w:rsid w:val="00B806AE"/>
    <w:rsid w:val="00B84DE7"/>
    <w:rsid w:val="00B90E98"/>
    <w:rsid w:val="00BA3806"/>
    <w:rsid w:val="00BB402A"/>
    <w:rsid w:val="00BC2049"/>
    <w:rsid w:val="00BC2E48"/>
    <w:rsid w:val="00BC6EB1"/>
    <w:rsid w:val="00BE279A"/>
    <w:rsid w:val="00BE5EC0"/>
    <w:rsid w:val="00BE690F"/>
    <w:rsid w:val="00BE69EA"/>
    <w:rsid w:val="00BE6EB3"/>
    <w:rsid w:val="00BF56E0"/>
    <w:rsid w:val="00BF7D80"/>
    <w:rsid w:val="00C10D35"/>
    <w:rsid w:val="00C20551"/>
    <w:rsid w:val="00C234E1"/>
    <w:rsid w:val="00C27E7A"/>
    <w:rsid w:val="00C3119D"/>
    <w:rsid w:val="00C313F1"/>
    <w:rsid w:val="00C4109D"/>
    <w:rsid w:val="00C52E8C"/>
    <w:rsid w:val="00C540E8"/>
    <w:rsid w:val="00C653CC"/>
    <w:rsid w:val="00C71C92"/>
    <w:rsid w:val="00C71D15"/>
    <w:rsid w:val="00C82B02"/>
    <w:rsid w:val="00C91D95"/>
    <w:rsid w:val="00C950CD"/>
    <w:rsid w:val="00CA0385"/>
    <w:rsid w:val="00CA73ED"/>
    <w:rsid w:val="00CB3ACB"/>
    <w:rsid w:val="00CB7671"/>
    <w:rsid w:val="00CC5B28"/>
    <w:rsid w:val="00CD01E0"/>
    <w:rsid w:val="00CE03A1"/>
    <w:rsid w:val="00CE4970"/>
    <w:rsid w:val="00CF44D2"/>
    <w:rsid w:val="00D019CA"/>
    <w:rsid w:val="00D05222"/>
    <w:rsid w:val="00D0792E"/>
    <w:rsid w:val="00D317EC"/>
    <w:rsid w:val="00D34A22"/>
    <w:rsid w:val="00D35504"/>
    <w:rsid w:val="00D408A4"/>
    <w:rsid w:val="00D43D83"/>
    <w:rsid w:val="00D56440"/>
    <w:rsid w:val="00D77F55"/>
    <w:rsid w:val="00D81F1C"/>
    <w:rsid w:val="00D86507"/>
    <w:rsid w:val="00DB2C78"/>
    <w:rsid w:val="00DB6249"/>
    <w:rsid w:val="00DC04D9"/>
    <w:rsid w:val="00DC6EAE"/>
    <w:rsid w:val="00DD6FE2"/>
    <w:rsid w:val="00DE06AD"/>
    <w:rsid w:val="00DE6FD5"/>
    <w:rsid w:val="00DF0040"/>
    <w:rsid w:val="00DF0270"/>
    <w:rsid w:val="00DF14C4"/>
    <w:rsid w:val="00DF6D93"/>
    <w:rsid w:val="00E00F55"/>
    <w:rsid w:val="00E030A1"/>
    <w:rsid w:val="00E064E9"/>
    <w:rsid w:val="00E07F7D"/>
    <w:rsid w:val="00E22FD5"/>
    <w:rsid w:val="00E34725"/>
    <w:rsid w:val="00E34732"/>
    <w:rsid w:val="00E42D5D"/>
    <w:rsid w:val="00E43013"/>
    <w:rsid w:val="00E47F88"/>
    <w:rsid w:val="00E50CF3"/>
    <w:rsid w:val="00E718B5"/>
    <w:rsid w:val="00E71B3D"/>
    <w:rsid w:val="00E71DD0"/>
    <w:rsid w:val="00E77229"/>
    <w:rsid w:val="00E80785"/>
    <w:rsid w:val="00E842ED"/>
    <w:rsid w:val="00E867A2"/>
    <w:rsid w:val="00E874EE"/>
    <w:rsid w:val="00E9092A"/>
    <w:rsid w:val="00E9346D"/>
    <w:rsid w:val="00E959CF"/>
    <w:rsid w:val="00E96D73"/>
    <w:rsid w:val="00EA471E"/>
    <w:rsid w:val="00EB089E"/>
    <w:rsid w:val="00EB1274"/>
    <w:rsid w:val="00EC1BA5"/>
    <w:rsid w:val="00EC5A7F"/>
    <w:rsid w:val="00ED0F5E"/>
    <w:rsid w:val="00ED1C42"/>
    <w:rsid w:val="00ED287C"/>
    <w:rsid w:val="00ED7FC3"/>
    <w:rsid w:val="00EE2231"/>
    <w:rsid w:val="00EF5CAB"/>
    <w:rsid w:val="00F00E4E"/>
    <w:rsid w:val="00F01C15"/>
    <w:rsid w:val="00F16EDA"/>
    <w:rsid w:val="00F213A8"/>
    <w:rsid w:val="00F2385E"/>
    <w:rsid w:val="00F321BF"/>
    <w:rsid w:val="00F428CF"/>
    <w:rsid w:val="00F4367F"/>
    <w:rsid w:val="00F541C2"/>
    <w:rsid w:val="00F627F4"/>
    <w:rsid w:val="00F631D4"/>
    <w:rsid w:val="00F63849"/>
    <w:rsid w:val="00F717A2"/>
    <w:rsid w:val="00F74039"/>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065450758">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28700490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5284293">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customXml/itemProps2.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206</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2023-06-16T09:32:00Z</dcterms:created>
  <dcterms:modified xsi:type="dcterms:W3CDTF">2023-06-16T09:32:00Z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