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CB13" w14:textId="77777777" w:rsidR="007B23D7" w:rsidRDefault="007B23D7" w:rsidP="007B23D7">
      <w:pPr>
        <w:tabs>
          <w:tab w:val="left" w:pos="6237"/>
        </w:tabs>
        <w:ind w:right="372"/>
        <w:jc w:val="right"/>
        <w:rPr>
          <w:rFonts w:eastAsia="Calibri"/>
          <w:lang w:val="lv-LV"/>
        </w:rPr>
      </w:pPr>
    </w:p>
    <w:p w14:paraId="21F39BFB" w14:textId="77777777" w:rsidR="007B23D7" w:rsidRDefault="007B23D7" w:rsidP="007B23D7">
      <w:pPr>
        <w:tabs>
          <w:tab w:val="left" w:pos="6237"/>
        </w:tabs>
        <w:ind w:right="372"/>
        <w:jc w:val="right"/>
        <w:rPr>
          <w:rFonts w:eastAsia="Calibri"/>
          <w:lang w:val="lv-LV"/>
        </w:rPr>
      </w:pPr>
    </w:p>
    <w:p w14:paraId="62FB32B2" w14:textId="7C5D4A2D" w:rsidR="00324E69" w:rsidRPr="0028387D" w:rsidRDefault="00EC1BA5" w:rsidP="007B23D7">
      <w:pPr>
        <w:tabs>
          <w:tab w:val="left" w:pos="6237"/>
        </w:tabs>
        <w:ind w:right="372"/>
        <w:jc w:val="right"/>
        <w:rPr>
          <w:i/>
          <w:lang w:val="lv-LV"/>
        </w:rPr>
      </w:pPr>
      <w:r w:rsidRPr="00325C33">
        <w:rPr>
          <w:b/>
          <w:bCs/>
          <w:lang w:val="lv-LV"/>
        </w:rPr>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FA8B37C" w14:textId="072E21A0" w:rsidR="0028387D" w:rsidRPr="0057111E"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piegādātāja ir saņēmusi vēstuli</w:t>
      </w:r>
      <w:r w:rsidR="0028387D">
        <w:rPr>
          <w:lang w:val="lv-LV"/>
        </w:rPr>
        <w:t xml:space="preserve"> </w:t>
      </w:r>
      <w:r w:rsidR="0028387D" w:rsidRPr="0026253D">
        <w:rPr>
          <w:lang w:val="lv-LV"/>
        </w:rPr>
        <w:t xml:space="preserve">ar lūgumu sniegt skaidrojumu </w:t>
      </w:r>
      <w:r w:rsidR="0028387D" w:rsidRPr="0057111E">
        <w:rPr>
          <w:lang w:val="lv-LV"/>
        </w:rPr>
        <w:t>par nolikumā ietvertajām prasībām.</w:t>
      </w:r>
    </w:p>
    <w:p w14:paraId="370E64DE" w14:textId="77777777" w:rsidR="0028387D" w:rsidRPr="000A2D42" w:rsidRDefault="0028387D" w:rsidP="0028387D">
      <w:pPr>
        <w:widowControl w:val="0"/>
        <w:ind w:right="372" w:firstLine="567"/>
        <w:jc w:val="both"/>
        <w:rPr>
          <w:rFonts w:eastAsia="Calibri"/>
          <w:i/>
          <w:iCs/>
          <w:lang w:val="lv-LV"/>
        </w:rPr>
      </w:pPr>
    </w:p>
    <w:p w14:paraId="037FC305" w14:textId="5CC37917" w:rsidR="000A2D42" w:rsidRPr="000A2D42" w:rsidRDefault="0028387D" w:rsidP="008E6656">
      <w:pPr>
        <w:pStyle w:val="ListParagraph"/>
        <w:numPr>
          <w:ilvl w:val="0"/>
          <w:numId w:val="17"/>
        </w:numPr>
        <w:spacing w:line="240" w:lineRule="exact"/>
        <w:ind w:left="0" w:right="372" w:firstLine="0"/>
        <w:contextualSpacing/>
        <w:jc w:val="both"/>
        <w:rPr>
          <w:rFonts w:ascii="Times New Roman" w:eastAsia="Calibri" w:hAnsi="Times New Roman" w:cs="Times New Roman"/>
          <w:i/>
          <w:iCs/>
          <w:sz w:val="24"/>
          <w:szCs w:val="24"/>
        </w:rPr>
      </w:pPr>
      <w:r w:rsidRPr="000A2D42">
        <w:rPr>
          <w:rFonts w:ascii="Times New Roman" w:eastAsia="Calibri" w:hAnsi="Times New Roman" w:cs="Times New Roman"/>
          <w:b/>
          <w:bCs/>
          <w:i/>
          <w:iCs/>
          <w:sz w:val="24"/>
          <w:szCs w:val="24"/>
        </w:rPr>
        <w:t>Jautājums</w:t>
      </w:r>
      <w:r w:rsidR="000A2D42" w:rsidRPr="000A2D42">
        <w:rPr>
          <w:rFonts w:ascii="Times New Roman" w:eastAsia="Calibri" w:hAnsi="Times New Roman" w:cs="Times New Roman"/>
          <w:b/>
          <w:bCs/>
          <w:i/>
          <w:iCs/>
          <w:sz w:val="24"/>
          <w:szCs w:val="24"/>
        </w:rPr>
        <w:t xml:space="preserve">: </w:t>
      </w:r>
      <w:r w:rsidR="000A2D42" w:rsidRPr="000A2D42">
        <w:rPr>
          <w:rFonts w:ascii="Times New Roman" w:hAnsi="Times New Roman" w:cs="Times New Roman"/>
          <w:i/>
          <w:iCs/>
          <w:kern w:val="2"/>
          <w:sz w:val="24"/>
          <w:szCs w:val="24"/>
          <w14:ligatures w14:val="standardContextual"/>
        </w:rPr>
        <w:t xml:space="preserve">Dokumentā 2_ANM_PU_1.pielikums, datu mapē: </w:t>
      </w:r>
      <w:proofErr w:type="spellStart"/>
      <w:r w:rsidR="000A2D42" w:rsidRPr="000A2D42">
        <w:rPr>
          <w:rFonts w:ascii="Times New Roman" w:hAnsi="Times New Roman" w:cs="Times New Roman"/>
          <w:i/>
          <w:iCs/>
          <w:kern w:val="2"/>
          <w:sz w:val="24"/>
          <w:szCs w:val="24"/>
          <w14:ligatures w14:val="standardContextual"/>
        </w:rPr>
        <w:t>Grafiskā_daļa_PDF</w:t>
      </w:r>
      <w:proofErr w:type="spellEnd"/>
      <w:r w:rsidR="000A2D42" w:rsidRPr="000A2D42">
        <w:rPr>
          <w:rFonts w:ascii="Times New Roman" w:hAnsi="Times New Roman" w:cs="Times New Roman"/>
          <w:i/>
          <w:iCs/>
          <w:kern w:val="2"/>
          <w:sz w:val="24"/>
          <w:szCs w:val="24"/>
          <w14:ligatures w14:val="standardContextual"/>
        </w:rPr>
        <w:t xml:space="preserve"> ievietotie rasējumu risinājumi nesakrīt ar orientējošiem darba apjomiem (fails: Orientējošs projekta darbu daudzumu saraksts).</w:t>
      </w:r>
    </w:p>
    <w:p w14:paraId="57695B3A" w14:textId="77777777" w:rsidR="000A2D42" w:rsidRPr="000A2D42" w:rsidRDefault="000A2D42" w:rsidP="008E6656">
      <w:pPr>
        <w:jc w:val="both"/>
        <w:rPr>
          <w:rFonts w:eastAsiaTheme="minorHAnsi"/>
          <w:i/>
          <w:iCs/>
          <w:kern w:val="2"/>
          <w:lang w:val="lv-LV"/>
          <w14:ligatures w14:val="standardContextual"/>
        </w:rPr>
      </w:pPr>
      <w:r w:rsidRPr="000A2D42">
        <w:rPr>
          <w:rFonts w:eastAsiaTheme="minorHAnsi"/>
          <w:i/>
          <w:iCs/>
          <w:kern w:val="2"/>
          <w:lang w:val="lv-LV"/>
          <w14:ligatures w14:val="standardContextual"/>
        </w:rPr>
        <w:t>Kā piemēram:</w:t>
      </w:r>
    </w:p>
    <w:p w14:paraId="7FDD93B0" w14:textId="77777777" w:rsidR="000A2D42" w:rsidRPr="000A2D42" w:rsidRDefault="000A2D42" w:rsidP="008E6656">
      <w:pPr>
        <w:numPr>
          <w:ilvl w:val="0"/>
          <w:numId w:val="18"/>
        </w:numPr>
        <w:ind w:left="426" w:hanging="426"/>
        <w:jc w:val="both"/>
        <w:rPr>
          <w:rFonts w:eastAsiaTheme="minorHAnsi"/>
          <w:i/>
          <w:iCs/>
          <w:kern w:val="2"/>
          <w:lang w:val="lv-LV"/>
          <w14:ligatures w14:val="standardContextual"/>
        </w:rPr>
      </w:pPr>
      <w:r w:rsidRPr="000A2D42">
        <w:rPr>
          <w:rFonts w:eastAsiaTheme="minorHAnsi"/>
          <w:i/>
          <w:iCs/>
          <w:kern w:val="2"/>
          <w:lang w:val="lv-LV"/>
          <w14:ligatures w14:val="standardContextual"/>
        </w:rPr>
        <w:t>orientējošos darbu daudzumu sarakstā nav norādīts sliežu izbūve uz gulšņiem.</w:t>
      </w:r>
    </w:p>
    <w:p w14:paraId="7277BC0C" w14:textId="77777777" w:rsidR="000A2D42" w:rsidRPr="000A2D42" w:rsidRDefault="000A2D42" w:rsidP="008E6656">
      <w:pPr>
        <w:ind w:left="426" w:hanging="426"/>
        <w:jc w:val="both"/>
        <w:rPr>
          <w:rFonts w:eastAsiaTheme="minorHAnsi"/>
          <w:i/>
          <w:iCs/>
          <w:kern w:val="2"/>
          <w:lang w:val="lv-LV"/>
          <w14:ligatures w14:val="standardContextual"/>
        </w:rPr>
      </w:pPr>
    </w:p>
    <w:p w14:paraId="767614F6" w14:textId="77777777" w:rsidR="000A2D42" w:rsidRPr="000A2D42" w:rsidRDefault="000A2D42" w:rsidP="008E6656">
      <w:pPr>
        <w:numPr>
          <w:ilvl w:val="0"/>
          <w:numId w:val="18"/>
        </w:numPr>
        <w:ind w:left="426" w:right="372" w:hanging="426"/>
        <w:jc w:val="both"/>
        <w:rPr>
          <w:rFonts w:eastAsiaTheme="minorHAnsi"/>
          <w:i/>
          <w:iCs/>
          <w:kern w:val="2"/>
          <w:lang w:val="lv-LV"/>
          <w14:ligatures w14:val="standardContextual"/>
        </w:rPr>
      </w:pPr>
      <w:r w:rsidRPr="000A2D42">
        <w:rPr>
          <w:rFonts w:eastAsiaTheme="minorHAnsi"/>
          <w:i/>
          <w:iCs/>
          <w:kern w:val="2"/>
          <w:lang w:val="lv-LV"/>
          <w14:ligatures w14:val="standardContextual"/>
        </w:rPr>
        <w:t>Orientējošā darbu daudzumu sarakstā punktos 3.1.; 3.2.; 3.3.; 3.4. 3.5.; 3.6. nosauktie orientējošie darbi nav attēloti grafiskajā daļā.</w:t>
      </w:r>
    </w:p>
    <w:p w14:paraId="7EEF2B20" w14:textId="77777777" w:rsidR="000A2D42" w:rsidRPr="000A2D42" w:rsidRDefault="000A2D42" w:rsidP="009D2B35">
      <w:pPr>
        <w:ind w:right="372"/>
        <w:jc w:val="both"/>
        <w:rPr>
          <w:rFonts w:eastAsiaTheme="minorHAnsi"/>
          <w:i/>
          <w:iCs/>
          <w:kern w:val="2"/>
          <w:lang w:val="lv-LV"/>
          <w14:ligatures w14:val="standardContextual"/>
        </w:rPr>
      </w:pPr>
      <w:r w:rsidRPr="000A2D42">
        <w:rPr>
          <w:rFonts w:eastAsiaTheme="minorHAnsi"/>
          <w:i/>
          <w:iCs/>
          <w:kern w:val="2"/>
          <w:lang w:val="lv-LV"/>
          <w14:ligatures w14:val="standardContextual"/>
        </w:rPr>
        <w:t>Lūdzam atjaunot dokumentus, kur grafiskā dokumentācija sakristu ar orientējošiem darbu apjomiem.</w:t>
      </w:r>
    </w:p>
    <w:p w14:paraId="38567671" w14:textId="77777777" w:rsidR="000A2D42" w:rsidRPr="000A2D42" w:rsidRDefault="000A2D42" w:rsidP="009D2B35">
      <w:pPr>
        <w:ind w:right="372"/>
        <w:jc w:val="both"/>
        <w:rPr>
          <w:rFonts w:ascii="Arial" w:eastAsiaTheme="minorHAnsi" w:hAnsi="Arial" w:cs="Arial"/>
          <w:kern w:val="2"/>
          <w:sz w:val="20"/>
          <w:szCs w:val="22"/>
          <w:lang w:val="lv-LV"/>
          <w14:ligatures w14:val="standardContextual"/>
        </w:rPr>
      </w:pPr>
    </w:p>
    <w:p w14:paraId="680AA4CA" w14:textId="42202A58" w:rsidR="000A2D42" w:rsidRPr="000A2D42" w:rsidRDefault="00142CC4" w:rsidP="009D2B35">
      <w:pPr>
        <w:ind w:right="372"/>
        <w:jc w:val="both"/>
        <w:rPr>
          <w:rFonts w:eastAsiaTheme="minorHAnsi"/>
          <w:kern w:val="2"/>
          <w:lang w:val="lv-LV"/>
          <w14:ligatures w14:val="standardContextual"/>
        </w:rPr>
      </w:pPr>
      <w:r w:rsidRPr="00142CC4">
        <w:rPr>
          <w:rFonts w:eastAsiaTheme="minorHAnsi"/>
          <w:b/>
          <w:bCs/>
          <w:kern w:val="2"/>
          <w:lang w:val="lv-LV"/>
          <w14:ligatures w14:val="standardContextual"/>
        </w:rPr>
        <w:t>Atbilde:</w:t>
      </w:r>
      <w:r w:rsidRPr="00142CC4">
        <w:rPr>
          <w:rFonts w:eastAsiaTheme="minorHAnsi"/>
          <w:kern w:val="2"/>
          <w:lang w:val="lv-LV"/>
          <w14:ligatures w14:val="standardContextual"/>
        </w:rPr>
        <w:t xml:space="preserve"> </w:t>
      </w:r>
      <w:r w:rsidR="000A2D42" w:rsidRPr="000A2D42">
        <w:rPr>
          <w:rFonts w:eastAsiaTheme="minorHAnsi"/>
          <w:kern w:val="2"/>
          <w:lang w:val="lv-LV"/>
          <w14:ligatures w14:val="standardContextual"/>
        </w:rPr>
        <w:t xml:space="preserve">Skaidrojam, ka grafiskajā daļā ir noteikts tramvaja līnijas, pieturvietu un citu infrastruktūras objektu konceptuālais novietojums, un tajā attēlotie risinājumi jāņem vērā par pamatu turpmākā projektēšanā jeb būvniecības ieceres dokumentācijas izstrādē, tos precizējot atbilstoši projektēšanas uzdevuma nosacījumiem (skatīt projektēšanas uzdevuma VI nodaļas 1.punkta prasības). Attiecībā par tehniskajiem risinājumiem skaidrojam, ka par pamatu jāpieņem projektēšanas uzdevuma nosacījumi, kas var atšķirties no grafiskajā daļā attēlotā. Ņemot vērā projektēšanas uzdevuma VI nodaļas 2.punkta nosacījumus, Pasūtītājs neparedz sliežu ceļu izbūvi uz koka gulšņiem. </w:t>
      </w:r>
    </w:p>
    <w:p w14:paraId="7B60CE1E" w14:textId="77777777" w:rsidR="000A2D42" w:rsidRPr="000A2D42" w:rsidRDefault="000A2D42" w:rsidP="009D2B35">
      <w:pPr>
        <w:ind w:right="372"/>
        <w:jc w:val="both"/>
        <w:rPr>
          <w:rFonts w:eastAsiaTheme="minorHAnsi"/>
          <w:kern w:val="2"/>
          <w:lang w:val="lv-LV"/>
          <w14:ligatures w14:val="standardContextual"/>
        </w:rPr>
      </w:pPr>
      <w:r w:rsidRPr="000A2D42">
        <w:rPr>
          <w:rFonts w:eastAsiaTheme="minorHAnsi"/>
          <w:kern w:val="2"/>
          <w:lang w:val="lv-LV"/>
          <w14:ligatures w14:val="standardContextual"/>
        </w:rPr>
        <w:t>Orientējošā darbu daudzumu saraksta punktos 3.1.; 3.2.; 3.3.; 3.4. 3.5.; 3.6. nosauktie darbi atbilst projektēšanas uzdevuma nosacījumiem.</w:t>
      </w:r>
    </w:p>
    <w:p w14:paraId="6EA4E112" w14:textId="77777777" w:rsidR="009D2B35" w:rsidRDefault="009D2B35" w:rsidP="009D2B35">
      <w:pPr>
        <w:ind w:right="372"/>
        <w:jc w:val="both"/>
        <w:rPr>
          <w:rFonts w:ascii="Arial" w:eastAsiaTheme="minorHAnsi" w:hAnsi="Arial" w:cs="Arial"/>
          <w:kern w:val="2"/>
          <w:sz w:val="20"/>
          <w:szCs w:val="22"/>
          <w:lang w:val="lv-LV"/>
          <w14:ligatures w14:val="standardContextual"/>
        </w:rPr>
      </w:pPr>
    </w:p>
    <w:p w14:paraId="1257D874" w14:textId="3E197296" w:rsidR="000A2D42" w:rsidRPr="000A2D42" w:rsidRDefault="009D2B35" w:rsidP="009D2B35">
      <w:pPr>
        <w:ind w:right="372"/>
        <w:jc w:val="both"/>
        <w:rPr>
          <w:rFonts w:eastAsiaTheme="minorHAnsi"/>
          <w:i/>
          <w:iCs/>
          <w:kern w:val="2"/>
          <w:lang w:val="lv-LV"/>
          <w14:ligatures w14:val="standardContextual"/>
        </w:rPr>
      </w:pPr>
      <w:r w:rsidRPr="009D2B35">
        <w:rPr>
          <w:rFonts w:eastAsiaTheme="minorHAnsi"/>
          <w:b/>
          <w:bCs/>
          <w:i/>
          <w:iCs/>
          <w:kern w:val="2"/>
          <w:lang w:val="lv-LV"/>
          <w14:ligatures w14:val="standardContextual"/>
        </w:rPr>
        <w:t>2.jautājums:</w:t>
      </w:r>
      <w:r w:rsidRPr="009D2B35">
        <w:rPr>
          <w:rFonts w:eastAsiaTheme="minorHAnsi"/>
          <w:i/>
          <w:iCs/>
          <w:kern w:val="2"/>
          <w:lang w:val="lv-LV"/>
          <w14:ligatures w14:val="standardContextual"/>
        </w:rPr>
        <w:t xml:space="preserve"> </w:t>
      </w:r>
      <w:r w:rsidR="000A2D42" w:rsidRPr="000A2D42">
        <w:rPr>
          <w:rFonts w:eastAsiaTheme="minorHAnsi"/>
          <w:i/>
          <w:iCs/>
          <w:kern w:val="2"/>
          <w:lang w:val="lv-LV"/>
          <w14:ligatures w14:val="standardContextual"/>
        </w:rPr>
        <w:t>Lūgums Pasūtītājam grafiskajā daļā, it īpaši plānā, norādītajos risinājumos norādīt skaidru paskaidrojumu visiem apzīmējumiem.</w:t>
      </w:r>
    </w:p>
    <w:p w14:paraId="4F179C60" w14:textId="77777777" w:rsidR="000A2D42" w:rsidRPr="000A2D42" w:rsidRDefault="000A2D42" w:rsidP="009D2B35">
      <w:pPr>
        <w:ind w:right="372"/>
        <w:jc w:val="both"/>
        <w:rPr>
          <w:rFonts w:eastAsiaTheme="minorHAnsi"/>
          <w:kern w:val="2"/>
          <w:lang w:val="lv-LV"/>
          <w14:ligatures w14:val="standardContextual"/>
        </w:rPr>
      </w:pPr>
    </w:p>
    <w:p w14:paraId="57D6FE98" w14:textId="169E6712" w:rsidR="000A2D42" w:rsidRPr="000A2D42" w:rsidRDefault="009D2B35" w:rsidP="009D2B35">
      <w:pPr>
        <w:ind w:right="372"/>
        <w:jc w:val="both"/>
        <w:rPr>
          <w:rFonts w:eastAsiaTheme="minorHAnsi"/>
          <w:kern w:val="2"/>
          <w:lang w:val="lv-LV"/>
          <w14:ligatures w14:val="standardContextual"/>
        </w:rPr>
      </w:pPr>
      <w:r w:rsidRPr="009D2B35">
        <w:rPr>
          <w:rFonts w:eastAsiaTheme="minorHAnsi"/>
          <w:b/>
          <w:bCs/>
          <w:kern w:val="2"/>
          <w:lang w:val="lv-LV"/>
          <w14:ligatures w14:val="standardContextual"/>
        </w:rPr>
        <w:t>Atbilde:</w:t>
      </w:r>
      <w:r>
        <w:rPr>
          <w:rFonts w:eastAsiaTheme="minorHAnsi"/>
          <w:kern w:val="2"/>
          <w:lang w:val="lv-LV"/>
          <w14:ligatures w14:val="standardContextual"/>
        </w:rPr>
        <w:t xml:space="preserve"> </w:t>
      </w:r>
      <w:r w:rsidR="000A2D42" w:rsidRPr="000A2D42">
        <w:rPr>
          <w:rFonts w:eastAsiaTheme="minorHAnsi"/>
          <w:kern w:val="2"/>
          <w:lang w:val="lv-LV"/>
          <w14:ligatures w14:val="standardContextual"/>
        </w:rPr>
        <w:t xml:space="preserve">Skaidrojam, ka grafiskā daļa ir </w:t>
      </w:r>
      <w:proofErr w:type="spellStart"/>
      <w:r w:rsidR="000A2D42" w:rsidRPr="000A2D42">
        <w:rPr>
          <w:rFonts w:eastAsiaTheme="minorHAnsi"/>
          <w:kern w:val="2"/>
          <w:lang w:val="lv-LV"/>
          <w14:ligatures w14:val="standardContextual"/>
        </w:rPr>
        <w:t>Priekšizpētes</w:t>
      </w:r>
      <w:proofErr w:type="spellEnd"/>
      <w:r w:rsidR="000A2D42" w:rsidRPr="000A2D42">
        <w:rPr>
          <w:rFonts w:eastAsiaTheme="minorHAnsi"/>
          <w:kern w:val="2"/>
          <w:lang w:val="lv-LV"/>
          <w14:ligatures w14:val="standardContextual"/>
        </w:rPr>
        <w:t xml:space="preserve"> dokumentācijas sastāvdaļa, kas tika izstrādāta atbilstoši Rīgas domes Pilsētas attīstības departamenta pasūtījumam, un tajā norādītie apzīmējumi ir attēloti atbilstoši </w:t>
      </w:r>
      <w:proofErr w:type="spellStart"/>
      <w:r w:rsidR="000A2D42" w:rsidRPr="000A2D42">
        <w:rPr>
          <w:rFonts w:eastAsiaTheme="minorHAnsi"/>
          <w:kern w:val="2"/>
          <w:lang w:val="lv-LV"/>
          <w14:ligatures w14:val="standardContextual"/>
        </w:rPr>
        <w:t>Priekšizpētes</w:t>
      </w:r>
      <w:proofErr w:type="spellEnd"/>
      <w:r w:rsidR="000A2D42" w:rsidRPr="000A2D42">
        <w:rPr>
          <w:rFonts w:eastAsiaTheme="minorHAnsi"/>
          <w:kern w:val="2"/>
          <w:lang w:val="lv-LV"/>
          <w14:ligatures w14:val="standardContextual"/>
        </w:rPr>
        <w:t xml:space="preserve"> prasībām. </w:t>
      </w:r>
    </w:p>
    <w:p w14:paraId="05C2446D" w14:textId="77777777" w:rsidR="009D2B35" w:rsidRDefault="009D2B35" w:rsidP="009D2B35">
      <w:pPr>
        <w:contextualSpacing/>
        <w:jc w:val="both"/>
        <w:rPr>
          <w:rFonts w:eastAsiaTheme="minorHAnsi"/>
          <w:kern w:val="2"/>
          <w:lang w:val="lv-LV"/>
          <w14:ligatures w14:val="standardContextual"/>
        </w:rPr>
      </w:pPr>
    </w:p>
    <w:p w14:paraId="733A27A1" w14:textId="27F8EEC2" w:rsidR="000A2D42" w:rsidRPr="000A2D42" w:rsidRDefault="009D2B35" w:rsidP="009D2B35">
      <w:pPr>
        <w:ind w:right="372"/>
        <w:contextualSpacing/>
        <w:jc w:val="both"/>
        <w:rPr>
          <w:rFonts w:eastAsiaTheme="minorHAnsi"/>
          <w:i/>
          <w:iCs/>
          <w:kern w:val="2"/>
          <w:lang w:val="lv-LV"/>
          <w14:ligatures w14:val="standardContextual"/>
        </w:rPr>
      </w:pPr>
      <w:r w:rsidRPr="009D2B35">
        <w:rPr>
          <w:rFonts w:eastAsiaTheme="minorHAnsi"/>
          <w:b/>
          <w:bCs/>
          <w:i/>
          <w:iCs/>
          <w:kern w:val="2"/>
          <w:lang w:val="lv-LV"/>
          <w14:ligatures w14:val="standardContextual"/>
        </w:rPr>
        <w:t>3.jautājums</w:t>
      </w:r>
      <w:r w:rsidRPr="009D2B35">
        <w:rPr>
          <w:rFonts w:eastAsiaTheme="minorHAnsi"/>
          <w:i/>
          <w:iCs/>
          <w:kern w:val="2"/>
          <w:lang w:val="lv-LV"/>
          <w14:ligatures w14:val="standardContextual"/>
        </w:rPr>
        <w:t xml:space="preserve">: </w:t>
      </w:r>
      <w:r w:rsidR="000A2D42" w:rsidRPr="000A2D42">
        <w:rPr>
          <w:rFonts w:eastAsiaTheme="minorHAnsi"/>
          <w:i/>
          <w:iCs/>
          <w:kern w:val="2"/>
          <w:lang w:val="lv-LV"/>
          <w14:ligatures w14:val="standardContextual"/>
        </w:rPr>
        <w:t>Lūdzam Pasūtītāju skaidrot, vai laiks, kas nepieciešams katra Būvobjekta nodošanai ekspluatācijā (nolikuma 6. pielikuma apakšpunkts 3.2.2.) tiek ieskaitīts kopējā Līguma izpildes termiņā (nolikuma 6. pielikuma apakšpunkts 3.2.4)?</w:t>
      </w:r>
    </w:p>
    <w:p w14:paraId="190F3A76" w14:textId="77777777" w:rsidR="000A2D42" w:rsidRPr="000A2D42" w:rsidRDefault="000A2D42" w:rsidP="000A2D42">
      <w:pPr>
        <w:jc w:val="both"/>
        <w:rPr>
          <w:rFonts w:eastAsiaTheme="minorHAnsi"/>
          <w:i/>
          <w:iCs/>
          <w:kern w:val="2"/>
          <w:lang w:val="lv-LV"/>
          <w14:ligatures w14:val="standardContextual"/>
        </w:rPr>
      </w:pPr>
    </w:p>
    <w:p w14:paraId="784274CA" w14:textId="79D7E5A4" w:rsidR="000A2D42" w:rsidRPr="000A2D42" w:rsidRDefault="009D2B35" w:rsidP="009D2B35">
      <w:pPr>
        <w:ind w:right="372"/>
        <w:jc w:val="both"/>
        <w:rPr>
          <w:rFonts w:eastAsiaTheme="minorHAnsi"/>
          <w:kern w:val="2"/>
          <w:lang w:val="lv-LV"/>
          <w14:ligatures w14:val="standardContextual"/>
        </w:rPr>
      </w:pPr>
      <w:r w:rsidRPr="009D2B35">
        <w:rPr>
          <w:rFonts w:eastAsiaTheme="minorHAnsi"/>
          <w:b/>
          <w:bCs/>
          <w:kern w:val="2"/>
          <w:lang w:val="lv-LV"/>
          <w14:ligatures w14:val="standardContextual"/>
        </w:rPr>
        <w:lastRenderedPageBreak/>
        <w:t>Atbilde</w:t>
      </w:r>
      <w:r w:rsidRPr="009D2B35">
        <w:rPr>
          <w:rFonts w:eastAsiaTheme="minorHAnsi"/>
          <w:kern w:val="2"/>
          <w:lang w:val="lv-LV"/>
          <w14:ligatures w14:val="standardContextual"/>
        </w:rPr>
        <w:t xml:space="preserve">: </w:t>
      </w:r>
      <w:r w:rsidR="000A2D42" w:rsidRPr="000A2D42">
        <w:rPr>
          <w:rFonts w:eastAsiaTheme="minorHAnsi"/>
          <w:kern w:val="2"/>
          <w:lang w:val="lv-LV"/>
          <w14:ligatures w14:val="standardContextual"/>
        </w:rPr>
        <w:t xml:space="preserve">Laiks, kas nepieciešams katra būvobjekta nodošanai ekspluatācijā </w:t>
      </w:r>
      <w:r w:rsidR="000A2D42" w:rsidRPr="000A2D42">
        <w:rPr>
          <w:rFonts w:eastAsiaTheme="minorHAnsi"/>
          <w:kern w:val="2"/>
          <w:u w:val="single"/>
          <w:lang w:val="lv-LV"/>
          <w14:ligatures w14:val="standardContextual"/>
        </w:rPr>
        <w:t>ir</w:t>
      </w:r>
      <w:r w:rsidR="000A2D42" w:rsidRPr="000A2D42">
        <w:rPr>
          <w:rFonts w:eastAsiaTheme="minorHAnsi"/>
          <w:kern w:val="2"/>
          <w:lang w:val="lv-LV"/>
          <w14:ligatures w14:val="standardContextual"/>
        </w:rPr>
        <w:t xml:space="preserve"> iekļauts kopējā Līguma izpildes termiņā.</w:t>
      </w:r>
    </w:p>
    <w:p w14:paraId="288764DE" w14:textId="77777777" w:rsidR="000A2D42" w:rsidRDefault="000A2D42" w:rsidP="000A2D42">
      <w:pPr>
        <w:spacing w:after="160" w:line="259" w:lineRule="auto"/>
        <w:ind w:left="720"/>
        <w:contextualSpacing/>
        <w:rPr>
          <w:rFonts w:ascii="Arial" w:eastAsiaTheme="minorHAnsi" w:hAnsi="Arial" w:cs="Arial"/>
          <w:kern w:val="2"/>
          <w:sz w:val="20"/>
          <w:szCs w:val="20"/>
          <w:lang w:val="lv-LV"/>
          <w14:ligatures w14:val="standardContextual"/>
        </w:rPr>
      </w:pPr>
    </w:p>
    <w:p w14:paraId="6B6A489C" w14:textId="77777777" w:rsidR="0028113D" w:rsidRPr="000A2D42" w:rsidRDefault="0028113D" w:rsidP="000A2D42">
      <w:pPr>
        <w:spacing w:after="160" w:line="259" w:lineRule="auto"/>
        <w:ind w:left="720"/>
        <w:contextualSpacing/>
        <w:rPr>
          <w:rFonts w:ascii="Arial" w:eastAsiaTheme="minorHAnsi" w:hAnsi="Arial" w:cs="Arial"/>
          <w:kern w:val="2"/>
          <w:sz w:val="20"/>
          <w:szCs w:val="20"/>
          <w:lang w:val="lv-LV"/>
          <w14:ligatures w14:val="standardContextual"/>
        </w:rPr>
      </w:pPr>
    </w:p>
    <w:p w14:paraId="32B02289" w14:textId="677C9D77" w:rsidR="000A2D42" w:rsidRPr="000A2D42" w:rsidRDefault="009D2B35" w:rsidP="009D2B35">
      <w:pPr>
        <w:ind w:right="372"/>
        <w:jc w:val="both"/>
        <w:rPr>
          <w:rFonts w:eastAsiaTheme="minorHAnsi"/>
          <w:i/>
          <w:iCs/>
          <w:kern w:val="2"/>
          <w:lang w:val="lv-LV"/>
          <w14:ligatures w14:val="standardContextual"/>
        </w:rPr>
      </w:pPr>
      <w:r w:rsidRPr="009D2B35">
        <w:rPr>
          <w:rFonts w:eastAsiaTheme="minorHAnsi"/>
          <w:b/>
          <w:bCs/>
          <w:i/>
          <w:iCs/>
          <w:kern w:val="2"/>
          <w:lang w:val="lv-LV"/>
          <w14:ligatures w14:val="standardContextual"/>
        </w:rPr>
        <w:t>4.jautājums:</w:t>
      </w:r>
      <w:r w:rsidRPr="009D2B35">
        <w:rPr>
          <w:rFonts w:eastAsiaTheme="minorHAnsi"/>
          <w:i/>
          <w:iCs/>
          <w:kern w:val="2"/>
          <w:lang w:val="lv-LV"/>
          <w14:ligatures w14:val="standardContextual"/>
        </w:rPr>
        <w:t xml:space="preserve"> </w:t>
      </w:r>
      <w:r w:rsidR="000A2D42" w:rsidRPr="000A2D42">
        <w:rPr>
          <w:rFonts w:eastAsiaTheme="minorHAnsi"/>
          <w:i/>
          <w:iCs/>
          <w:kern w:val="2"/>
          <w:lang w:val="lv-LV"/>
          <w14:ligatures w14:val="standardContextual"/>
        </w:rPr>
        <w:t xml:space="preserve">Ņemot vērā, ka katrai būvniecības lietai (Tramvaja līnijas, </w:t>
      </w:r>
      <w:proofErr w:type="spellStart"/>
      <w:r w:rsidR="000A2D42" w:rsidRPr="000A2D42">
        <w:rPr>
          <w:rFonts w:eastAsiaTheme="minorHAnsi"/>
          <w:i/>
          <w:iCs/>
          <w:kern w:val="2"/>
          <w:lang w:val="lv-LV"/>
          <w14:ligatures w14:val="standardContextual"/>
        </w:rPr>
        <w:t>transportmijas</w:t>
      </w:r>
      <w:proofErr w:type="spellEnd"/>
      <w:r w:rsidR="000A2D42" w:rsidRPr="000A2D42">
        <w:rPr>
          <w:rFonts w:eastAsiaTheme="minorHAnsi"/>
          <w:i/>
          <w:iCs/>
          <w:kern w:val="2"/>
          <w:lang w:val="lv-LV"/>
          <w14:ligatures w14:val="standardContextual"/>
        </w:rPr>
        <w:t xml:space="preserve"> punkta un ar tiem saistīto ēku un inženierbūvju būvniecība; </w:t>
      </w:r>
      <w:proofErr w:type="spellStart"/>
      <w:r w:rsidR="000A2D42" w:rsidRPr="000A2D42">
        <w:rPr>
          <w:rFonts w:eastAsiaTheme="minorHAnsi"/>
          <w:i/>
          <w:iCs/>
          <w:kern w:val="2"/>
          <w:lang w:val="lv-LV"/>
          <w14:ligatures w14:val="standardContextual"/>
        </w:rPr>
        <w:t>Dispečerpunkta</w:t>
      </w:r>
      <w:proofErr w:type="spellEnd"/>
      <w:r w:rsidR="000A2D42" w:rsidRPr="000A2D42">
        <w:rPr>
          <w:rFonts w:eastAsiaTheme="minorHAnsi"/>
          <w:i/>
          <w:iCs/>
          <w:kern w:val="2"/>
          <w:lang w:val="lv-LV"/>
          <w14:ligatures w14:val="standardContextual"/>
        </w:rPr>
        <w:t xml:space="preserve"> ēkas būvniecība </w:t>
      </w:r>
      <w:proofErr w:type="spellStart"/>
      <w:r w:rsidR="000A2D42" w:rsidRPr="000A2D42">
        <w:rPr>
          <w:rFonts w:eastAsiaTheme="minorHAnsi"/>
          <w:i/>
          <w:iCs/>
          <w:kern w:val="2"/>
          <w:lang w:val="lv-LV"/>
          <w14:ligatures w14:val="standardContextual"/>
        </w:rPr>
        <w:t>transportmijas</w:t>
      </w:r>
      <w:proofErr w:type="spellEnd"/>
      <w:r w:rsidR="000A2D42" w:rsidRPr="000A2D42">
        <w:rPr>
          <w:rFonts w:eastAsiaTheme="minorHAnsi"/>
          <w:i/>
          <w:iCs/>
          <w:kern w:val="2"/>
          <w:lang w:val="lv-LV"/>
          <w14:ligatures w14:val="standardContextual"/>
        </w:rPr>
        <w:t xml:space="preserve"> punkta apkalpošanai; Inženierbūvēm, kuru būvniecību iespējams veikt līdz 1.1.punktā norādītās būvniecības ieceres īstenošanai) ir atšķirīgs maksimālais izpildes termiņš (atbilstoši dokumenta 4_ANM_7.līnijas_pagarinājums_DU DARBA UZDEVUMS apakšpunktiem Nr. 3.7., 3.8. un 3.9.), lūdzam Pasūtītāju dokumentā Orientējošs projekta darbu daudzumu saraksts norādīt, kuri orientējošie darba apjomi attiecas uz katru no norādītajām trīs būvniecības lietām.</w:t>
      </w:r>
    </w:p>
    <w:p w14:paraId="2A29BEE8" w14:textId="77777777" w:rsidR="000A2D42" w:rsidRPr="000A2D42" w:rsidRDefault="000A2D42" w:rsidP="009D2B35">
      <w:pPr>
        <w:ind w:right="372"/>
        <w:jc w:val="both"/>
        <w:rPr>
          <w:rFonts w:eastAsiaTheme="minorHAnsi"/>
          <w:kern w:val="2"/>
          <w:lang w:val="lv-LV"/>
          <w14:ligatures w14:val="standardContextual"/>
        </w:rPr>
      </w:pPr>
    </w:p>
    <w:p w14:paraId="1E8D9BA8" w14:textId="15381468" w:rsidR="000A2D42" w:rsidRPr="000A2D42" w:rsidRDefault="009D2B35" w:rsidP="009D2B35">
      <w:pPr>
        <w:ind w:right="372"/>
        <w:jc w:val="both"/>
        <w:rPr>
          <w:rFonts w:eastAsiaTheme="minorHAnsi"/>
          <w:kern w:val="2"/>
          <w:lang w:val="lv-LV"/>
          <w14:ligatures w14:val="standardContextual"/>
        </w:rPr>
      </w:pPr>
      <w:r w:rsidRPr="009D2B35">
        <w:rPr>
          <w:rFonts w:eastAsiaTheme="minorHAnsi"/>
          <w:b/>
          <w:bCs/>
          <w:kern w:val="2"/>
          <w:lang w:val="lv-LV"/>
          <w14:ligatures w14:val="standardContextual"/>
        </w:rPr>
        <w:t>Atbilde:</w:t>
      </w:r>
      <w:r>
        <w:rPr>
          <w:rFonts w:eastAsiaTheme="minorHAnsi"/>
          <w:kern w:val="2"/>
          <w:lang w:val="lv-LV"/>
          <w14:ligatures w14:val="standardContextual"/>
        </w:rPr>
        <w:t xml:space="preserve"> </w:t>
      </w:r>
      <w:r w:rsidR="000A2D42" w:rsidRPr="000A2D42">
        <w:rPr>
          <w:rFonts w:eastAsiaTheme="minorHAnsi"/>
          <w:kern w:val="2"/>
          <w:lang w:val="lv-LV"/>
          <w14:ligatures w14:val="standardContextual"/>
        </w:rPr>
        <w:t>Attiecībā par objektu “</w:t>
      </w:r>
      <w:proofErr w:type="spellStart"/>
      <w:r w:rsidR="000A2D42" w:rsidRPr="000A2D42">
        <w:rPr>
          <w:rFonts w:eastAsiaTheme="minorHAnsi"/>
          <w:kern w:val="2"/>
          <w:lang w:val="lv-LV"/>
          <w14:ligatures w14:val="standardContextual"/>
        </w:rPr>
        <w:t>Dispečerpunkta</w:t>
      </w:r>
      <w:proofErr w:type="spellEnd"/>
      <w:r w:rsidR="000A2D42" w:rsidRPr="000A2D42">
        <w:rPr>
          <w:rFonts w:eastAsiaTheme="minorHAnsi"/>
          <w:kern w:val="2"/>
          <w:lang w:val="lv-LV"/>
          <w14:ligatures w14:val="standardContextual"/>
        </w:rPr>
        <w:t xml:space="preserve"> ēkas būvniecība </w:t>
      </w:r>
      <w:proofErr w:type="spellStart"/>
      <w:r w:rsidR="000A2D42" w:rsidRPr="000A2D42">
        <w:rPr>
          <w:rFonts w:eastAsiaTheme="minorHAnsi"/>
          <w:kern w:val="2"/>
          <w:lang w:val="lv-LV"/>
          <w14:ligatures w14:val="standardContextual"/>
        </w:rPr>
        <w:t>transportmijas</w:t>
      </w:r>
      <w:proofErr w:type="spellEnd"/>
      <w:r w:rsidR="000A2D42" w:rsidRPr="000A2D42">
        <w:rPr>
          <w:rFonts w:eastAsiaTheme="minorHAnsi"/>
          <w:kern w:val="2"/>
          <w:lang w:val="lv-LV"/>
          <w14:ligatures w14:val="standardContextual"/>
        </w:rPr>
        <w:t xml:space="preserve"> punkta apkalpošanai” Pasūtītājs paredz, ka uz attiecīgajiem darbiem attiecas orientējošā darbu daudzumu saraksta 3.18.punkts.</w:t>
      </w:r>
    </w:p>
    <w:p w14:paraId="3999398C" w14:textId="77777777" w:rsidR="000A2D42" w:rsidRPr="000A2D42" w:rsidRDefault="000A2D42" w:rsidP="009D2B35">
      <w:pPr>
        <w:ind w:right="372"/>
        <w:jc w:val="both"/>
        <w:rPr>
          <w:rFonts w:eastAsiaTheme="minorHAnsi"/>
          <w:kern w:val="2"/>
          <w:lang w:val="lv-LV"/>
          <w14:ligatures w14:val="standardContextual"/>
        </w:rPr>
      </w:pPr>
      <w:r w:rsidRPr="000A2D42">
        <w:rPr>
          <w:rFonts w:eastAsiaTheme="minorHAnsi"/>
          <w:kern w:val="2"/>
          <w:lang w:val="lv-LV"/>
          <w14:ligatures w14:val="standardContextual"/>
        </w:rPr>
        <w:t xml:space="preserve">Savukārt attiecībā par pārējām būvniecības lietām paskaidrojam, ka projektēšanas laikā </w:t>
      </w:r>
      <w:r w:rsidRPr="000A2D42">
        <w:rPr>
          <w:rFonts w:eastAsiaTheme="minorHAnsi"/>
          <w:kern w:val="2"/>
          <w:u w:val="single"/>
          <w:lang w:val="lv-LV"/>
          <w14:ligatures w14:val="standardContextual"/>
        </w:rPr>
        <w:t>Izpildītājs</w:t>
      </w:r>
      <w:r w:rsidRPr="000A2D42">
        <w:rPr>
          <w:rFonts w:eastAsiaTheme="minorHAnsi"/>
          <w:kern w:val="2"/>
          <w:lang w:val="lv-LV"/>
          <w14:ligatures w14:val="standardContextual"/>
        </w:rPr>
        <w:t xml:space="preserve"> nosaka, kuru inženierbūvju būvniecību ir iespējams veikt līdz “Tramvaja līnijas, </w:t>
      </w:r>
      <w:proofErr w:type="spellStart"/>
      <w:r w:rsidRPr="000A2D42">
        <w:rPr>
          <w:rFonts w:eastAsiaTheme="minorHAnsi"/>
          <w:kern w:val="2"/>
          <w:lang w:val="lv-LV"/>
          <w14:ligatures w14:val="standardContextual"/>
        </w:rPr>
        <w:t>transportmijas</w:t>
      </w:r>
      <w:proofErr w:type="spellEnd"/>
      <w:r w:rsidRPr="000A2D42">
        <w:rPr>
          <w:rFonts w:eastAsiaTheme="minorHAnsi"/>
          <w:kern w:val="2"/>
          <w:lang w:val="lv-LV"/>
          <w14:ligatures w14:val="standardContextual"/>
        </w:rPr>
        <w:t xml:space="preserve"> punkta un ar tiem saistīto ēku un inženierbūvju būvniecības”. Turklāt saraksts ar šīm inženierbūvēm, kā arī Rīgas domes Pilsētas attīstības departamenta, kas Rīgas pilsētā pilda būvvaldes funkciju, apstiprinājums jāiesniedz kā starpziņojumi atbilstoši projektēšanas uzdevuma VIII nodaļas prasībām. </w:t>
      </w:r>
    </w:p>
    <w:p w14:paraId="55DCA5F5" w14:textId="77777777" w:rsidR="000A2D42" w:rsidRDefault="000A2D42" w:rsidP="0057111E">
      <w:pPr>
        <w:spacing w:line="240" w:lineRule="exact"/>
        <w:ind w:right="372"/>
        <w:contextualSpacing/>
        <w:jc w:val="both"/>
        <w:rPr>
          <w:rFonts w:eastAsiaTheme="minorHAnsi"/>
          <w:i/>
          <w:iCs/>
        </w:rPr>
      </w:pPr>
    </w:p>
    <w:p w14:paraId="57D5406F" w14:textId="77777777" w:rsidR="0057111E" w:rsidRPr="0057111E" w:rsidRDefault="0057111E" w:rsidP="00324E69">
      <w:pPr>
        <w:spacing w:before="60" w:after="60" w:line="259" w:lineRule="auto"/>
        <w:ind w:right="372"/>
        <w:jc w:val="both"/>
        <w:rPr>
          <w:rFonts w:eastAsiaTheme="minorHAnsi"/>
          <w:iCs/>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3FDDFF0E" w14:textId="77777777" w:rsidR="00D0792E" w:rsidRDefault="00D0792E" w:rsidP="00ED7FC3">
      <w:pPr>
        <w:jc w:val="center"/>
      </w:pPr>
    </w:p>
    <w:p w14:paraId="7270DE66" w14:textId="77777777" w:rsidR="00D0792E" w:rsidRDefault="00D0792E" w:rsidP="00ED7FC3">
      <w:pPr>
        <w:jc w:val="center"/>
      </w:pPr>
    </w:p>
    <w:p w14:paraId="71087AD3" w14:textId="77777777" w:rsidR="009D2B35" w:rsidRDefault="009D2B35" w:rsidP="00ED7FC3">
      <w:pPr>
        <w:jc w:val="center"/>
      </w:pPr>
    </w:p>
    <w:p w14:paraId="73D7D56A" w14:textId="77777777" w:rsidR="00D0792E" w:rsidRDefault="00D0792E" w:rsidP="00ED7FC3">
      <w:pPr>
        <w:jc w:val="center"/>
      </w:pPr>
    </w:p>
    <w:p w14:paraId="728B15A9" w14:textId="77777777" w:rsidR="00D0792E" w:rsidRDefault="00D0792E" w:rsidP="00ED7FC3">
      <w:pPr>
        <w:jc w:val="center"/>
      </w:pPr>
    </w:p>
    <w:p w14:paraId="07459981" w14:textId="3A232D3B" w:rsidR="00ED7FC3" w:rsidRDefault="00ED7FC3" w:rsidP="00ED7FC3">
      <w:pPr>
        <w:jc w:val="center"/>
      </w:pPr>
      <w:r>
        <w:t xml:space="preserve">DOKUMENTS IR PARAKSTĪTS AR DROŠU ELEKTRONISKO PARAKSTU </w:t>
      </w:r>
    </w:p>
    <w:p w14:paraId="141E934D" w14:textId="77777777" w:rsidR="00ED7FC3" w:rsidRDefault="00ED7FC3" w:rsidP="00ED7FC3">
      <w:pPr>
        <w:jc w:val="center"/>
        <w:rPr>
          <w:lang w:val="lv-LV"/>
        </w:rPr>
      </w:pPr>
      <w:r>
        <w:t>UN SATUR LAIKA ZĪMOGU</w:t>
      </w: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CC2F" w14:textId="77777777" w:rsidR="00483EFC" w:rsidRDefault="00483EFC">
      <w:r>
        <w:separator/>
      </w:r>
    </w:p>
  </w:endnote>
  <w:endnote w:type="continuationSeparator" w:id="0">
    <w:p w14:paraId="132471AF" w14:textId="77777777" w:rsidR="00483EFC" w:rsidRDefault="0048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B185" w14:textId="77777777" w:rsidR="00483EFC" w:rsidRDefault="00483EFC">
      <w:r>
        <w:separator/>
      </w:r>
    </w:p>
  </w:footnote>
  <w:footnote w:type="continuationSeparator" w:id="0">
    <w:p w14:paraId="04C7BFE5" w14:textId="77777777" w:rsidR="00483EFC" w:rsidRDefault="00483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03947"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1" w:name="docDate"/>
    <w:bookmarkEnd w:id="1"/>
    <w:r>
      <w:t xml:space="preserve">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321E94"/>
    <w:multiLevelType w:val="multilevel"/>
    <w:tmpl w:val="9AFAE1A4"/>
    <w:lvl w:ilvl="0">
      <w:start w:val="1"/>
      <w:numFmt w:val="decimal"/>
      <w:lvlText w:val="%1."/>
      <w:lvlJc w:val="left"/>
      <w:pPr>
        <w:ind w:left="1080" w:hanging="360"/>
      </w:pPr>
      <w:rPr>
        <w:rFonts w:ascii="Arial" w:eastAsiaTheme="minorHAnsi" w:hAnsi="Arial" w:cs="Arial"/>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2B248BE"/>
    <w:multiLevelType w:val="hybridMultilevel"/>
    <w:tmpl w:val="4718D738"/>
    <w:lvl w:ilvl="0" w:tplc="1DF808F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4965AD"/>
    <w:multiLevelType w:val="hybridMultilevel"/>
    <w:tmpl w:val="28964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6"/>
  </w:num>
  <w:num w:numId="3" w16cid:durableId="1346135039">
    <w:abstractNumId w:val="15"/>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2"/>
  </w:num>
  <w:num w:numId="9" w16cid:durableId="84345720">
    <w:abstractNumId w:val="5"/>
  </w:num>
  <w:num w:numId="10" w16cid:durableId="1766462949">
    <w:abstractNumId w:val="2"/>
  </w:num>
  <w:num w:numId="11" w16cid:durableId="89766680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6"/>
  </w:num>
  <w:num w:numId="13" w16cid:durableId="511839796">
    <w:abstractNumId w:val="3"/>
  </w:num>
  <w:num w:numId="14" w16cid:durableId="1531914271">
    <w:abstractNumId w:val="10"/>
  </w:num>
  <w:num w:numId="15" w16cid:durableId="161554949">
    <w:abstractNumId w:val="17"/>
  </w:num>
  <w:num w:numId="16" w16cid:durableId="1113868705">
    <w:abstractNumId w:val="9"/>
  </w:num>
  <w:num w:numId="17" w16cid:durableId="1209680888">
    <w:abstractNumId w:val="11"/>
  </w:num>
  <w:num w:numId="18" w16cid:durableId="897015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A25A6"/>
    <w:rsid w:val="000A2D42"/>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1881"/>
    <w:rsid w:val="00142CC4"/>
    <w:rsid w:val="00143E88"/>
    <w:rsid w:val="00145341"/>
    <w:rsid w:val="00166B21"/>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113D"/>
    <w:rsid w:val="0028387D"/>
    <w:rsid w:val="00284340"/>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5AB4"/>
    <w:rsid w:val="00446224"/>
    <w:rsid w:val="00454749"/>
    <w:rsid w:val="00454D63"/>
    <w:rsid w:val="00455984"/>
    <w:rsid w:val="00477D5C"/>
    <w:rsid w:val="00483476"/>
    <w:rsid w:val="00483EFC"/>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2886"/>
    <w:rsid w:val="0052354F"/>
    <w:rsid w:val="0052581A"/>
    <w:rsid w:val="00526FFA"/>
    <w:rsid w:val="00527F3C"/>
    <w:rsid w:val="005402A8"/>
    <w:rsid w:val="0054525F"/>
    <w:rsid w:val="0056186C"/>
    <w:rsid w:val="0057098B"/>
    <w:rsid w:val="00570E1F"/>
    <w:rsid w:val="0057111E"/>
    <w:rsid w:val="00573C21"/>
    <w:rsid w:val="00574553"/>
    <w:rsid w:val="00576258"/>
    <w:rsid w:val="00576EBE"/>
    <w:rsid w:val="005A0903"/>
    <w:rsid w:val="005B1FDE"/>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426A4"/>
    <w:rsid w:val="0075033F"/>
    <w:rsid w:val="00756CAE"/>
    <w:rsid w:val="00761DC2"/>
    <w:rsid w:val="007666D6"/>
    <w:rsid w:val="00770759"/>
    <w:rsid w:val="00776E69"/>
    <w:rsid w:val="00780537"/>
    <w:rsid w:val="00781423"/>
    <w:rsid w:val="00781934"/>
    <w:rsid w:val="007875D1"/>
    <w:rsid w:val="00792BCA"/>
    <w:rsid w:val="007A34BE"/>
    <w:rsid w:val="007B0C95"/>
    <w:rsid w:val="007B1AFB"/>
    <w:rsid w:val="007B23D7"/>
    <w:rsid w:val="007B3E19"/>
    <w:rsid w:val="007C7D70"/>
    <w:rsid w:val="007D161A"/>
    <w:rsid w:val="007D343F"/>
    <w:rsid w:val="007D4DAC"/>
    <w:rsid w:val="007D62F7"/>
    <w:rsid w:val="007E1B98"/>
    <w:rsid w:val="007F411B"/>
    <w:rsid w:val="00803136"/>
    <w:rsid w:val="00803A1A"/>
    <w:rsid w:val="00804B9C"/>
    <w:rsid w:val="008100AA"/>
    <w:rsid w:val="00810BC1"/>
    <w:rsid w:val="00811234"/>
    <w:rsid w:val="00816196"/>
    <w:rsid w:val="0082594E"/>
    <w:rsid w:val="00825FA6"/>
    <w:rsid w:val="00830C0F"/>
    <w:rsid w:val="00830FE1"/>
    <w:rsid w:val="008324A5"/>
    <w:rsid w:val="008341B7"/>
    <w:rsid w:val="00835D79"/>
    <w:rsid w:val="00850DE6"/>
    <w:rsid w:val="008533C8"/>
    <w:rsid w:val="00857D3F"/>
    <w:rsid w:val="00863CC3"/>
    <w:rsid w:val="00867667"/>
    <w:rsid w:val="00872B40"/>
    <w:rsid w:val="008929F2"/>
    <w:rsid w:val="008A1BCE"/>
    <w:rsid w:val="008A3258"/>
    <w:rsid w:val="008A36B8"/>
    <w:rsid w:val="008A3C61"/>
    <w:rsid w:val="008A3D01"/>
    <w:rsid w:val="008C4EFF"/>
    <w:rsid w:val="008C672B"/>
    <w:rsid w:val="008D5DA8"/>
    <w:rsid w:val="008D75E4"/>
    <w:rsid w:val="008E0C46"/>
    <w:rsid w:val="008E13DB"/>
    <w:rsid w:val="008E2BAA"/>
    <w:rsid w:val="008E4C93"/>
    <w:rsid w:val="008E6656"/>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7CB1"/>
    <w:rsid w:val="009B03BA"/>
    <w:rsid w:val="009B6D80"/>
    <w:rsid w:val="009B7901"/>
    <w:rsid w:val="009C289F"/>
    <w:rsid w:val="009D1FF6"/>
    <w:rsid w:val="009D2B35"/>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0794"/>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C20"/>
    <w:rsid w:val="00C91D95"/>
    <w:rsid w:val="00C950CD"/>
    <w:rsid w:val="00CA0385"/>
    <w:rsid w:val="00CA73ED"/>
    <w:rsid w:val="00CB3ACB"/>
    <w:rsid w:val="00CB7671"/>
    <w:rsid w:val="00CC5B28"/>
    <w:rsid w:val="00CD01E0"/>
    <w:rsid w:val="00CE03A1"/>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51CB"/>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C5A7F"/>
    <w:rsid w:val="00ED0F5E"/>
    <w:rsid w:val="00ED1C42"/>
    <w:rsid w:val="00ED287C"/>
    <w:rsid w:val="00ED7FC3"/>
    <w:rsid w:val="00EE2231"/>
    <w:rsid w:val="00EF5CAB"/>
    <w:rsid w:val="00F00E4E"/>
    <w:rsid w:val="00F01C15"/>
    <w:rsid w:val="00F16EDA"/>
    <w:rsid w:val="00F213A8"/>
    <w:rsid w:val="00F2385E"/>
    <w:rsid w:val="00F321BF"/>
    <w:rsid w:val="00F377B7"/>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65879103">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5.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2636</Words>
  <Characters>1503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3</cp:revision>
  <cp:lastPrinted>2021-09-09T02:05:00Z</cp:lastPrinted>
  <dcterms:created xsi:type="dcterms:W3CDTF">2023-07-03T11:01:00Z</dcterms:created>
  <dcterms:modified xsi:type="dcterms:W3CDTF">2023-07-04T04:28:00Z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