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BBB4" w14:textId="685B0C1D" w:rsidR="00EC1BA5" w:rsidRPr="00E15067" w:rsidRDefault="00EC1BA5" w:rsidP="00E15067">
      <w:pPr>
        <w:ind w:left="720" w:right="374" w:hanging="720"/>
        <w:jc w:val="both"/>
        <w:rPr>
          <w:sz w:val="22"/>
          <w:szCs w:val="22"/>
          <w:lang w:val="lv-LV"/>
        </w:rPr>
      </w:pPr>
    </w:p>
    <w:p w14:paraId="6A4D0E89" w14:textId="77777777" w:rsidR="005A3C45" w:rsidRPr="008E16BF" w:rsidRDefault="00EC1BA5" w:rsidP="00E15067">
      <w:pPr>
        <w:tabs>
          <w:tab w:val="left" w:pos="6237"/>
        </w:tabs>
        <w:ind w:right="374"/>
        <w:jc w:val="right"/>
        <w:rPr>
          <w:sz w:val="22"/>
          <w:szCs w:val="22"/>
          <w:lang w:val="lv-LV"/>
        </w:rPr>
      </w:pPr>
      <w:r w:rsidRPr="008E16BF">
        <w:rPr>
          <w:sz w:val="22"/>
          <w:szCs w:val="22"/>
          <w:lang w:val="lv-LV"/>
        </w:rPr>
        <w:t xml:space="preserve">                                                                                            </w:t>
      </w:r>
    </w:p>
    <w:p w14:paraId="6EB70CAC" w14:textId="7D298DCC" w:rsidR="00ED287C" w:rsidRPr="001F693D" w:rsidRDefault="00ED287C" w:rsidP="00E15067">
      <w:pPr>
        <w:ind w:right="374"/>
        <w:rPr>
          <w:i/>
          <w:sz w:val="22"/>
          <w:szCs w:val="22"/>
          <w:lang w:val="lv-LV"/>
        </w:rPr>
      </w:pPr>
      <w:r w:rsidRPr="001F693D">
        <w:rPr>
          <w:i/>
          <w:sz w:val="22"/>
          <w:szCs w:val="22"/>
          <w:lang w:val="lv-LV"/>
        </w:rPr>
        <w:t xml:space="preserve">Par </w:t>
      </w:r>
      <w:r w:rsidR="00EB1274" w:rsidRPr="001F693D">
        <w:rPr>
          <w:i/>
          <w:sz w:val="22"/>
          <w:szCs w:val="22"/>
          <w:lang w:val="lv-LV"/>
        </w:rPr>
        <w:t>slēgta kon</w:t>
      </w:r>
      <w:r w:rsidR="00940141" w:rsidRPr="001F693D">
        <w:rPr>
          <w:i/>
          <w:sz w:val="22"/>
          <w:szCs w:val="22"/>
          <w:lang w:val="lv-LV"/>
        </w:rPr>
        <w:t xml:space="preserve">kursa </w:t>
      </w:r>
      <w:r w:rsidRPr="001F693D">
        <w:rPr>
          <w:i/>
          <w:sz w:val="22"/>
          <w:szCs w:val="22"/>
          <w:lang w:val="lv-LV"/>
        </w:rPr>
        <w:t xml:space="preserve"> </w:t>
      </w:r>
    </w:p>
    <w:p w14:paraId="2BB83CA9" w14:textId="6F9DD6EF" w:rsidR="00A72466" w:rsidRPr="001F693D" w:rsidRDefault="00C71D15" w:rsidP="00A72466">
      <w:pPr>
        <w:pStyle w:val="Caption"/>
        <w:ind w:right="374"/>
        <w:jc w:val="left"/>
        <w:rPr>
          <w:b w:val="0"/>
          <w:i/>
          <w:iCs/>
          <w:sz w:val="22"/>
          <w:szCs w:val="22"/>
        </w:rPr>
      </w:pPr>
      <w:r w:rsidRPr="001F693D">
        <w:rPr>
          <w:b w:val="0"/>
          <w:i/>
          <w:iCs/>
          <w:sz w:val="22"/>
          <w:szCs w:val="22"/>
        </w:rPr>
        <w:t>“</w:t>
      </w:r>
      <w:r w:rsidR="00A72466" w:rsidRPr="001F693D">
        <w:rPr>
          <w:b w:val="0"/>
          <w:i/>
          <w:iCs/>
          <w:sz w:val="22"/>
          <w:szCs w:val="22"/>
        </w:rPr>
        <w:t>Tramvaju depo ražošanas ēku pārbūve Brīvības ielā 191, Rīgā”</w:t>
      </w:r>
    </w:p>
    <w:p w14:paraId="01E5FD02" w14:textId="6BD9FF42" w:rsidR="00ED287C" w:rsidRPr="001F693D" w:rsidRDefault="00C71D15" w:rsidP="00A72466">
      <w:pPr>
        <w:pStyle w:val="Caption"/>
        <w:ind w:right="374"/>
        <w:jc w:val="left"/>
        <w:rPr>
          <w:b w:val="0"/>
          <w:i/>
          <w:iCs/>
          <w:sz w:val="22"/>
          <w:szCs w:val="22"/>
        </w:rPr>
      </w:pPr>
      <w:r w:rsidRPr="001F693D">
        <w:rPr>
          <w:b w:val="0"/>
          <w:i/>
          <w:iCs/>
          <w:sz w:val="22"/>
          <w:szCs w:val="22"/>
        </w:rPr>
        <w:t xml:space="preserve"> </w:t>
      </w:r>
      <w:r w:rsidR="00ED287C" w:rsidRPr="001F693D">
        <w:rPr>
          <w:b w:val="0"/>
          <w:i/>
          <w:iCs/>
          <w:sz w:val="22"/>
          <w:szCs w:val="22"/>
        </w:rPr>
        <w:t>(ID Nr.RS/202</w:t>
      </w:r>
      <w:r w:rsidR="00C540E8" w:rsidRPr="001F693D">
        <w:rPr>
          <w:b w:val="0"/>
          <w:i/>
          <w:iCs/>
          <w:sz w:val="22"/>
          <w:szCs w:val="22"/>
        </w:rPr>
        <w:t>2</w:t>
      </w:r>
      <w:r w:rsidR="00ED287C" w:rsidRPr="001F693D">
        <w:rPr>
          <w:b w:val="0"/>
          <w:i/>
          <w:iCs/>
          <w:sz w:val="22"/>
          <w:szCs w:val="22"/>
        </w:rPr>
        <w:t>/</w:t>
      </w:r>
      <w:r w:rsidR="00FB64B7" w:rsidRPr="001F693D">
        <w:rPr>
          <w:b w:val="0"/>
          <w:i/>
          <w:iCs/>
          <w:sz w:val="22"/>
          <w:szCs w:val="22"/>
        </w:rPr>
        <w:t>66</w:t>
      </w:r>
      <w:r w:rsidR="00ED287C" w:rsidRPr="001F693D">
        <w:rPr>
          <w:b w:val="0"/>
          <w:i/>
          <w:iCs/>
          <w:sz w:val="22"/>
          <w:szCs w:val="22"/>
        </w:rPr>
        <w:t xml:space="preserve">) </w:t>
      </w:r>
      <w:r w:rsidR="00C540E8" w:rsidRPr="001F693D">
        <w:rPr>
          <w:b w:val="0"/>
          <w:i/>
          <w:iCs/>
          <w:sz w:val="22"/>
          <w:szCs w:val="22"/>
        </w:rPr>
        <w:t xml:space="preserve">kandidātu atlases </w:t>
      </w:r>
      <w:r w:rsidR="00ED287C" w:rsidRPr="001F693D">
        <w:rPr>
          <w:b w:val="0"/>
          <w:i/>
          <w:iCs/>
          <w:sz w:val="22"/>
          <w:szCs w:val="22"/>
        </w:rPr>
        <w:t>nolikuma prasībām</w:t>
      </w:r>
    </w:p>
    <w:p w14:paraId="6F27DAAA" w14:textId="77777777" w:rsidR="00ED287C" w:rsidRPr="001F693D" w:rsidRDefault="00ED287C" w:rsidP="00E15067">
      <w:pPr>
        <w:ind w:right="374"/>
        <w:jc w:val="both"/>
        <w:rPr>
          <w:i/>
          <w:iCs/>
          <w:sz w:val="22"/>
          <w:szCs w:val="22"/>
          <w:lang w:val="lv-LV"/>
        </w:rPr>
      </w:pPr>
    </w:p>
    <w:p w14:paraId="66FC9AA7" w14:textId="0BA65E18" w:rsidR="00ED287C" w:rsidRPr="001F693D" w:rsidRDefault="00ED287C" w:rsidP="001F693D">
      <w:pPr>
        <w:ind w:right="380" w:firstLine="426"/>
        <w:jc w:val="both"/>
        <w:rPr>
          <w:sz w:val="22"/>
          <w:szCs w:val="22"/>
          <w:lang w:val="lv-LV"/>
        </w:rPr>
      </w:pPr>
      <w:r w:rsidRPr="001F693D">
        <w:rPr>
          <w:sz w:val="22"/>
          <w:szCs w:val="22"/>
          <w:lang w:val="lv-LV"/>
        </w:rPr>
        <w:t>Rīgas pašvaldības sabiedrības ar ierobežotu atbildību „Rīgas satiksme” Iepirkuma komisija (turpmāk – Pasūtītājs) no iespējamā p</w:t>
      </w:r>
      <w:r w:rsidR="00E15067" w:rsidRPr="001F693D">
        <w:rPr>
          <w:sz w:val="22"/>
          <w:szCs w:val="22"/>
          <w:lang w:val="lv-LV"/>
        </w:rPr>
        <w:t>retendenta</w:t>
      </w:r>
      <w:r w:rsidRPr="001F693D">
        <w:rPr>
          <w:sz w:val="22"/>
          <w:szCs w:val="22"/>
          <w:lang w:val="lv-LV"/>
        </w:rPr>
        <w:t xml:space="preserve"> ir saņēmusi vēstuli ar lūgumu sniegt skaidrojumu par nolikumā ietvertajām prasībām. </w:t>
      </w:r>
    </w:p>
    <w:p w14:paraId="03C5E2FF" w14:textId="77777777" w:rsidR="00ED287C" w:rsidRPr="001F693D" w:rsidRDefault="00ED287C" w:rsidP="00E15067">
      <w:pPr>
        <w:ind w:right="374"/>
        <w:jc w:val="both"/>
        <w:rPr>
          <w:i/>
          <w:iCs/>
          <w:sz w:val="22"/>
          <w:szCs w:val="22"/>
          <w:lang w:val="lv-LV"/>
        </w:rPr>
      </w:pPr>
    </w:p>
    <w:p w14:paraId="796FB5C0" w14:textId="6905D620" w:rsidR="00E15067" w:rsidRPr="001F693D" w:rsidRDefault="00AA6B75" w:rsidP="001F6DD3">
      <w:pPr>
        <w:ind w:right="374"/>
        <w:jc w:val="both"/>
        <w:rPr>
          <w:bCs/>
          <w:i/>
          <w:iCs/>
          <w:sz w:val="22"/>
          <w:szCs w:val="22"/>
          <w:lang w:val="lv-LV"/>
        </w:rPr>
      </w:pPr>
      <w:r w:rsidRPr="001F693D">
        <w:rPr>
          <w:b/>
          <w:bCs/>
          <w:i/>
          <w:iCs/>
          <w:sz w:val="22"/>
          <w:szCs w:val="22"/>
          <w:lang w:val="lv-LV"/>
        </w:rPr>
        <w:t>J</w:t>
      </w:r>
      <w:r w:rsidR="008100AA" w:rsidRPr="001F693D">
        <w:rPr>
          <w:b/>
          <w:bCs/>
          <w:i/>
          <w:iCs/>
          <w:sz w:val="22"/>
          <w:szCs w:val="22"/>
          <w:lang w:val="lv-LV"/>
        </w:rPr>
        <w:t>autājums:</w:t>
      </w:r>
      <w:r w:rsidR="008569ED" w:rsidRPr="001F693D">
        <w:rPr>
          <w:i/>
          <w:iCs/>
          <w:sz w:val="22"/>
          <w:szCs w:val="22"/>
          <w:lang w:val="lv-LV"/>
        </w:rPr>
        <w:t xml:space="preserve"> </w:t>
      </w:r>
    </w:p>
    <w:p w14:paraId="5FBC7B5E" w14:textId="30D7EAEA" w:rsidR="001F6DD3" w:rsidRPr="001F693D" w:rsidRDefault="001F6DD3" w:rsidP="001F6DD3">
      <w:pPr>
        <w:autoSpaceDE w:val="0"/>
        <w:autoSpaceDN w:val="0"/>
        <w:adjustRightInd w:val="0"/>
        <w:ind w:right="374"/>
        <w:jc w:val="both"/>
        <w:rPr>
          <w:sz w:val="22"/>
          <w:szCs w:val="22"/>
          <w:lang w:val="lv-LV" w:eastAsia="en-GB"/>
        </w:rPr>
      </w:pPr>
      <w:r w:rsidRPr="001F693D">
        <w:rPr>
          <w:sz w:val="22"/>
          <w:szCs w:val="22"/>
          <w:lang w:val="lv-LV" w:eastAsia="en-GB"/>
        </w:rPr>
        <w:t>Iepazīstoties ar Slēgta konkursa “Tramvaju depo ražošanas ēku pārbūve Brīvības ielā 191, Rīgā”</w:t>
      </w:r>
      <w:r w:rsidR="001B7886" w:rsidRPr="001F693D">
        <w:rPr>
          <w:sz w:val="22"/>
          <w:szCs w:val="22"/>
          <w:lang w:val="lv-LV" w:eastAsia="en-GB"/>
        </w:rPr>
        <w:t xml:space="preserve"> </w:t>
      </w:r>
      <w:r w:rsidRPr="001F693D">
        <w:rPr>
          <w:sz w:val="22"/>
          <w:szCs w:val="22"/>
          <w:lang w:val="lv-LV" w:eastAsia="en-GB"/>
        </w:rPr>
        <w:t>(identifikācijas Nr. RS/2022/66) nolikumu, lūdzam apstiprināt, ka:</w:t>
      </w:r>
    </w:p>
    <w:p w14:paraId="36C5D0E9" w14:textId="10241D47" w:rsidR="001F6DD3" w:rsidRPr="001F693D" w:rsidRDefault="00064907" w:rsidP="001F6DD3">
      <w:pPr>
        <w:autoSpaceDE w:val="0"/>
        <w:autoSpaceDN w:val="0"/>
        <w:adjustRightInd w:val="0"/>
        <w:ind w:right="374"/>
        <w:jc w:val="both"/>
        <w:rPr>
          <w:sz w:val="22"/>
          <w:szCs w:val="22"/>
          <w:lang w:val="lv-LV" w:eastAsia="en-GB"/>
        </w:rPr>
      </w:pPr>
      <w:r>
        <w:rPr>
          <w:sz w:val="22"/>
          <w:szCs w:val="22"/>
          <w:lang w:val="lv-LV" w:eastAsia="en-GB"/>
        </w:rPr>
        <w:t xml:space="preserve">1. </w:t>
      </w:r>
      <w:r w:rsidR="001F6DD3" w:rsidRPr="001F693D">
        <w:rPr>
          <w:sz w:val="22"/>
          <w:szCs w:val="22"/>
          <w:lang w:val="lv-LV" w:eastAsia="en-GB"/>
        </w:rPr>
        <w:t>gadījumā, ja piedāvājumu sniedz Komercreģistrā reģistrēta pilnsabiedrība, Nolikuma 11.1. un 11.2. punktos esošo finanšu rādītāju noteikšanai var summēt pilnsabiedrības, kā arī visu pilnsabiedrības biedru finanšu rādītājus;</w:t>
      </w:r>
    </w:p>
    <w:p w14:paraId="5D0551C6" w14:textId="43155FAD" w:rsidR="008569ED" w:rsidRPr="001F693D" w:rsidRDefault="00064907" w:rsidP="001F6DD3">
      <w:pPr>
        <w:autoSpaceDE w:val="0"/>
        <w:autoSpaceDN w:val="0"/>
        <w:adjustRightInd w:val="0"/>
        <w:ind w:right="374"/>
        <w:jc w:val="both"/>
        <w:rPr>
          <w:bCs/>
          <w:i/>
          <w:iCs/>
          <w:sz w:val="22"/>
          <w:szCs w:val="22"/>
          <w:lang w:val="lv-LV"/>
        </w:rPr>
      </w:pPr>
      <w:r>
        <w:rPr>
          <w:sz w:val="22"/>
          <w:szCs w:val="22"/>
          <w:lang w:val="lv-LV" w:eastAsia="en-GB"/>
        </w:rPr>
        <w:t xml:space="preserve">2. </w:t>
      </w:r>
      <w:r w:rsidR="001F6DD3" w:rsidRPr="001F693D">
        <w:rPr>
          <w:sz w:val="22"/>
          <w:szCs w:val="22"/>
          <w:lang w:val="lv-LV" w:eastAsia="en-GB"/>
        </w:rPr>
        <w:t xml:space="preserve">uz pilnsabiedrību (gadījumā, ja Nolikuma 11.1. un 11.2.punktos esošie finanšu rādītāji tiek pamatoti ar pilnsabiedrības biedra finanšu rādītājiem) nav attiecināma Nolikuma 11.3.punktā ietvertā prasība iesniegt biedra apliecinājumu vai vienošanos par sadarbību, jo tas pats par sevi izriet no Komerclikuma normām par pilnsabiedrību – </w:t>
      </w:r>
      <w:r w:rsidR="001F6DD3" w:rsidRPr="001F693D">
        <w:rPr>
          <w:i/>
          <w:iCs/>
          <w:sz w:val="22"/>
          <w:szCs w:val="22"/>
          <w:lang w:val="lv-LV" w:eastAsia="en-GB"/>
        </w:rPr>
        <w:t>“Pilnsabiedrība ir personālsabiedrība, kuras mērķis ir komercdarbības veikšana, izmantojot kopīgu firmu, un kurā uz sabiedrības līguma pamata,  neierobežojot savu atbildību pret pilnsabiedrības kreditoriem, apvienojušās divas vai vairākas personas (biedri).”</w:t>
      </w:r>
    </w:p>
    <w:p w14:paraId="5278FD1F" w14:textId="77777777" w:rsidR="00A33379" w:rsidRDefault="00A33379" w:rsidP="00E15067">
      <w:pPr>
        <w:ind w:right="374"/>
        <w:jc w:val="both"/>
        <w:rPr>
          <w:b/>
          <w:sz w:val="22"/>
          <w:szCs w:val="22"/>
          <w:lang w:val="lv-LV"/>
        </w:rPr>
      </w:pPr>
    </w:p>
    <w:p w14:paraId="36FC7F9A" w14:textId="48CF4438" w:rsidR="00E15067" w:rsidRPr="001F693D" w:rsidRDefault="008569ED" w:rsidP="00E15067">
      <w:pPr>
        <w:ind w:right="374"/>
        <w:jc w:val="both"/>
        <w:rPr>
          <w:b/>
          <w:sz w:val="22"/>
          <w:szCs w:val="22"/>
          <w:lang w:val="lv-LV"/>
        </w:rPr>
      </w:pPr>
      <w:r w:rsidRPr="001F693D">
        <w:rPr>
          <w:b/>
          <w:sz w:val="22"/>
          <w:szCs w:val="22"/>
          <w:lang w:val="lv-LV"/>
        </w:rPr>
        <w:t>Atbilde</w:t>
      </w:r>
      <w:r w:rsidR="00E15067" w:rsidRPr="001F693D">
        <w:rPr>
          <w:b/>
          <w:sz w:val="22"/>
          <w:szCs w:val="22"/>
          <w:lang w:val="lv-LV"/>
        </w:rPr>
        <w:t>:</w:t>
      </w:r>
    </w:p>
    <w:p w14:paraId="18618E2B" w14:textId="61D0CAD0" w:rsidR="00400858" w:rsidRPr="001F693D" w:rsidRDefault="009C24C2" w:rsidP="00A33379">
      <w:pPr>
        <w:pStyle w:val="BodyText2"/>
        <w:numPr>
          <w:ilvl w:val="0"/>
          <w:numId w:val="8"/>
        </w:numPr>
        <w:tabs>
          <w:tab w:val="clear" w:pos="360"/>
          <w:tab w:val="num" w:pos="0"/>
        </w:tabs>
        <w:spacing w:after="0" w:line="240" w:lineRule="auto"/>
        <w:ind w:left="0" w:right="380" w:firstLine="0"/>
        <w:jc w:val="both"/>
        <w:outlineLvl w:val="0"/>
        <w:rPr>
          <w:sz w:val="22"/>
          <w:szCs w:val="22"/>
          <w:lang w:val="lv-LV"/>
        </w:rPr>
      </w:pPr>
      <w:r w:rsidRPr="001F693D">
        <w:rPr>
          <w:sz w:val="22"/>
          <w:szCs w:val="22"/>
          <w:lang w:val="lv-LV"/>
        </w:rPr>
        <w:t>Saskaņā ar nolikuma 11.1.punktu, k</w:t>
      </w:r>
      <w:r w:rsidR="00400858" w:rsidRPr="001F693D">
        <w:rPr>
          <w:sz w:val="22"/>
          <w:szCs w:val="22"/>
          <w:lang w:val="lv-LV"/>
        </w:rPr>
        <w:t>andidātam ir stabili finanšu un saimnieciskās darbības rādītāji, kurus, piemērojot vispārpieņemtos finanšu analīzes paņēmienus, kā arī pamatojoties uz pēdējā auditētā un apstiprinātā gada pārskata (ja audita (revidenta ziņojuma) sagatavošana nepieciešama saskaņā ar normatīvo aktu prasībām) vai operatīvā finanšu pārskata (ja kandidāta darbības laiks ir mazāks nekā viens gads un tam nav normatīvajos aktos noteiktajā kārtībā sagatavots un apstiprināts gada pārskats) rezultātiem, raksturo:</w:t>
      </w:r>
    </w:p>
    <w:p w14:paraId="7197C25D" w14:textId="581A28F2" w:rsidR="00400858" w:rsidRPr="001F693D" w:rsidRDefault="00400858" w:rsidP="001F693D">
      <w:pPr>
        <w:pStyle w:val="BodyText2"/>
        <w:numPr>
          <w:ilvl w:val="2"/>
          <w:numId w:val="8"/>
        </w:numPr>
        <w:tabs>
          <w:tab w:val="clear" w:pos="1430"/>
          <w:tab w:val="num" w:pos="426"/>
        </w:tabs>
        <w:spacing w:after="0" w:line="240" w:lineRule="auto"/>
        <w:ind w:hanging="1430"/>
        <w:jc w:val="both"/>
        <w:outlineLvl w:val="0"/>
        <w:rPr>
          <w:sz w:val="22"/>
          <w:szCs w:val="22"/>
          <w:lang w:val="lv-LV"/>
        </w:rPr>
      </w:pPr>
      <w:r w:rsidRPr="001F693D">
        <w:rPr>
          <w:sz w:val="22"/>
          <w:szCs w:val="22"/>
          <w:lang w:val="lv-LV"/>
        </w:rPr>
        <w:t>likviditātes koeficients: apgrozāmie līdzekļi/īstermiņa saistības ≥1;</w:t>
      </w:r>
    </w:p>
    <w:p w14:paraId="66085335" w14:textId="77777777" w:rsidR="00400858" w:rsidRPr="001F693D" w:rsidRDefault="00400858" w:rsidP="001F693D">
      <w:pPr>
        <w:pStyle w:val="BodyText2"/>
        <w:numPr>
          <w:ilvl w:val="2"/>
          <w:numId w:val="8"/>
        </w:numPr>
        <w:tabs>
          <w:tab w:val="clear" w:pos="1430"/>
          <w:tab w:val="num" w:pos="426"/>
        </w:tabs>
        <w:spacing w:after="0" w:line="240" w:lineRule="auto"/>
        <w:ind w:hanging="1430"/>
        <w:jc w:val="both"/>
        <w:outlineLvl w:val="0"/>
        <w:rPr>
          <w:sz w:val="22"/>
          <w:szCs w:val="22"/>
          <w:lang w:val="lv-LV"/>
        </w:rPr>
      </w:pPr>
      <w:r w:rsidRPr="001F693D">
        <w:rPr>
          <w:sz w:val="22"/>
          <w:szCs w:val="22"/>
          <w:lang w:val="lv-LV"/>
        </w:rPr>
        <w:t>pozitīvs pašu kapitāls.</w:t>
      </w:r>
      <w:r w:rsidRPr="001F693D">
        <w:rPr>
          <w:spacing w:val="-7"/>
          <w:sz w:val="22"/>
          <w:szCs w:val="22"/>
          <w:lang w:val="lv-LV"/>
        </w:rPr>
        <w:t xml:space="preserve"> </w:t>
      </w:r>
    </w:p>
    <w:p w14:paraId="686D07F8" w14:textId="31A9C3D4" w:rsidR="00400858" w:rsidRPr="00C90242" w:rsidRDefault="00400858" w:rsidP="001F693D">
      <w:pPr>
        <w:pStyle w:val="BodyText2"/>
        <w:spacing w:line="240" w:lineRule="auto"/>
        <w:ind w:right="380"/>
        <w:jc w:val="both"/>
        <w:rPr>
          <w:sz w:val="22"/>
          <w:szCs w:val="22"/>
          <w:u w:val="single"/>
          <w:lang w:val="lv-LV"/>
        </w:rPr>
      </w:pPr>
      <w:r w:rsidRPr="00C90242">
        <w:rPr>
          <w:spacing w:val="-7"/>
          <w:sz w:val="22"/>
          <w:szCs w:val="22"/>
          <w:u w:val="single"/>
          <w:lang w:val="lv-LV"/>
        </w:rPr>
        <w:t>Ja Kandidāts ir piegādātāju apvienība, tad vismaz vienam no piegādātāju apvienības dalībniekiem, uz</w:t>
      </w:r>
      <w:r w:rsidR="001F693D" w:rsidRPr="00C90242">
        <w:rPr>
          <w:spacing w:val="-7"/>
          <w:sz w:val="22"/>
          <w:szCs w:val="22"/>
          <w:u w:val="single"/>
          <w:lang w:val="lv-LV"/>
        </w:rPr>
        <w:t xml:space="preserve"> k</w:t>
      </w:r>
      <w:r w:rsidRPr="00C90242">
        <w:rPr>
          <w:spacing w:val="-7"/>
          <w:sz w:val="22"/>
          <w:szCs w:val="22"/>
          <w:u w:val="single"/>
          <w:lang w:val="lv-LV"/>
        </w:rPr>
        <w:t>ura finansiālajām spējām kandidāts balstās un kurš būs finansiāli atbildīgs par līguma izpildi, ir jāatbilst nolikuma 11.1. prasībām.</w:t>
      </w:r>
    </w:p>
    <w:p w14:paraId="2C0DCD2A" w14:textId="77777777" w:rsidR="00BA3178" w:rsidRDefault="00BA3178" w:rsidP="003D3FCE">
      <w:pPr>
        <w:autoSpaceDE w:val="0"/>
        <w:autoSpaceDN w:val="0"/>
        <w:adjustRightInd w:val="0"/>
        <w:ind w:right="374"/>
        <w:jc w:val="both"/>
        <w:rPr>
          <w:sz w:val="22"/>
          <w:szCs w:val="22"/>
          <w:lang w:val="lv-LV"/>
        </w:rPr>
      </w:pPr>
      <w:r>
        <w:rPr>
          <w:sz w:val="22"/>
          <w:szCs w:val="22"/>
          <w:lang w:val="lv-LV"/>
        </w:rPr>
        <w:t>N</w:t>
      </w:r>
      <w:r w:rsidRPr="001F693D">
        <w:rPr>
          <w:sz w:val="22"/>
          <w:szCs w:val="22"/>
          <w:lang w:val="lv-LV"/>
        </w:rPr>
        <w:t xml:space="preserve">olikuma 11.2.punkts nosaka, ka </w:t>
      </w:r>
      <w:r>
        <w:rPr>
          <w:sz w:val="22"/>
          <w:szCs w:val="22"/>
          <w:lang w:val="lv-LV"/>
        </w:rPr>
        <w:t>k</w:t>
      </w:r>
      <w:r w:rsidRPr="001F693D">
        <w:rPr>
          <w:sz w:val="22"/>
          <w:szCs w:val="22"/>
          <w:lang w:val="lv-LV"/>
        </w:rPr>
        <w:t xml:space="preserve">andidāta minimālais vidējais gada finanšu (neto) apgrozījums pēdējo trīs noslēgto finanšu gadu laikā (par noslēgto finanšu gadu uzskata gadu, par kuru ir sastādīts un normatīvajos aktos noteiktajā kārtībā apstiprināts gada pārskats) nav bijis mazāks par EUR 15 000 000 (piecpadsmit miljoni </w:t>
      </w:r>
      <w:r w:rsidRPr="001F693D">
        <w:rPr>
          <w:i/>
          <w:iCs/>
          <w:sz w:val="22"/>
          <w:szCs w:val="22"/>
          <w:lang w:val="lv-LV"/>
        </w:rPr>
        <w:t>euro</w:t>
      </w:r>
      <w:r w:rsidRPr="001F693D">
        <w:rPr>
          <w:sz w:val="22"/>
          <w:szCs w:val="22"/>
          <w:lang w:val="lv-LV"/>
        </w:rPr>
        <w:t xml:space="preserve">). Ja kandidāts  ir dibināts vēlāk,  tad  gada finanšu apgrozījumam jāatbilst augstāk minētajai prasībai attiecīgi īsākā laikā (ja kandidāts darbojas mazāk kā gadu, finanšu apgrozījumam šajā periodā jābūt ne mazāk kā EUR 15 000 000 (piecpadsmit miljoni </w:t>
      </w:r>
      <w:r w:rsidRPr="001F693D">
        <w:rPr>
          <w:i/>
          <w:iCs/>
          <w:sz w:val="22"/>
          <w:szCs w:val="22"/>
          <w:lang w:val="lv-LV"/>
        </w:rPr>
        <w:t>euro</w:t>
      </w:r>
      <w:r w:rsidRPr="001F693D">
        <w:rPr>
          <w:sz w:val="22"/>
          <w:szCs w:val="22"/>
          <w:lang w:val="lv-LV"/>
        </w:rPr>
        <w:t>)).</w:t>
      </w:r>
    </w:p>
    <w:p w14:paraId="46077E0C" w14:textId="2884969B" w:rsidR="00C90242" w:rsidRPr="00BA3178" w:rsidRDefault="00BA3178" w:rsidP="003D3FCE">
      <w:pPr>
        <w:autoSpaceDE w:val="0"/>
        <w:autoSpaceDN w:val="0"/>
        <w:adjustRightInd w:val="0"/>
        <w:ind w:right="374"/>
        <w:jc w:val="both"/>
        <w:rPr>
          <w:bCs/>
          <w:sz w:val="22"/>
          <w:szCs w:val="22"/>
          <w:u w:val="single"/>
          <w:lang w:val="lv-LV"/>
        </w:rPr>
      </w:pPr>
      <w:r w:rsidRPr="00BA3178">
        <w:rPr>
          <w:sz w:val="22"/>
          <w:szCs w:val="22"/>
          <w:u w:val="single"/>
          <w:lang w:val="lv-LV"/>
        </w:rPr>
        <w:t>Ja Kandidāts ir piegādātāju apvienība, tad visiem apvienības dalībniekiem kopā jāatbilst šajā punktā noteiktajai prasībai (dalībnieku finanšu apgrozījuma rādītājiem summāri jāatbilst šajā punktā noteiktajai prasībai).</w:t>
      </w:r>
    </w:p>
    <w:p w14:paraId="1E0B6CEE" w14:textId="77777777" w:rsidR="00C90242" w:rsidRDefault="00C90242" w:rsidP="003D3FCE">
      <w:pPr>
        <w:autoSpaceDE w:val="0"/>
        <w:autoSpaceDN w:val="0"/>
        <w:adjustRightInd w:val="0"/>
        <w:ind w:right="374"/>
        <w:jc w:val="both"/>
        <w:rPr>
          <w:bCs/>
          <w:iCs/>
          <w:sz w:val="22"/>
          <w:szCs w:val="22"/>
          <w:lang w:val="lv-LV"/>
        </w:rPr>
      </w:pPr>
    </w:p>
    <w:p w14:paraId="249F51CA" w14:textId="7774F445" w:rsidR="004E06EF" w:rsidRDefault="00D917B3" w:rsidP="003D3FCE">
      <w:pPr>
        <w:autoSpaceDE w:val="0"/>
        <w:autoSpaceDN w:val="0"/>
        <w:adjustRightInd w:val="0"/>
        <w:ind w:right="374"/>
        <w:jc w:val="both"/>
        <w:rPr>
          <w:rFonts w:eastAsiaTheme="minorEastAsia"/>
          <w:kern w:val="24"/>
          <w:sz w:val="22"/>
          <w:szCs w:val="22"/>
          <w:lang w:val="lv-LV"/>
        </w:rPr>
      </w:pPr>
      <w:r>
        <w:rPr>
          <w:rFonts w:eastAsiaTheme="minorEastAsia"/>
          <w:kern w:val="24"/>
          <w:sz w:val="22"/>
          <w:szCs w:val="22"/>
          <w:lang w:val="lv-LV"/>
        </w:rPr>
        <w:t xml:space="preserve">Paskaidrojam, ka </w:t>
      </w:r>
      <w:r w:rsidRPr="004E06EF">
        <w:rPr>
          <w:rFonts w:eastAsiaTheme="minorEastAsia"/>
          <w:kern w:val="24"/>
          <w:sz w:val="22"/>
          <w:szCs w:val="22"/>
          <w:lang w:val="lv-LV"/>
        </w:rPr>
        <w:t>pilnsabiedrība ir reģistrēta personu apvienība, kura pati par sevi ir balstīšanās uz cita uzņēmēja iespējām forma</w:t>
      </w:r>
      <w:r w:rsidR="009C0366">
        <w:rPr>
          <w:sz w:val="22"/>
          <w:szCs w:val="22"/>
          <w:lang w:val="lv-LV"/>
        </w:rPr>
        <w:t xml:space="preserve">, līdz ar ko ir </w:t>
      </w:r>
      <w:r w:rsidR="00CA6180">
        <w:rPr>
          <w:sz w:val="22"/>
          <w:szCs w:val="22"/>
          <w:lang w:val="lv-LV"/>
        </w:rPr>
        <w:t>jāņem vērā</w:t>
      </w:r>
      <w:r w:rsidR="004E06EF" w:rsidRPr="004E06EF">
        <w:rPr>
          <w:sz w:val="22"/>
          <w:szCs w:val="22"/>
          <w:lang w:val="lv-LV"/>
        </w:rPr>
        <w:t>, kā pasūtītājs</w:t>
      </w:r>
      <w:r w:rsidR="009C0366">
        <w:rPr>
          <w:sz w:val="22"/>
          <w:szCs w:val="22"/>
          <w:lang w:val="lv-LV"/>
        </w:rPr>
        <w:t xml:space="preserve"> nolikumā ir</w:t>
      </w:r>
      <w:r w:rsidR="004E06EF" w:rsidRPr="004E06EF">
        <w:rPr>
          <w:sz w:val="22"/>
          <w:szCs w:val="22"/>
          <w:lang w:val="lv-LV"/>
        </w:rPr>
        <w:t xml:space="preserve"> noteicis prasību izpildi piegādātāju apvienību gadījumā. </w:t>
      </w:r>
      <w:r w:rsidR="004E06EF" w:rsidRPr="004E06EF">
        <w:rPr>
          <w:rFonts w:eastAsiaTheme="minorEastAsia"/>
          <w:kern w:val="24"/>
          <w:sz w:val="22"/>
          <w:szCs w:val="22"/>
          <w:lang w:val="lv-LV"/>
        </w:rPr>
        <w:t xml:space="preserve"> </w:t>
      </w:r>
    </w:p>
    <w:p w14:paraId="73B5B834" w14:textId="6B68E6CC" w:rsidR="003D3FCE" w:rsidRPr="002D28C3" w:rsidRDefault="004E06EF" w:rsidP="003D3FCE">
      <w:pPr>
        <w:autoSpaceDE w:val="0"/>
        <w:autoSpaceDN w:val="0"/>
        <w:adjustRightInd w:val="0"/>
        <w:ind w:right="374"/>
        <w:jc w:val="both"/>
        <w:rPr>
          <w:sz w:val="22"/>
          <w:szCs w:val="22"/>
          <w:lang w:val="lv-LV" w:eastAsia="en-GB"/>
        </w:rPr>
      </w:pPr>
      <w:r>
        <w:rPr>
          <w:sz w:val="22"/>
          <w:szCs w:val="22"/>
          <w:lang w:val="lv-LV" w:eastAsia="en-GB"/>
        </w:rPr>
        <w:lastRenderedPageBreak/>
        <w:t>A</w:t>
      </w:r>
      <w:r w:rsidRPr="002D28C3">
        <w:rPr>
          <w:sz w:val="22"/>
          <w:szCs w:val="22"/>
          <w:lang w:val="lv-LV" w:eastAsia="en-GB"/>
        </w:rPr>
        <w:t xml:space="preserve">tbilstoši nolikuma 11.1.punktā noteiktajam, </w:t>
      </w:r>
      <w:r w:rsidRPr="00CA6180">
        <w:rPr>
          <w:spacing w:val="-7"/>
          <w:sz w:val="22"/>
          <w:szCs w:val="22"/>
          <w:lang w:val="lv-LV"/>
        </w:rPr>
        <w:t xml:space="preserve">vismaz vienam </w:t>
      </w:r>
      <w:r w:rsidRPr="001F693D">
        <w:rPr>
          <w:spacing w:val="-7"/>
          <w:sz w:val="22"/>
          <w:szCs w:val="22"/>
          <w:lang w:val="lv-LV"/>
        </w:rPr>
        <w:t>no piegādātāju apvienības</w:t>
      </w:r>
      <w:r w:rsidR="003450D9">
        <w:rPr>
          <w:spacing w:val="-7"/>
          <w:sz w:val="22"/>
          <w:szCs w:val="22"/>
          <w:lang w:val="lv-LV"/>
        </w:rPr>
        <w:t xml:space="preserve"> (pilnsabiedrības) </w:t>
      </w:r>
      <w:r w:rsidRPr="001F693D">
        <w:rPr>
          <w:spacing w:val="-7"/>
          <w:sz w:val="22"/>
          <w:szCs w:val="22"/>
          <w:lang w:val="lv-LV"/>
        </w:rPr>
        <w:t>dalībniekiem, uz kura finansiālajām spējām kandidāts balstās un kurš būs finansiāli atbildīgs par līguma izpildi, ir jāatbilst nolikuma 11.1. prasībām</w:t>
      </w:r>
      <w:r w:rsidR="003450D9">
        <w:rPr>
          <w:spacing w:val="-7"/>
          <w:sz w:val="22"/>
          <w:szCs w:val="22"/>
          <w:lang w:val="lv-LV"/>
        </w:rPr>
        <w:t>.  No</w:t>
      </w:r>
      <w:r w:rsidR="00663D1D" w:rsidRPr="004E06EF">
        <w:rPr>
          <w:bCs/>
          <w:iCs/>
          <w:sz w:val="22"/>
          <w:szCs w:val="22"/>
          <w:lang w:val="lv-LV"/>
        </w:rPr>
        <w:t>likuma 11.1.punktā norādīto finanšu rādītāju</w:t>
      </w:r>
      <w:r w:rsidR="003D3FCE" w:rsidRPr="004E06EF">
        <w:rPr>
          <w:bCs/>
          <w:iCs/>
          <w:sz w:val="22"/>
          <w:szCs w:val="22"/>
          <w:lang w:val="lv-LV"/>
        </w:rPr>
        <w:t xml:space="preserve"> noteikšanai</w:t>
      </w:r>
      <w:r w:rsidR="00663D1D" w:rsidRPr="004E06EF">
        <w:rPr>
          <w:bCs/>
          <w:iCs/>
          <w:sz w:val="22"/>
          <w:szCs w:val="22"/>
          <w:lang w:val="lv-LV"/>
        </w:rPr>
        <w:t xml:space="preserve"> </w:t>
      </w:r>
      <w:r w:rsidR="003D3FCE" w:rsidRPr="004E06EF">
        <w:rPr>
          <w:bCs/>
          <w:iCs/>
          <w:sz w:val="22"/>
          <w:szCs w:val="22"/>
          <w:lang w:val="lv-LV"/>
        </w:rPr>
        <w:t>nevar</w:t>
      </w:r>
      <w:r w:rsidR="003D3FCE">
        <w:rPr>
          <w:bCs/>
          <w:iCs/>
          <w:sz w:val="22"/>
          <w:szCs w:val="22"/>
          <w:lang w:val="lv-LV"/>
        </w:rPr>
        <w:t xml:space="preserve"> </w:t>
      </w:r>
      <w:r w:rsidR="00663D1D" w:rsidRPr="002D28C3">
        <w:rPr>
          <w:bCs/>
          <w:iCs/>
          <w:sz w:val="22"/>
          <w:szCs w:val="22"/>
          <w:lang w:val="lv-LV"/>
        </w:rPr>
        <w:t xml:space="preserve">summēt </w:t>
      </w:r>
      <w:r w:rsidR="003D3FCE" w:rsidRPr="002D28C3">
        <w:rPr>
          <w:sz w:val="22"/>
          <w:szCs w:val="22"/>
          <w:lang w:val="lv-LV" w:eastAsia="en-GB"/>
        </w:rPr>
        <w:t>pilnsabiedrības, kā arī visu pilnsabiedrības biedru finanšu rādītājus.</w:t>
      </w:r>
    </w:p>
    <w:p w14:paraId="4F2AB7AD" w14:textId="1368AACD" w:rsidR="00CA6180" w:rsidRPr="00BF185D" w:rsidRDefault="00F21388" w:rsidP="00CA6180">
      <w:pPr>
        <w:autoSpaceDE w:val="0"/>
        <w:autoSpaceDN w:val="0"/>
        <w:adjustRightInd w:val="0"/>
        <w:ind w:right="374"/>
        <w:jc w:val="both"/>
        <w:rPr>
          <w:sz w:val="22"/>
          <w:szCs w:val="22"/>
          <w:lang w:val="lv-LV" w:eastAsia="en-GB"/>
        </w:rPr>
      </w:pPr>
      <w:r>
        <w:rPr>
          <w:sz w:val="22"/>
          <w:szCs w:val="22"/>
          <w:lang w:val="lv-LV"/>
        </w:rPr>
        <w:t xml:space="preserve">Savukārt, atbilstoši nolikuma 11.2.punktā noteiktajam, </w:t>
      </w:r>
      <w:r w:rsidR="00AE0BE8" w:rsidRPr="00AE0BE8">
        <w:rPr>
          <w:sz w:val="22"/>
          <w:szCs w:val="22"/>
          <w:lang w:val="lv-LV"/>
        </w:rPr>
        <w:t xml:space="preserve">ja kandidāts ir piegādātāju apvienība, tad visiem apvienības dalībniekiem kopā jāatbilst </w:t>
      </w:r>
      <w:r w:rsidR="00CA6180">
        <w:rPr>
          <w:sz w:val="22"/>
          <w:szCs w:val="22"/>
          <w:lang w:val="lv-LV"/>
        </w:rPr>
        <w:t>nolikuma 11.2.</w:t>
      </w:r>
      <w:r w:rsidR="00AE0BE8" w:rsidRPr="00AE0BE8">
        <w:rPr>
          <w:sz w:val="22"/>
          <w:szCs w:val="22"/>
          <w:lang w:val="lv-LV"/>
        </w:rPr>
        <w:t xml:space="preserve"> punktā noteiktajai prasībai (dalībnieku finanšu apgrozījuma rādītājiem summāri jāatbilst šajā punktā noteiktajai prasībai)</w:t>
      </w:r>
      <w:r w:rsidR="00CA6180">
        <w:rPr>
          <w:sz w:val="22"/>
          <w:szCs w:val="22"/>
          <w:lang w:val="lv-LV"/>
        </w:rPr>
        <w:t xml:space="preserve">, līdz ar ko nolikuma 11.2.punktā </w:t>
      </w:r>
      <w:r w:rsidR="00CA6180" w:rsidRPr="001F693D">
        <w:rPr>
          <w:sz w:val="22"/>
          <w:szCs w:val="22"/>
          <w:lang w:val="lv-LV" w:eastAsia="en-GB"/>
        </w:rPr>
        <w:t>esošo finanšu rādītāju noteikšanai var summēt pilnsabiedrības, kā arī visu pilnsabiedrības biedru f</w:t>
      </w:r>
      <w:r w:rsidR="00CA6180" w:rsidRPr="00BF185D">
        <w:rPr>
          <w:sz w:val="22"/>
          <w:szCs w:val="22"/>
          <w:lang w:val="lv-LV" w:eastAsia="en-GB"/>
        </w:rPr>
        <w:t>inanšu rādītājus.</w:t>
      </w:r>
    </w:p>
    <w:p w14:paraId="316D48EC" w14:textId="77777777" w:rsidR="00CA6180" w:rsidRPr="00BF185D" w:rsidRDefault="00CA6180" w:rsidP="00CA6180">
      <w:pPr>
        <w:autoSpaceDE w:val="0"/>
        <w:autoSpaceDN w:val="0"/>
        <w:adjustRightInd w:val="0"/>
        <w:ind w:right="374"/>
        <w:jc w:val="both"/>
        <w:rPr>
          <w:sz w:val="22"/>
          <w:szCs w:val="22"/>
          <w:lang w:val="lv-LV" w:eastAsia="en-GB"/>
        </w:rPr>
      </w:pPr>
    </w:p>
    <w:p w14:paraId="2661A528" w14:textId="0D5E1F5B" w:rsidR="000F3B45" w:rsidRPr="00BF185D" w:rsidRDefault="00064907" w:rsidP="00331ECA">
      <w:pPr>
        <w:pStyle w:val="ListParagraph"/>
        <w:numPr>
          <w:ilvl w:val="0"/>
          <w:numId w:val="8"/>
        </w:numPr>
        <w:tabs>
          <w:tab w:val="clear" w:pos="360"/>
        </w:tabs>
        <w:spacing w:after="120"/>
        <w:ind w:left="0" w:right="380" w:firstLine="0"/>
        <w:jc w:val="both"/>
        <w:rPr>
          <w:rFonts w:ascii="Times New Roman" w:eastAsia="Calibri" w:hAnsi="Times New Roman" w:cs="Times New Roman"/>
          <w:lang w:eastAsia="lv-LV"/>
        </w:rPr>
      </w:pPr>
      <w:r w:rsidRPr="00BF185D">
        <w:rPr>
          <w:rFonts w:ascii="Times New Roman" w:eastAsia="Calibri" w:hAnsi="Times New Roman" w:cs="Times New Roman"/>
          <w:color w:val="000000"/>
          <w:lang w:eastAsia="zh-CN"/>
        </w:rPr>
        <w:t xml:space="preserve">Lai </w:t>
      </w:r>
      <w:r w:rsidR="000F3B45" w:rsidRPr="00BF185D">
        <w:rPr>
          <w:rFonts w:ascii="Times New Roman" w:eastAsia="Calibri" w:hAnsi="Times New Roman" w:cs="Times New Roman"/>
          <w:color w:val="000000"/>
          <w:lang w:eastAsia="zh-CN"/>
        </w:rPr>
        <w:t xml:space="preserve">pasūtītājs būtu spējīgs izvērtēt to, vai </w:t>
      </w:r>
      <w:r w:rsidR="00AD7056" w:rsidRPr="00BF185D">
        <w:rPr>
          <w:rFonts w:ascii="Times New Roman" w:eastAsia="Calibri" w:hAnsi="Times New Roman" w:cs="Times New Roman"/>
          <w:color w:val="000000"/>
          <w:lang w:eastAsia="zh-CN"/>
        </w:rPr>
        <w:t>kandidāts</w:t>
      </w:r>
      <w:r w:rsidR="000F3B45" w:rsidRPr="00BF185D">
        <w:rPr>
          <w:rFonts w:ascii="Times New Roman" w:eastAsia="Calibri" w:hAnsi="Times New Roman" w:cs="Times New Roman"/>
          <w:color w:val="000000"/>
          <w:lang w:eastAsia="zh-CN"/>
        </w:rPr>
        <w:t xml:space="preserve"> </w:t>
      </w:r>
      <w:r w:rsidR="007964D0" w:rsidRPr="00BF185D">
        <w:rPr>
          <w:rFonts w:ascii="Times New Roman" w:eastAsia="Calibri" w:hAnsi="Times New Roman" w:cs="Times New Roman"/>
          <w:color w:val="000000"/>
          <w:lang w:eastAsia="zh-CN"/>
        </w:rPr>
        <w:t>saimniecisko un finansiālo stāvokli ir pierādījis atbilstoš</w:t>
      </w:r>
      <w:r w:rsidR="00E5059A" w:rsidRPr="00BF185D">
        <w:rPr>
          <w:rFonts w:ascii="Times New Roman" w:eastAsia="Calibri" w:hAnsi="Times New Roman" w:cs="Times New Roman"/>
          <w:color w:val="000000"/>
          <w:lang w:eastAsia="zh-CN"/>
        </w:rPr>
        <w:t>i</w:t>
      </w:r>
      <w:r w:rsidR="007964D0" w:rsidRPr="00BF185D">
        <w:rPr>
          <w:rFonts w:ascii="Times New Roman" w:eastAsia="Calibri" w:hAnsi="Times New Roman" w:cs="Times New Roman"/>
          <w:color w:val="000000"/>
          <w:lang w:eastAsia="zh-CN"/>
        </w:rPr>
        <w:t xml:space="preserve"> nolikumā noteiktajam</w:t>
      </w:r>
      <w:r w:rsidR="002A2FC2" w:rsidRPr="00BF185D">
        <w:rPr>
          <w:rFonts w:ascii="Times New Roman" w:eastAsia="Calibri" w:hAnsi="Times New Roman" w:cs="Times New Roman"/>
          <w:color w:val="000000"/>
          <w:lang w:eastAsia="zh-CN"/>
        </w:rPr>
        <w:t xml:space="preserve"> un līguma izpildē</w:t>
      </w:r>
      <w:r w:rsidR="007964D0" w:rsidRPr="00BF185D">
        <w:rPr>
          <w:rFonts w:ascii="Times New Roman" w:eastAsia="Calibri" w:hAnsi="Times New Roman" w:cs="Times New Roman"/>
          <w:color w:val="000000"/>
          <w:lang w:eastAsia="zh-CN"/>
        </w:rPr>
        <w:t xml:space="preserve"> </w:t>
      </w:r>
      <w:r w:rsidR="000F3B45" w:rsidRPr="00BF185D">
        <w:rPr>
          <w:rFonts w:ascii="Times New Roman" w:eastAsia="Calibri" w:hAnsi="Times New Roman" w:cs="Times New Roman"/>
          <w:color w:val="000000"/>
          <w:lang w:eastAsia="zh-CN"/>
        </w:rPr>
        <w:t xml:space="preserve">tiks iesaistītas personas, kas apliecina </w:t>
      </w:r>
      <w:r w:rsidR="00331ECA" w:rsidRPr="00BF185D">
        <w:rPr>
          <w:rFonts w:ascii="Times New Roman" w:eastAsia="Calibri" w:hAnsi="Times New Roman" w:cs="Times New Roman"/>
          <w:color w:val="000000"/>
          <w:lang w:eastAsia="zh-CN"/>
        </w:rPr>
        <w:t>kandidāta saimniecisko un finansiālo stāvokli</w:t>
      </w:r>
      <w:r w:rsidR="000F3B45" w:rsidRPr="00BF185D">
        <w:rPr>
          <w:rFonts w:ascii="Times New Roman" w:eastAsia="Calibri" w:hAnsi="Times New Roman" w:cs="Times New Roman"/>
          <w:color w:val="000000"/>
          <w:lang w:eastAsia="zh-CN"/>
        </w:rPr>
        <w:t xml:space="preserve">, </w:t>
      </w:r>
      <w:r w:rsidR="000E2894" w:rsidRPr="00BF185D">
        <w:rPr>
          <w:rFonts w:ascii="Times New Roman" w:eastAsia="Calibri" w:hAnsi="Times New Roman" w:cs="Times New Roman"/>
          <w:color w:val="000000"/>
          <w:lang w:eastAsia="zh-CN"/>
        </w:rPr>
        <w:t xml:space="preserve">atbilstoši nolikuma </w:t>
      </w:r>
      <w:r w:rsidR="00E8252B" w:rsidRPr="00BF185D">
        <w:rPr>
          <w:rFonts w:ascii="Times New Roman" w:eastAsia="Calibri" w:hAnsi="Times New Roman" w:cs="Times New Roman"/>
          <w:color w:val="000000"/>
          <w:lang w:eastAsia="zh-CN"/>
        </w:rPr>
        <w:t>11.3.punktam,</w:t>
      </w:r>
      <w:r w:rsidR="00BF185D" w:rsidRPr="00BF185D">
        <w:rPr>
          <w:rFonts w:ascii="Times New Roman" w:eastAsia="Calibri" w:hAnsi="Times New Roman" w:cs="Times New Roman"/>
          <w:color w:val="000000"/>
          <w:lang w:eastAsia="zh-CN"/>
        </w:rPr>
        <w:t xml:space="preserve"> ir </w:t>
      </w:r>
      <w:r w:rsidR="00E8252B" w:rsidRPr="00BF185D">
        <w:rPr>
          <w:rFonts w:ascii="Times New Roman" w:eastAsia="Calibri" w:hAnsi="Times New Roman" w:cs="Times New Roman"/>
          <w:color w:val="000000"/>
          <w:lang w:eastAsia="zh-CN"/>
        </w:rPr>
        <w:t>iesniedza</w:t>
      </w:r>
      <w:r w:rsidR="00BF185D" w:rsidRPr="00BF185D">
        <w:rPr>
          <w:rFonts w:ascii="Times New Roman" w:eastAsia="Calibri" w:hAnsi="Times New Roman" w:cs="Times New Roman"/>
          <w:color w:val="000000"/>
          <w:lang w:eastAsia="zh-CN"/>
        </w:rPr>
        <w:t>ma</w:t>
      </w:r>
      <w:r w:rsidR="00E8252B" w:rsidRPr="00BF185D">
        <w:rPr>
          <w:rFonts w:ascii="Times New Roman" w:eastAsia="Calibri" w:hAnsi="Times New Roman" w:cs="Times New Roman"/>
          <w:color w:val="000000"/>
          <w:lang w:eastAsia="zh-CN"/>
        </w:rPr>
        <w:t xml:space="preserve"> </w:t>
      </w:r>
      <w:r w:rsidR="000E2894" w:rsidRPr="00BF185D">
        <w:rPr>
          <w:rFonts w:ascii="Times New Roman" w:hAnsi="Times New Roman" w:cs="Times New Roman"/>
          <w:color w:val="000000"/>
        </w:rPr>
        <w:t>vienošan</w:t>
      </w:r>
      <w:r w:rsidR="00BF185D" w:rsidRPr="00BF185D">
        <w:rPr>
          <w:rFonts w:ascii="Times New Roman" w:hAnsi="Times New Roman" w:cs="Times New Roman"/>
          <w:color w:val="000000"/>
        </w:rPr>
        <w:t>ā</w:t>
      </w:r>
      <w:r w:rsidR="000E2894" w:rsidRPr="00BF185D">
        <w:rPr>
          <w:rFonts w:ascii="Times New Roman" w:hAnsi="Times New Roman" w:cs="Times New Roman"/>
          <w:color w:val="000000"/>
        </w:rPr>
        <w:t>s par sadarbību iepirkuma līguma izpildē un solidāru atbildību, kas būs noslēgt</w:t>
      </w:r>
      <w:r w:rsidR="00E15C50">
        <w:rPr>
          <w:rFonts w:ascii="Times New Roman" w:hAnsi="Times New Roman" w:cs="Times New Roman"/>
          <w:color w:val="000000"/>
        </w:rPr>
        <w:t>a</w:t>
      </w:r>
      <w:r w:rsidR="000E2894" w:rsidRPr="00BF185D">
        <w:rPr>
          <w:rFonts w:ascii="Times New Roman" w:hAnsi="Times New Roman" w:cs="Times New Roman"/>
          <w:color w:val="000000"/>
        </w:rPr>
        <w:t xml:space="preserve"> starp </w:t>
      </w:r>
      <w:r w:rsidR="00A33379">
        <w:rPr>
          <w:rFonts w:ascii="Times New Roman" w:hAnsi="Times New Roman" w:cs="Times New Roman"/>
          <w:color w:val="000000"/>
        </w:rPr>
        <w:t>k</w:t>
      </w:r>
      <w:r w:rsidR="000E2894" w:rsidRPr="00BF185D">
        <w:rPr>
          <w:rFonts w:ascii="Times New Roman" w:hAnsi="Times New Roman" w:cs="Times New Roman"/>
          <w:color w:val="000000"/>
        </w:rPr>
        <w:t xml:space="preserve">andidātu kā pilnsabiedrību un </w:t>
      </w:r>
      <w:r w:rsidR="00A33379">
        <w:rPr>
          <w:rFonts w:ascii="Times New Roman" w:hAnsi="Times New Roman" w:cs="Times New Roman"/>
          <w:color w:val="000000"/>
        </w:rPr>
        <w:t>k</w:t>
      </w:r>
      <w:r w:rsidR="000E2894" w:rsidRPr="00BF185D">
        <w:rPr>
          <w:rFonts w:ascii="Times New Roman" w:hAnsi="Times New Roman" w:cs="Times New Roman"/>
          <w:color w:val="000000"/>
        </w:rPr>
        <w:t>andidāta biedriem.</w:t>
      </w:r>
    </w:p>
    <w:p w14:paraId="2DC2BC6C" w14:textId="6DDCB879" w:rsidR="00721959" w:rsidRPr="008E16BF" w:rsidRDefault="00721959" w:rsidP="00E15067">
      <w:pPr>
        <w:ind w:right="374"/>
        <w:jc w:val="both"/>
        <w:rPr>
          <w:bCs/>
          <w:iCs/>
          <w:sz w:val="22"/>
          <w:szCs w:val="22"/>
          <w:lang w:val="lv-LV"/>
        </w:rPr>
      </w:pPr>
    </w:p>
    <w:p w14:paraId="479DDBE3" w14:textId="77777777" w:rsidR="00F84B39" w:rsidRPr="008E16BF" w:rsidRDefault="00F84B39" w:rsidP="00E15067">
      <w:pPr>
        <w:ind w:right="374"/>
        <w:jc w:val="both"/>
        <w:rPr>
          <w:bCs/>
          <w:iCs/>
          <w:sz w:val="22"/>
          <w:szCs w:val="22"/>
          <w:lang w:val="lv-LV"/>
        </w:rPr>
      </w:pPr>
    </w:p>
    <w:p w14:paraId="55ADFC89" w14:textId="5E3C43E9" w:rsidR="00684FF7" w:rsidRPr="00E15067" w:rsidRDefault="00AD7C1E" w:rsidP="00E15067">
      <w:pPr>
        <w:ind w:right="374"/>
        <w:jc w:val="both"/>
        <w:outlineLvl w:val="0"/>
        <w:rPr>
          <w:sz w:val="22"/>
          <w:szCs w:val="22"/>
          <w:lang w:val="lv-LV"/>
        </w:rPr>
      </w:pPr>
      <w:r w:rsidRPr="008E16BF">
        <w:rPr>
          <w:sz w:val="22"/>
          <w:szCs w:val="22"/>
          <w:lang w:val="lv-LV"/>
        </w:rPr>
        <w:t>I</w:t>
      </w:r>
      <w:r w:rsidR="00ED287C" w:rsidRPr="008E16BF">
        <w:rPr>
          <w:sz w:val="22"/>
          <w:szCs w:val="22"/>
          <w:lang w:val="lv-LV"/>
        </w:rPr>
        <w:t xml:space="preserve">epirkumu komisijas priekšsēdētāja                                                                          </w:t>
      </w:r>
      <w:r w:rsidR="00DF0270" w:rsidRPr="008E16BF">
        <w:rPr>
          <w:sz w:val="22"/>
          <w:szCs w:val="22"/>
          <w:lang w:val="lv-LV"/>
        </w:rPr>
        <w:t xml:space="preserve"> </w:t>
      </w:r>
      <w:r w:rsidR="006A6145" w:rsidRPr="008E16BF">
        <w:rPr>
          <w:sz w:val="22"/>
          <w:szCs w:val="22"/>
          <w:lang w:val="lv-LV"/>
        </w:rPr>
        <w:t xml:space="preserve"> </w:t>
      </w:r>
      <w:r w:rsidR="00A7158E" w:rsidRPr="008E16BF">
        <w:rPr>
          <w:sz w:val="22"/>
          <w:szCs w:val="22"/>
          <w:lang w:val="lv-LV"/>
        </w:rPr>
        <w:t xml:space="preserve">         </w:t>
      </w:r>
      <w:r w:rsidR="00450305" w:rsidRPr="008E16BF">
        <w:rPr>
          <w:sz w:val="22"/>
          <w:szCs w:val="22"/>
          <w:lang w:val="lv-LV"/>
        </w:rPr>
        <w:t xml:space="preserve">          </w:t>
      </w:r>
      <w:r w:rsidR="00ED287C" w:rsidRPr="008E16BF">
        <w:rPr>
          <w:sz w:val="22"/>
          <w:szCs w:val="22"/>
          <w:lang w:val="lv-LV"/>
        </w:rPr>
        <w:t xml:space="preserve"> </w:t>
      </w:r>
      <w:r w:rsidR="00450305" w:rsidRPr="008E16BF">
        <w:rPr>
          <w:sz w:val="22"/>
          <w:szCs w:val="22"/>
          <w:lang w:val="lv-LV"/>
        </w:rPr>
        <w:t>Inta</w:t>
      </w:r>
      <w:r w:rsidR="00450305">
        <w:rPr>
          <w:sz w:val="22"/>
          <w:szCs w:val="22"/>
          <w:lang w:val="lv-LV"/>
        </w:rPr>
        <w:t xml:space="preserve"> Novika</w:t>
      </w:r>
    </w:p>
    <w:sectPr w:rsidR="00684FF7" w:rsidRPr="00E15067" w:rsidSect="00AA6B75">
      <w:headerReference w:type="even" r:id="rId12"/>
      <w:headerReference w:type="default" r:id="rId13"/>
      <w:headerReference w:type="first" r:id="rId14"/>
      <w:pgSz w:w="11900" w:h="16840" w:code="9"/>
      <w:pgMar w:top="1134" w:right="701"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1307" w14:textId="77777777" w:rsidR="00D77520" w:rsidRDefault="00D77520">
      <w:r>
        <w:separator/>
      </w:r>
    </w:p>
  </w:endnote>
  <w:endnote w:type="continuationSeparator" w:id="0">
    <w:p w14:paraId="7884B2C5" w14:textId="77777777" w:rsidR="00D77520" w:rsidRDefault="00D7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FCAB" w14:textId="77777777" w:rsidR="00D77520" w:rsidRDefault="00D77520">
      <w:r>
        <w:separator/>
      </w:r>
    </w:p>
  </w:footnote>
  <w:footnote w:type="continuationSeparator" w:id="0">
    <w:p w14:paraId="001AF723" w14:textId="77777777" w:rsidR="00D77520" w:rsidRDefault="00D7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9C9CA"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33DA1433" w:rsidR="001B6FD9" w:rsidRDefault="005351DB" w:rsidP="00477D5C">
    <w:pPr>
      <w:pStyle w:val="Header"/>
      <w:tabs>
        <w:tab w:val="left" w:pos="426"/>
        <w:tab w:val="left" w:pos="1418"/>
      </w:tabs>
      <w:jc w:val="both"/>
    </w:pPr>
    <w:bookmarkStart w:id="0" w:name="docDate"/>
    <w:bookmarkStart w:id="1" w:name="docNr"/>
    <w:bookmarkEnd w:id="0"/>
    <w:bookmarkEnd w:id="1"/>
    <w:r>
      <w:t>29.11.2022.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DA1993"/>
    <w:multiLevelType w:val="hybridMultilevel"/>
    <w:tmpl w:val="99EA51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E02DCD"/>
    <w:multiLevelType w:val="hybridMultilevel"/>
    <w:tmpl w:val="80360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C0422A"/>
    <w:multiLevelType w:val="hybridMultilevel"/>
    <w:tmpl w:val="1A208C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3A61A3"/>
    <w:multiLevelType w:val="multilevel"/>
    <w:tmpl w:val="FD4035DA"/>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3)"/>
      <w:lvlJc w:val="left"/>
      <w:pPr>
        <w:tabs>
          <w:tab w:val="num" w:pos="1430"/>
        </w:tabs>
        <w:ind w:left="1430" w:hanging="720"/>
      </w:pPr>
      <w:rPr>
        <w:rFonts w:ascii="Times New Roman" w:eastAsia="Times New Roman" w:hAnsi="Times New Roman" w:cs="Times New Roman"/>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5"/>
  </w:num>
  <w:num w:numId="3">
    <w:abstractNumId w:val="9"/>
  </w:num>
  <w:num w:numId="4">
    <w:abstractNumId w:val="1"/>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0F9"/>
    <w:rsid w:val="00004F0D"/>
    <w:rsid w:val="000107AF"/>
    <w:rsid w:val="00011A1E"/>
    <w:rsid w:val="00012435"/>
    <w:rsid w:val="00012860"/>
    <w:rsid w:val="0001357B"/>
    <w:rsid w:val="00014AAA"/>
    <w:rsid w:val="000306F7"/>
    <w:rsid w:val="0004076F"/>
    <w:rsid w:val="00040D24"/>
    <w:rsid w:val="0004286D"/>
    <w:rsid w:val="00044AEE"/>
    <w:rsid w:val="000525F0"/>
    <w:rsid w:val="00052CD7"/>
    <w:rsid w:val="000604EE"/>
    <w:rsid w:val="00064907"/>
    <w:rsid w:val="00072933"/>
    <w:rsid w:val="00073F9D"/>
    <w:rsid w:val="000B0105"/>
    <w:rsid w:val="000C2F69"/>
    <w:rsid w:val="000D6732"/>
    <w:rsid w:val="000D7A3E"/>
    <w:rsid w:val="000E1AA8"/>
    <w:rsid w:val="000E2894"/>
    <w:rsid w:val="000E35C8"/>
    <w:rsid w:val="000E473D"/>
    <w:rsid w:val="000F3B45"/>
    <w:rsid w:val="000F4DEE"/>
    <w:rsid w:val="001055C4"/>
    <w:rsid w:val="0012442C"/>
    <w:rsid w:val="00127A43"/>
    <w:rsid w:val="00143E88"/>
    <w:rsid w:val="00157615"/>
    <w:rsid w:val="00185A7E"/>
    <w:rsid w:val="00191138"/>
    <w:rsid w:val="001A6133"/>
    <w:rsid w:val="001A6A27"/>
    <w:rsid w:val="001B000D"/>
    <w:rsid w:val="001B2AD7"/>
    <w:rsid w:val="001B6FD9"/>
    <w:rsid w:val="001B7886"/>
    <w:rsid w:val="001D1053"/>
    <w:rsid w:val="001F693D"/>
    <w:rsid w:val="001F6DD3"/>
    <w:rsid w:val="00233FCE"/>
    <w:rsid w:val="00234157"/>
    <w:rsid w:val="00234C11"/>
    <w:rsid w:val="002519F8"/>
    <w:rsid w:val="0026220C"/>
    <w:rsid w:val="002671CE"/>
    <w:rsid w:val="002747E5"/>
    <w:rsid w:val="00285035"/>
    <w:rsid w:val="002A2FC2"/>
    <w:rsid w:val="002B1A94"/>
    <w:rsid w:val="002B4AA1"/>
    <w:rsid w:val="002B69F2"/>
    <w:rsid w:val="002C178C"/>
    <w:rsid w:val="002C786C"/>
    <w:rsid w:val="002D28C3"/>
    <w:rsid w:val="002E10DC"/>
    <w:rsid w:val="002E28E5"/>
    <w:rsid w:val="002E43A6"/>
    <w:rsid w:val="002E786C"/>
    <w:rsid w:val="00300D5F"/>
    <w:rsid w:val="00301EF1"/>
    <w:rsid w:val="00313028"/>
    <w:rsid w:val="003130A2"/>
    <w:rsid w:val="00325A6F"/>
    <w:rsid w:val="003263CD"/>
    <w:rsid w:val="00331ECA"/>
    <w:rsid w:val="003351CC"/>
    <w:rsid w:val="00336D5E"/>
    <w:rsid w:val="00342EFD"/>
    <w:rsid w:val="003450D9"/>
    <w:rsid w:val="0034617A"/>
    <w:rsid w:val="00353D84"/>
    <w:rsid w:val="00364BA7"/>
    <w:rsid w:val="00365003"/>
    <w:rsid w:val="00375769"/>
    <w:rsid w:val="00384C24"/>
    <w:rsid w:val="003877B2"/>
    <w:rsid w:val="00390AA0"/>
    <w:rsid w:val="003A4EF6"/>
    <w:rsid w:val="003A76FA"/>
    <w:rsid w:val="003B7EC7"/>
    <w:rsid w:val="003C19BB"/>
    <w:rsid w:val="003C2178"/>
    <w:rsid w:val="003C47E5"/>
    <w:rsid w:val="003C50A5"/>
    <w:rsid w:val="003C55C8"/>
    <w:rsid w:val="003C7CAA"/>
    <w:rsid w:val="003D3FCE"/>
    <w:rsid w:val="003D5F72"/>
    <w:rsid w:val="003E39EA"/>
    <w:rsid w:val="003F3681"/>
    <w:rsid w:val="003F5509"/>
    <w:rsid w:val="00400858"/>
    <w:rsid w:val="0040733B"/>
    <w:rsid w:val="0042756D"/>
    <w:rsid w:val="00433115"/>
    <w:rsid w:val="00433E36"/>
    <w:rsid w:val="00446224"/>
    <w:rsid w:val="00450305"/>
    <w:rsid w:val="00454749"/>
    <w:rsid w:val="00454D63"/>
    <w:rsid w:val="00455984"/>
    <w:rsid w:val="00461459"/>
    <w:rsid w:val="00477D5C"/>
    <w:rsid w:val="0048432A"/>
    <w:rsid w:val="00492044"/>
    <w:rsid w:val="00495061"/>
    <w:rsid w:val="004A0D6C"/>
    <w:rsid w:val="004B0AF2"/>
    <w:rsid w:val="004B0C9F"/>
    <w:rsid w:val="004B17EF"/>
    <w:rsid w:val="004B3579"/>
    <w:rsid w:val="004B761C"/>
    <w:rsid w:val="004B7F28"/>
    <w:rsid w:val="004C2F01"/>
    <w:rsid w:val="004C708C"/>
    <w:rsid w:val="004E06EF"/>
    <w:rsid w:val="004F0DA4"/>
    <w:rsid w:val="004F581B"/>
    <w:rsid w:val="00514C32"/>
    <w:rsid w:val="00517B44"/>
    <w:rsid w:val="00521B07"/>
    <w:rsid w:val="0052354F"/>
    <w:rsid w:val="0052581A"/>
    <w:rsid w:val="005351DB"/>
    <w:rsid w:val="0054525F"/>
    <w:rsid w:val="005538FE"/>
    <w:rsid w:val="00553D6E"/>
    <w:rsid w:val="00570E1F"/>
    <w:rsid w:val="00574553"/>
    <w:rsid w:val="00576EBE"/>
    <w:rsid w:val="005A3C45"/>
    <w:rsid w:val="005A5B86"/>
    <w:rsid w:val="005D3F37"/>
    <w:rsid w:val="005D47D5"/>
    <w:rsid w:val="005F3ACE"/>
    <w:rsid w:val="005F5436"/>
    <w:rsid w:val="00605FE2"/>
    <w:rsid w:val="006075F6"/>
    <w:rsid w:val="006136CC"/>
    <w:rsid w:val="00615C82"/>
    <w:rsid w:val="00620886"/>
    <w:rsid w:val="006312F4"/>
    <w:rsid w:val="006339F1"/>
    <w:rsid w:val="006414CC"/>
    <w:rsid w:val="00663534"/>
    <w:rsid w:val="00663D1D"/>
    <w:rsid w:val="00675848"/>
    <w:rsid w:val="00684FF7"/>
    <w:rsid w:val="006874A7"/>
    <w:rsid w:val="006A3C1B"/>
    <w:rsid w:val="006A6145"/>
    <w:rsid w:val="006A672C"/>
    <w:rsid w:val="006B0D98"/>
    <w:rsid w:val="006B5782"/>
    <w:rsid w:val="006C4115"/>
    <w:rsid w:val="006D3BDA"/>
    <w:rsid w:val="007040C2"/>
    <w:rsid w:val="00706549"/>
    <w:rsid w:val="00712459"/>
    <w:rsid w:val="0071685A"/>
    <w:rsid w:val="00720501"/>
    <w:rsid w:val="00721959"/>
    <w:rsid w:val="007261D5"/>
    <w:rsid w:val="00735447"/>
    <w:rsid w:val="00741397"/>
    <w:rsid w:val="0075033F"/>
    <w:rsid w:val="007565FC"/>
    <w:rsid w:val="00756CAE"/>
    <w:rsid w:val="00781423"/>
    <w:rsid w:val="007864AC"/>
    <w:rsid w:val="007875D1"/>
    <w:rsid w:val="007964D0"/>
    <w:rsid w:val="007A34BE"/>
    <w:rsid w:val="007B1AFB"/>
    <w:rsid w:val="007B3E19"/>
    <w:rsid w:val="007D02C5"/>
    <w:rsid w:val="007D343F"/>
    <w:rsid w:val="007D4DAC"/>
    <w:rsid w:val="007D62F7"/>
    <w:rsid w:val="007E1B98"/>
    <w:rsid w:val="007E4B5F"/>
    <w:rsid w:val="007F411B"/>
    <w:rsid w:val="00802CB0"/>
    <w:rsid w:val="00803136"/>
    <w:rsid w:val="00803A1A"/>
    <w:rsid w:val="008100AA"/>
    <w:rsid w:val="00825FA6"/>
    <w:rsid w:val="00830C0F"/>
    <w:rsid w:val="008324A5"/>
    <w:rsid w:val="00840D29"/>
    <w:rsid w:val="008508CD"/>
    <w:rsid w:val="008533C8"/>
    <w:rsid w:val="008569ED"/>
    <w:rsid w:val="00857D3F"/>
    <w:rsid w:val="00872B40"/>
    <w:rsid w:val="00881187"/>
    <w:rsid w:val="008A1BCE"/>
    <w:rsid w:val="008A3C61"/>
    <w:rsid w:val="008C4EFF"/>
    <w:rsid w:val="008C672B"/>
    <w:rsid w:val="008D38F0"/>
    <w:rsid w:val="008D5DA8"/>
    <w:rsid w:val="008D75E4"/>
    <w:rsid w:val="008E13DB"/>
    <w:rsid w:val="008E16BF"/>
    <w:rsid w:val="008E4C93"/>
    <w:rsid w:val="008F37EE"/>
    <w:rsid w:val="00904B48"/>
    <w:rsid w:val="00933542"/>
    <w:rsid w:val="00940141"/>
    <w:rsid w:val="00940EF4"/>
    <w:rsid w:val="00964FE8"/>
    <w:rsid w:val="00975730"/>
    <w:rsid w:val="009820F0"/>
    <w:rsid w:val="00984992"/>
    <w:rsid w:val="00984B86"/>
    <w:rsid w:val="00996DDD"/>
    <w:rsid w:val="009B03BA"/>
    <w:rsid w:val="009C0366"/>
    <w:rsid w:val="009C24C2"/>
    <w:rsid w:val="009C289F"/>
    <w:rsid w:val="009D4658"/>
    <w:rsid w:val="009F45EC"/>
    <w:rsid w:val="009F6E8F"/>
    <w:rsid w:val="00A075D3"/>
    <w:rsid w:val="00A13633"/>
    <w:rsid w:val="00A14F6B"/>
    <w:rsid w:val="00A23EA6"/>
    <w:rsid w:val="00A3285A"/>
    <w:rsid w:val="00A33379"/>
    <w:rsid w:val="00A42309"/>
    <w:rsid w:val="00A426CE"/>
    <w:rsid w:val="00A435F3"/>
    <w:rsid w:val="00A470A8"/>
    <w:rsid w:val="00A5244D"/>
    <w:rsid w:val="00A52673"/>
    <w:rsid w:val="00A555AB"/>
    <w:rsid w:val="00A55640"/>
    <w:rsid w:val="00A7158E"/>
    <w:rsid w:val="00A72466"/>
    <w:rsid w:val="00A76402"/>
    <w:rsid w:val="00A771E3"/>
    <w:rsid w:val="00A83673"/>
    <w:rsid w:val="00A83D90"/>
    <w:rsid w:val="00A842D4"/>
    <w:rsid w:val="00A84550"/>
    <w:rsid w:val="00A90154"/>
    <w:rsid w:val="00AA0015"/>
    <w:rsid w:val="00AA0E4F"/>
    <w:rsid w:val="00AA180C"/>
    <w:rsid w:val="00AA3A2C"/>
    <w:rsid w:val="00AA6B75"/>
    <w:rsid w:val="00AB152E"/>
    <w:rsid w:val="00AB1ED9"/>
    <w:rsid w:val="00AB3115"/>
    <w:rsid w:val="00AB61DF"/>
    <w:rsid w:val="00AC3F0C"/>
    <w:rsid w:val="00AD1DC3"/>
    <w:rsid w:val="00AD44B9"/>
    <w:rsid w:val="00AD7056"/>
    <w:rsid w:val="00AD7C1E"/>
    <w:rsid w:val="00AE0BE8"/>
    <w:rsid w:val="00AE755D"/>
    <w:rsid w:val="00AF6DD2"/>
    <w:rsid w:val="00B05285"/>
    <w:rsid w:val="00B05C16"/>
    <w:rsid w:val="00B120E3"/>
    <w:rsid w:val="00B12BD6"/>
    <w:rsid w:val="00B17037"/>
    <w:rsid w:val="00B36E79"/>
    <w:rsid w:val="00B40C08"/>
    <w:rsid w:val="00B45069"/>
    <w:rsid w:val="00B6333C"/>
    <w:rsid w:val="00B67B48"/>
    <w:rsid w:val="00B837EF"/>
    <w:rsid w:val="00B84DE7"/>
    <w:rsid w:val="00BA3178"/>
    <w:rsid w:val="00BB402A"/>
    <w:rsid w:val="00BC2049"/>
    <w:rsid w:val="00BC2E48"/>
    <w:rsid w:val="00BD21F3"/>
    <w:rsid w:val="00BD6283"/>
    <w:rsid w:val="00BE279A"/>
    <w:rsid w:val="00BE690F"/>
    <w:rsid w:val="00BE69EA"/>
    <w:rsid w:val="00BE6EB3"/>
    <w:rsid w:val="00BF185D"/>
    <w:rsid w:val="00BF56E0"/>
    <w:rsid w:val="00BF7D80"/>
    <w:rsid w:val="00C20551"/>
    <w:rsid w:val="00C234E1"/>
    <w:rsid w:val="00C27E7A"/>
    <w:rsid w:val="00C52E8C"/>
    <w:rsid w:val="00C540E8"/>
    <w:rsid w:val="00C653CC"/>
    <w:rsid w:val="00C66FDB"/>
    <w:rsid w:val="00C71D15"/>
    <w:rsid w:val="00C744C6"/>
    <w:rsid w:val="00C82B02"/>
    <w:rsid w:val="00C8331E"/>
    <w:rsid w:val="00C90242"/>
    <w:rsid w:val="00C950CD"/>
    <w:rsid w:val="00CA6180"/>
    <w:rsid w:val="00CA73ED"/>
    <w:rsid w:val="00CB3ACB"/>
    <w:rsid w:val="00CC5B28"/>
    <w:rsid w:val="00CD01E0"/>
    <w:rsid w:val="00D3089F"/>
    <w:rsid w:val="00D317EC"/>
    <w:rsid w:val="00D35504"/>
    <w:rsid w:val="00D43D83"/>
    <w:rsid w:val="00D56440"/>
    <w:rsid w:val="00D62EC2"/>
    <w:rsid w:val="00D77520"/>
    <w:rsid w:val="00D77F55"/>
    <w:rsid w:val="00D81F1C"/>
    <w:rsid w:val="00D86507"/>
    <w:rsid w:val="00D917B3"/>
    <w:rsid w:val="00DB2C78"/>
    <w:rsid w:val="00DB6249"/>
    <w:rsid w:val="00DC2F23"/>
    <w:rsid w:val="00DC6EAE"/>
    <w:rsid w:val="00DD6FE2"/>
    <w:rsid w:val="00DE6FD5"/>
    <w:rsid w:val="00DF0040"/>
    <w:rsid w:val="00DF0270"/>
    <w:rsid w:val="00DF14C4"/>
    <w:rsid w:val="00E00F55"/>
    <w:rsid w:val="00E15067"/>
    <w:rsid w:val="00E15C50"/>
    <w:rsid w:val="00E32FEF"/>
    <w:rsid w:val="00E43013"/>
    <w:rsid w:val="00E47F88"/>
    <w:rsid w:val="00E5059A"/>
    <w:rsid w:val="00E50CF3"/>
    <w:rsid w:val="00E718B5"/>
    <w:rsid w:val="00E71B3D"/>
    <w:rsid w:val="00E80785"/>
    <w:rsid w:val="00E8252B"/>
    <w:rsid w:val="00E842ED"/>
    <w:rsid w:val="00E874EE"/>
    <w:rsid w:val="00E959CF"/>
    <w:rsid w:val="00EB089E"/>
    <w:rsid w:val="00EB1274"/>
    <w:rsid w:val="00EB2194"/>
    <w:rsid w:val="00EC1BA5"/>
    <w:rsid w:val="00EC3570"/>
    <w:rsid w:val="00ED0F5E"/>
    <w:rsid w:val="00ED1C42"/>
    <w:rsid w:val="00ED287C"/>
    <w:rsid w:val="00ED6482"/>
    <w:rsid w:val="00EE2231"/>
    <w:rsid w:val="00EF6E64"/>
    <w:rsid w:val="00F00E4E"/>
    <w:rsid w:val="00F01C15"/>
    <w:rsid w:val="00F16EDA"/>
    <w:rsid w:val="00F21388"/>
    <w:rsid w:val="00F213A8"/>
    <w:rsid w:val="00F2385E"/>
    <w:rsid w:val="00F321BF"/>
    <w:rsid w:val="00F427EE"/>
    <w:rsid w:val="00F5601F"/>
    <w:rsid w:val="00F57003"/>
    <w:rsid w:val="00F627F4"/>
    <w:rsid w:val="00F631D4"/>
    <w:rsid w:val="00F63849"/>
    <w:rsid w:val="00F74039"/>
    <w:rsid w:val="00F84B39"/>
    <w:rsid w:val="00F92ACD"/>
    <w:rsid w:val="00F96A7A"/>
    <w:rsid w:val="00FB4F1F"/>
    <w:rsid w:val="00FB64B7"/>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trip,H&amp;P List Paragraph,2,Syle 1,Normal bullet 2,Bullet list,Virsraksti,Saistīto dokumentu saraksts,Numurets,PPS_Bullet,Colorful List - Accent 11,List Paragraph1,list paragraph,h&amp;p list paragraph,saistīto dokumentu saraksts,syle 1,Dot pt"/>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CharStyle3Exact">
    <w:name w:val="Char Style 3 Exact"/>
    <w:basedOn w:val="DefaultParagraphFont"/>
    <w:link w:val="Style2"/>
    <w:rsid w:val="007864AC"/>
    <w:rPr>
      <w:sz w:val="22"/>
      <w:szCs w:val="22"/>
      <w:shd w:val="clear" w:color="auto" w:fill="FFFFFF"/>
    </w:rPr>
  </w:style>
  <w:style w:type="character" w:customStyle="1" w:styleId="CharStyle10">
    <w:name w:val="Char Style 10"/>
    <w:basedOn w:val="DefaultParagraphFont"/>
    <w:link w:val="Style9"/>
    <w:rsid w:val="007864AC"/>
    <w:rPr>
      <w:sz w:val="22"/>
      <w:szCs w:val="22"/>
      <w:shd w:val="clear" w:color="auto" w:fill="FFFFFF"/>
    </w:rPr>
  </w:style>
  <w:style w:type="character" w:customStyle="1" w:styleId="CharStyle13">
    <w:name w:val="Char Style 13"/>
    <w:basedOn w:val="DefaultParagraphFont"/>
    <w:link w:val="Style12"/>
    <w:rsid w:val="007864AC"/>
    <w:rPr>
      <w:i/>
      <w:iCs/>
      <w:sz w:val="22"/>
      <w:szCs w:val="22"/>
      <w:shd w:val="clear" w:color="auto" w:fill="FFFFFF"/>
    </w:rPr>
  </w:style>
  <w:style w:type="character" w:customStyle="1" w:styleId="CharStyle14">
    <w:name w:val="Char Style 14"/>
    <w:basedOn w:val="CharStyle13"/>
    <w:rsid w:val="007864AC"/>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paragraph" w:customStyle="1" w:styleId="Style2">
    <w:name w:val="Style 2"/>
    <w:basedOn w:val="Normal"/>
    <w:link w:val="CharStyle3Exact"/>
    <w:rsid w:val="007864AC"/>
    <w:pPr>
      <w:widowControl w:val="0"/>
      <w:shd w:val="clear" w:color="auto" w:fill="FFFFFF"/>
      <w:spacing w:line="244" w:lineRule="exact"/>
    </w:pPr>
    <w:rPr>
      <w:sz w:val="22"/>
      <w:szCs w:val="22"/>
      <w:lang w:val="en-US" w:eastAsia="en-GB"/>
    </w:rPr>
  </w:style>
  <w:style w:type="paragraph" w:customStyle="1" w:styleId="Style9">
    <w:name w:val="Style 9"/>
    <w:basedOn w:val="Normal"/>
    <w:link w:val="CharStyle10"/>
    <w:rsid w:val="007864AC"/>
    <w:pPr>
      <w:widowControl w:val="0"/>
      <w:shd w:val="clear" w:color="auto" w:fill="FFFFFF"/>
      <w:spacing w:after="300" w:line="310" w:lineRule="exact"/>
      <w:jc w:val="right"/>
    </w:pPr>
    <w:rPr>
      <w:sz w:val="22"/>
      <w:szCs w:val="22"/>
      <w:lang w:val="en-US" w:eastAsia="en-GB"/>
    </w:rPr>
  </w:style>
  <w:style w:type="paragraph" w:customStyle="1" w:styleId="Style12">
    <w:name w:val="Style 12"/>
    <w:basedOn w:val="Normal"/>
    <w:link w:val="CharStyle13"/>
    <w:rsid w:val="007864AC"/>
    <w:pPr>
      <w:widowControl w:val="0"/>
      <w:shd w:val="clear" w:color="auto" w:fill="FFFFFF"/>
      <w:spacing w:before="300" w:after="200" w:line="310" w:lineRule="exact"/>
      <w:jc w:val="both"/>
    </w:pPr>
    <w:rPr>
      <w:i/>
      <w:iCs/>
      <w:sz w:val="22"/>
      <w:szCs w:val="22"/>
      <w:lang w:val="en-US" w:eastAsia="en-GB"/>
    </w:rPr>
  </w:style>
  <w:style w:type="character" w:customStyle="1" w:styleId="ListParagraphChar">
    <w:name w:val="List Paragraph Char"/>
    <w:aliases w:val="Strip Char,H&amp;P List Paragraph Char,2 Char,Syle 1 Char,Normal bullet 2 Char,Bullet list Char,Virsraksti Char,Saistīto dokumentu saraksts Char,Numurets Char,PPS_Bullet Char,Colorful List - Accent 11 Char,List Paragraph1 Char"/>
    <w:link w:val="ListParagraph"/>
    <w:uiPriority w:val="34"/>
    <w:qFormat/>
    <w:locked/>
    <w:rsid w:val="00AA6B75"/>
    <w:rPr>
      <w:rFonts w:ascii="Calibri" w:eastAsiaTheme="minorHAns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CA00AF35-6D26-4061-9428-971C3BE77C84}">
  <ds:schemaRefs>
    <ds:schemaRef ds:uri="http://schemas.openxmlformats.org/officeDocument/2006/bibliography"/>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A906B6DA-ADE9-4347-A76C-432D1F4CC259}">
  <ds:schemaRefs>
    <ds:schemaRef ds:uri="http://schemas.openxmlformats.org/package/2006/metadata/core-properties"/>
    <ds:schemaRef ds:uri="6e8af54f-37a3-4179-b2ce-85d568299097"/>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407fae41-c47b-43cc-966a-01b838070d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2022-11-29T07:07:00Z</dcterms:created>
  <dcterms:modified xsi:type="dcterms:W3CDTF">2022-11-29T07:07:00Z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