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81F8" w14:textId="77777777" w:rsidR="00DE0B36" w:rsidRDefault="00DE0B36" w:rsidP="00947577">
      <w:pPr>
        <w:ind w:right="372"/>
        <w:jc w:val="right"/>
      </w:pPr>
    </w:p>
    <w:p w14:paraId="4DDD8E82" w14:textId="77777777" w:rsidR="00DE0B36" w:rsidRDefault="00DE0B36" w:rsidP="00947577">
      <w:pPr>
        <w:ind w:right="372"/>
        <w:jc w:val="right"/>
      </w:pPr>
    </w:p>
    <w:p w14:paraId="62FB32B2" w14:textId="4578FF0E" w:rsidR="00324E69" w:rsidRPr="0028387D" w:rsidRDefault="00DE0B36" w:rsidP="00947577">
      <w:pPr>
        <w:ind w:right="372"/>
        <w:jc w:val="right"/>
        <w:rPr>
          <w:i/>
          <w:lang w:val="lv-LV"/>
        </w:rPr>
      </w:pPr>
      <w:hyperlink r:id="rId12" w:history="1"/>
      <w:r w:rsidR="0028387D">
        <w:rPr>
          <w:lang w:val="en-US"/>
        </w:rPr>
        <w:t xml:space="preserve"> </w:t>
      </w:r>
      <w:r w:rsidR="00947577" w:rsidRPr="0028387D">
        <w:t xml:space="preserve"> </w:t>
      </w:r>
      <w:r w:rsidR="00810BC1" w:rsidRPr="0028387D">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072E21A0"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piegādātāja ir saņēmusi vēstuli</w:t>
      </w:r>
      <w:r w:rsidR="0028387D">
        <w:rPr>
          <w:lang w:val="lv-LV"/>
        </w:rPr>
        <w:t xml:space="preserve"> </w:t>
      </w:r>
      <w:r w:rsidR="0028387D" w:rsidRPr="0026253D">
        <w:rPr>
          <w:lang w:val="lv-LV"/>
        </w:rPr>
        <w:t xml:space="preserve">ar lūgumu sniegt skaidrojumu </w:t>
      </w:r>
      <w:r w:rsidR="0028387D" w:rsidRPr="0057111E">
        <w:rPr>
          <w:lang w:val="lv-LV"/>
        </w:rPr>
        <w:t>par nolikumā ietvertajām prasībām.</w:t>
      </w:r>
    </w:p>
    <w:p w14:paraId="13D978C5" w14:textId="77777777" w:rsidR="00DA135F" w:rsidRPr="00DA135F" w:rsidRDefault="00DA135F" w:rsidP="00CE4970">
      <w:pPr>
        <w:ind w:right="372" w:firstLine="426"/>
        <w:jc w:val="both"/>
        <w:rPr>
          <w:lang w:val="lv-LV"/>
        </w:rPr>
      </w:pPr>
    </w:p>
    <w:p w14:paraId="5056F02A" w14:textId="43A9AECA" w:rsidR="00DA135F" w:rsidRPr="00DA135F" w:rsidRDefault="00DA135F" w:rsidP="00CC4494">
      <w:pPr>
        <w:pStyle w:val="NoSpacing"/>
        <w:ind w:right="372" w:firstLine="426"/>
        <w:jc w:val="both"/>
        <w:rPr>
          <w:rFonts w:ascii="Times New Roman" w:hAnsi="Times New Roman" w:cs="Times New Roman"/>
          <w:i/>
          <w:iCs/>
          <w:sz w:val="24"/>
          <w:szCs w:val="24"/>
        </w:rPr>
      </w:pPr>
      <w:r w:rsidRPr="00DA135F">
        <w:rPr>
          <w:rFonts w:ascii="Times New Roman" w:hAnsi="Times New Roman" w:cs="Times New Roman"/>
          <w:b/>
          <w:bCs/>
          <w:i/>
          <w:iCs/>
          <w:sz w:val="24"/>
          <w:szCs w:val="24"/>
        </w:rPr>
        <w:t>1.jautājums</w:t>
      </w:r>
      <w:r w:rsidRPr="00DA135F">
        <w:rPr>
          <w:rFonts w:ascii="Times New Roman" w:hAnsi="Times New Roman" w:cs="Times New Roman"/>
          <w:i/>
          <w:iCs/>
          <w:sz w:val="24"/>
          <w:szCs w:val="24"/>
        </w:rPr>
        <w:t>: Sabiedrisko pakalpojumu sniedzēju iepirkumu likuma 52. panta ceturtā daļa paredz, ka piegādātājs var balstīties uz citu uzņēmēju iespējām neatkarīgi no savstarpējo attiecību tiesiskā rakstura.</w:t>
      </w:r>
    </w:p>
    <w:p w14:paraId="32486369" w14:textId="77777777" w:rsidR="00DA135F" w:rsidRPr="00DA135F" w:rsidRDefault="00DA135F" w:rsidP="00CC4494">
      <w:pPr>
        <w:pStyle w:val="NoSpacing"/>
        <w:ind w:right="372"/>
        <w:jc w:val="both"/>
        <w:rPr>
          <w:rFonts w:ascii="Times New Roman" w:hAnsi="Times New Roman" w:cs="Times New Roman"/>
          <w:i/>
          <w:iCs/>
          <w:sz w:val="24"/>
          <w:szCs w:val="24"/>
        </w:rPr>
      </w:pPr>
    </w:p>
    <w:p w14:paraId="1E1A790E" w14:textId="77777777" w:rsidR="00DA135F" w:rsidRPr="00DA135F" w:rsidRDefault="00DA135F" w:rsidP="00CC4494">
      <w:pPr>
        <w:pStyle w:val="NoSpacing"/>
        <w:ind w:right="372"/>
        <w:jc w:val="both"/>
        <w:rPr>
          <w:rFonts w:ascii="Times New Roman" w:hAnsi="Times New Roman" w:cs="Times New Roman"/>
          <w:i/>
          <w:iCs/>
          <w:sz w:val="24"/>
          <w:szCs w:val="24"/>
        </w:rPr>
      </w:pPr>
      <w:r w:rsidRPr="00DA135F">
        <w:rPr>
          <w:rFonts w:ascii="Times New Roman" w:hAnsi="Times New Roman" w:cs="Times New Roman"/>
          <w:i/>
          <w:iCs/>
          <w:sz w:val="24"/>
          <w:szCs w:val="24"/>
        </w:rPr>
        <w:t xml:space="preserve">Nolikuma 17.1.1., 17.1.2. un 17.1.3. apakšpunktos izvirzīta prasība, ka pretendentam, vai ja pretendents ir piegādātāju apvienība, </w:t>
      </w:r>
      <w:r w:rsidRPr="00DA135F">
        <w:rPr>
          <w:rFonts w:ascii="Times New Roman" w:hAnsi="Times New Roman" w:cs="Times New Roman"/>
          <w:i/>
          <w:iCs/>
          <w:sz w:val="24"/>
          <w:szCs w:val="24"/>
          <w:u w:val="single"/>
        </w:rPr>
        <w:t>tad vienam no apvienības dalībniekiem</w:t>
      </w:r>
      <w:r w:rsidRPr="00DA135F">
        <w:rPr>
          <w:rFonts w:ascii="Times New Roman" w:hAnsi="Times New Roman" w:cs="Times New Roman"/>
          <w:i/>
          <w:iCs/>
          <w:sz w:val="24"/>
          <w:szCs w:val="24"/>
        </w:rPr>
        <w:t>, jābūt pieredzei ielu pārbūves vai izbūves darbu veikšanā vismaz divos objektos, kuros veikti attiecīgi 17.1.1., 17.1.2. un 17.1.3. apakšpunktos norādītie specifiskie darbi.</w:t>
      </w:r>
    </w:p>
    <w:p w14:paraId="78A2D39E" w14:textId="77777777" w:rsidR="00DA135F" w:rsidRPr="00DA135F" w:rsidRDefault="00DA135F" w:rsidP="00DA135F">
      <w:pPr>
        <w:pStyle w:val="NoSpacing"/>
        <w:jc w:val="both"/>
        <w:rPr>
          <w:rFonts w:ascii="Times New Roman" w:hAnsi="Times New Roman" w:cs="Times New Roman"/>
          <w:i/>
          <w:iCs/>
          <w:sz w:val="24"/>
          <w:szCs w:val="24"/>
        </w:rPr>
      </w:pPr>
    </w:p>
    <w:p w14:paraId="199D43D2" w14:textId="77777777" w:rsidR="00DA135F" w:rsidRPr="00DA135F" w:rsidRDefault="00DA135F" w:rsidP="00CC4494">
      <w:pPr>
        <w:pStyle w:val="NoSpacing"/>
        <w:ind w:right="372"/>
        <w:jc w:val="both"/>
        <w:rPr>
          <w:rFonts w:ascii="Times New Roman" w:hAnsi="Times New Roman" w:cs="Times New Roman"/>
          <w:i/>
          <w:iCs/>
          <w:sz w:val="24"/>
          <w:szCs w:val="24"/>
        </w:rPr>
      </w:pPr>
      <w:r w:rsidRPr="00DA135F">
        <w:rPr>
          <w:rFonts w:ascii="Times New Roman" w:hAnsi="Times New Roman" w:cs="Times New Roman"/>
          <w:i/>
          <w:iCs/>
          <w:sz w:val="24"/>
          <w:szCs w:val="24"/>
        </w:rPr>
        <w:t xml:space="preserve">Lūdzam skaidrot, vai pieredzes prasību attiecībā uz, piemēram, Nolikuma 17.1.1. apakšpunkta izpildi </w:t>
      </w:r>
      <w:r w:rsidRPr="00DA135F">
        <w:rPr>
          <w:rFonts w:ascii="Times New Roman" w:hAnsi="Times New Roman" w:cs="Times New Roman"/>
          <w:i/>
          <w:iCs/>
          <w:sz w:val="24"/>
          <w:szCs w:val="24"/>
          <w:u w:val="single"/>
        </w:rPr>
        <w:t xml:space="preserve">par divu pieredzes objektu esamību </w:t>
      </w:r>
      <w:r w:rsidRPr="00DA135F">
        <w:rPr>
          <w:rFonts w:ascii="Times New Roman" w:hAnsi="Times New Roman" w:cs="Times New Roman"/>
          <w:i/>
          <w:iCs/>
          <w:sz w:val="24"/>
          <w:szCs w:val="24"/>
        </w:rPr>
        <w:t>(analoģiski zemāk aprakstīto kārtību attiecinot arī uz 17.1.2. un 17.1.3. apakšpunktiem), var pierādīt sekojošā veidā:</w:t>
      </w:r>
    </w:p>
    <w:p w14:paraId="413F86A9" w14:textId="77777777" w:rsidR="00DA135F" w:rsidRPr="00DA135F" w:rsidRDefault="00DA135F" w:rsidP="00CC4494">
      <w:pPr>
        <w:pStyle w:val="NoSpacing"/>
        <w:ind w:right="372"/>
        <w:jc w:val="both"/>
        <w:rPr>
          <w:rFonts w:ascii="Times New Roman" w:hAnsi="Times New Roman" w:cs="Times New Roman"/>
          <w:i/>
          <w:iCs/>
          <w:sz w:val="24"/>
          <w:szCs w:val="24"/>
        </w:rPr>
      </w:pPr>
    </w:p>
    <w:p w14:paraId="3D1DE427" w14:textId="77777777" w:rsidR="00DA135F" w:rsidRPr="00DA135F" w:rsidRDefault="00DA135F" w:rsidP="00CC4494">
      <w:pPr>
        <w:pStyle w:val="NoSpacing"/>
        <w:numPr>
          <w:ilvl w:val="0"/>
          <w:numId w:val="17"/>
        </w:numPr>
        <w:ind w:right="372"/>
        <w:jc w:val="both"/>
        <w:rPr>
          <w:rFonts w:ascii="Times New Roman" w:hAnsi="Times New Roman" w:cs="Times New Roman"/>
          <w:i/>
          <w:iCs/>
          <w:sz w:val="24"/>
          <w:szCs w:val="24"/>
        </w:rPr>
      </w:pPr>
      <w:r w:rsidRPr="00DA135F">
        <w:rPr>
          <w:rFonts w:ascii="Times New Roman" w:hAnsi="Times New Roman" w:cs="Times New Roman"/>
          <w:i/>
          <w:iCs/>
          <w:sz w:val="24"/>
          <w:szCs w:val="24"/>
        </w:rPr>
        <w:t>piegādātāju apvienības gadījumā - viens no apvienības dalībniekiem veicis vienas ielas izbūves vai pārbūves darbus objektā, kurā veikti 17.1.1.apakšupunktā minētie specifiskie darbi, savukārt otrs piegādātāju apvienības dalībnieks veicis otras ielas izbūves vai pārbūves darbus objektā, kurā veikti 17.1.1.apakšupunktā minētie specifiskie darbi;</w:t>
      </w:r>
    </w:p>
    <w:p w14:paraId="3EC66F14" w14:textId="77777777" w:rsidR="00DA135F" w:rsidRPr="00DA135F" w:rsidRDefault="00DA135F" w:rsidP="00CC4494">
      <w:pPr>
        <w:pStyle w:val="NoSpacing"/>
        <w:ind w:left="720" w:right="372"/>
        <w:jc w:val="both"/>
        <w:rPr>
          <w:rFonts w:ascii="Times New Roman" w:hAnsi="Times New Roman" w:cs="Times New Roman"/>
          <w:i/>
          <w:iCs/>
          <w:sz w:val="24"/>
          <w:szCs w:val="24"/>
        </w:rPr>
      </w:pPr>
    </w:p>
    <w:p w14:paraId="5DA033F8" w14:textId="77777777" w:rsidR="00DA135F" w:rsidRPr="00DA135F" w:rsidRDefault="00DA135F" w:rsidP="00CC4494">
      <w:pPr>
        <w:pStyle w:val="NoSpacing"/>
        <w:numPr>
          <w:ilvl w:val="0"/>
          <w:numId w:val="17"/>
        </w:numPr>
        <w:ind w:right="372"/>
        <w:jc w:val="both"/>
        <w:rPr>
          <w:rFonts w:ascii="Times New Roman" w:hAnsi="Times New Roman" w:cs="Times New Roman"/>
          <w:i/>
          <w:iCs/>
          <w:sz w:val="24"/>
          <w:szCs w:val="24"/>
        </w:rPr>
      </w:pPr>
      <w:r w:rsidRPr="00DA135F">
        <w:rPr>
          <w:rFonts w:ascii="Times New Roman" w:hAnsi="Times New Roman" w:cs="Times New Roman"/>
          <w:i/>
          <w:iCs/>
          <w:sz w:val="24"/>
          <w:szCs w:val="24"/>
        </w:rPr>
        <w:t>gadījumā, kad pretendents balstās uz apakšuzņēmēja spējām - pretendents veicis vienas ielas izbūves vai pārbūves darbus objektā, kurā veikti 17.1.1.apakšupunktā minētie specifiskie darbi, savukārt apakšuzņēmējs uz kura spējām  balstās pretendents veicis otras ielas izbūves vai pārbūves darbus objektā, kurā arī veikti 17.1.1.apakšupunktā minētie specifiskie darbi.</w:t>
      </w:r>
    </w:p>
    <w:p w14:paraId="65F6ABE6" w14:textId="77777777" w:rsidR="00DA135F" w:rsidRPr="00DA135F" w:rsidRDefault="00DA135F" w:rsidP="00DA135F">
      <w:pPr>
        <w:pStyle w:val="NoSpacing"/>
        <w:rPr>
          <w:rFonts w:ascii="Times New Roman" w:hAnsi="Times New Roman" w:cs="Times New Roman"/>
          <w:sz w:val="24"/>
          <w:szCs w:val="24"/>
        </w:rPr>
      </w:pPr>
    </w:p>
    <w:p w14:paraId="19315010" w14:textId="12DBC496" w:rsidR="00DA135F" w:rsidRDefault="00DA135F" w:rsidP="00CC4494">
      <w:pPr>
        <w:pStyle w:val="NoSpacing"/>
        <w:ind w:right="372"/>
        <w:jc w:val="both"/>
        <w:rPr>
          <w:rFonts w:ascii="Times New Roman" w:hAnsi="Times New Roman" w:cs="Times New Roman"/>
          <w:sz w:val="24"/>
          <w:szCs w:val="24"/>
        </w:rPr>
      </w:pPr>
      <w:r w:rsidRPr="009C1F5F">
        <w:rPr>
          <w:rFonts w:ascii="Times New Roman" w:hAnsi="Times New Roman" w:cs="Times New Roman"/>
          <w:b/>
          <w:bCs/>
          <w:sz w:val="24"/>
          <w:szCs w:val="24"/>
        </w:rPr>
        <w:t>Atbilde:</w:t>
      </w:r>
      <w:r>
        <w:rPr>
          <w:rFonts w:ascii="Times New Roman" w:hAnsi="Times New Roman" w:cs="Times New Roman"/>
          <w:sz w:val="24"/>
          <w:szCs w:val="24"/>
        </w:rPr>
        <w:t xml:space="preserve"> </w:t>
      </w:r>
      <w:r w:rsidR="006E2C03">
        <w:rPr>
          <w:rFonts w:ascii="Times New Roman" w:hAnsi="Times New Roman" w:cs="Times New Roman"/>
          <w:sz w:val="24"/>
          <w:szCs w:val="24"/>
        </w:rPr>
        <w:t xml:space="preserve">Informējam, ka pieredze tiks </w:t>
      </w:r>
      <w:r w:rsidR="006C0C26">
        <w:rPr>
          <w:rFonts w:ascii="Times New Roman" w:hAnsi="Times New Roman" w:cs="Times New Roman"/>
          <w:sz w:val="24"/>
          <w:szCs w:val="24"/>
        </w:rPr>
        <w:t>uzskatīta par atbilstošu nolikuma 17.1.1.</w:t>
      </w:r>
      <w:r w:rsidR="006A2090">
        <w:rPr>
          <w:rFonts w:ascii="Times New Roman" w:hAnsi="Times New Roman" w:cs="Times New Roman"/>
          <w:sz w:val="24"/>
          <w:szCs w:val="24"/>
        </w:rPr>
        <w:t xml:space="preserve">, 17.1.2., 17.1.3.punkta prasībām, ja </w:t>
      </w:r>
      <w:r w:rsidR="00BE7BBD">
        <w:rPr>
          <w:rFonts w:ascii="Times New Roman" w:hAnsi="Times New Roman" w:cs="Times New Roman"/>
          <w:sz w:val="24"/>
          <w:szCs w:val="24"/>
        </w:rPr>
        <w:t xml:space="preserve">minētajos punktos norādītos attiecīgos darbus būs veicis </w:t>
      </w:r>
      <w:r w:rsidR="00713C83">
        <w:rPr>
          <w:rFonts w:ascii="Times New Roman" w:hAnsi="Times New Roman" w:cs="Times New Roman"/>
          <w:sz w:val="24"/>
          <w:szCs w:val="24"/>
        </w:rPr>
        <w:t>viens</w:t>
      </w:r>
      <w:r w:rsidR="00692EF5">
        <w:rPr>
          <w:rFonts w:ascii="Times New Roman" w:hAnsi="Times New Roman" w:cs="Times New Roman"/>
          <w:sz w:val="24"/>
          <w:szCs w:val="24"/>
        </w:rPr>
        <w:t xml:space="preserve"> vai vairāki </w:t>
      </w:r>
      <w:r w:rsidR="00F57E3C">
        <w:rPr>
          <w:rFonts w:ascii="Times New Roman" w:hAnsi="Times New Roman" w:cs="Times New Roman"/>
          <w:sz w:val="24"/>
          <w:szCs w:val="24"/>
        </w:rPr>
        <w:t xml:space="preserve">piegādātāju apvienības dalībnieki vai arī apakšuzņēmējs, uz kura iespējām </w:t>
      </w:r>
      <w:r w:rsidR="002E362A">
        <w:rPr>
          <w:rFonts w:ascii="Times New Roman" w:hAnsi="Times New Roman" w:cs="Times New Roman"/>
          <w:sz w:val="24"/>
          <w:szCs w:val="24"/>
        </w:rPr>
        <w:t xml:space="preserve">pretendents balstās. </w:t>
      </w:r>
      <w:r w:rsidR="008519AD">
        <w:rPr>
          <w:rFonts w:ascii="Times New Roman" w:hAnsi="Times New Roman" w:cs="Times New Roman"/>
          <w:sz w:val="24"/>
          <w:szCs w:val="24"/>
        </w:rPr>
        <w:t>Ir pieļaujams, ka vienā objektā, kurš tiek norādīts pieredzes pierādīšanai,  darbus ir veicis viens piegādātāju apvienības dalībnieks</w:t>
      </w:r>
      <w:r w:rsidR="00E405FB">
        <w:rPr>
          <w:rFonts w:ascii="Times New Roman" w:hAnsi="Times New Roman" w:cs="Times New Roman"/>
          <w:sz w:val="24"/>
          <w:szCs w:val="24"/>
        </w:rPr>
        <w:t>, bet otrā objektā – cits piegādātāju apvienības dalībnieks</w:t>
      </w:r>
      <w:r w:rsidR="00544F41">
        <w:rPr>
          <w:rFonts w:ascii="Times New Roman" w:hAnsi="Times New Roman" w:cs="Times New Roman"/>
          <w:sz w:val="24"/>
          <w:szCs w:val="24"/>
        </w:rPr>
        <w:t xml:space="preserve"> vai apakšuzņēmējs, uz kura iespējām pretendents balstās</w:t>
      </w:r>
      <w:r w:rsidR="00E405FB">
        <w:rPr>
          <w:rFonts w:ascii="Times New Roman" w:hAnsi="Times New Roman" w:cs="Times New Roman"/>
          <w:sz w:val="24"/>
          <w:szCs w:val="24"/>
        </w:rPr>
        <w:t>.</w:t>
      </w:r>
    </w:p>
    <w:p w14:paraId="10F0FE14" w14:textId="77777777" w:rsidR="00DA135F" w:rsidRDefault="00DA135F" w:rsidP="00CC4494">
      <w:pPr>
        <w:pStyle w:val="NoSpacing"/>
        <w:ind w:right="372"/>
        <w:jc w:val="both"/>
        <w:rPr>
          <w:rFonts w:ascii="Times New Roman" w:hAnsi="Times New Roman" w:cs="Times New Roman"/>
          <w:sz w:val="24"/>
          <w:szCs w:val="24"/>
        </w:rPr>
      </w:pPr>
    </w:p>
    <w:p w14:paraId="2F2C6BCA" w14:textId="77777777" w:rsidR="00326FC7" w:rsidRPr="00326FC7" w:rsidRDefault="008B03D4" w:rsidP="00CC4494">
      <w:pPr>
        <w:pStyle w:val="NoSpacing"/>
        <w:ind w:right="372" w:firstLine="360"/>
        <w:jc w:val="both"/>
        <w:rPr>
          <w:rFonts w:ascii="Times New Roman" w:hAnsi="Times New Roman" w:cs="Times New Roman"/>
          <w:i/>
          <w:iCs/>
          <w:sz w:val="24"/>
          <w:szCs w:val="24"/>
        </w:rPr>
      </w:pPr>
      <w:r w:rsidRPr="00326FC7">
        <w:rPr>
          <w:rFonts w:ascii="Times New Roman" w:hAnsi="Times New Roman" w:cs="Times New Roman"/>
          <w:b/>
          <w:bCs/>
          <w:i/>
          <w:iCs/>
          <w:sz w:val="24"/>
          <w:szCs w:val="24"/>
        </w:rPr>
        <w:lastRenderedPageBreak/>
        <w:t xml:space="preserve">2.jautājums: </w:t>
      </w:r>
      <w:r w:rsidR="00326FC7" w:rsidRPr="00326FC7">
        <w:rPr>
          <w:rFonts w:ascii="Times New Roman" w:hAnsi="Times New Roman" w:cs="Times New Roman"/>
          <w:i/>
          <w:iCs/>
          <w:sz w:val="24"/>
          <w:szCs w:val="24"/>
        </w:rPr>
        <w:t>Lūdzam Pasūtītāju skaidrot, vai Nolikuma 2.pielikumā jānorāda tikai Pretendenta patiesā labuma guvējs, vai arī šī prasība attiecināma uz ikviena piesaistītā apakšuzņēmēja patiesā labuma guvēja norādīšanu.</w:t>
      </w:r>
    </w:p>
    <w:p w14:paraId="4551156B" w14:textId="562FE4E5" w:rsidR="00DA135F" w:rsidRPr="00326FC7" w:rsidRDefault="00DA135F" w:rsidP="00DA135F">
      <w:pPr>
        <w:pStyle w:val="NoSpacing"/>
        <w:ind w:left="360"/>
        <w:jc w:val="both"/>
        <w:rPr>
          <w:rFonts w:ascii="Times New Roman" w:hAnsi="Times New Roman" w:cs="Times New Roman"/>
          <w:i/>
          <w:iCs/>
          <w:sz w:val="24"/>
          <w:szCs w:val="24"/>
        </w:rPr>
      </w:pPr>
    </w:p>
    <w:p w14:paraId="2D5C8DD7" w14:textId="08E83F88" w:rsidR="008B03D4" w:rsidRDefault="009C1F5F" w:rsidP="009C1F5F">
      <w:pPr>
        <w:pStyle w:val="NoSpacing"/>
        <w:jc w:val="both"/>
        <w:rPr>
          <w:rFonts w:ascii="Times New Roman" w:hAnsi="Times New Roman" w:cs="Times New Roman"/>
          <w:sz w:val="24"/>
          <w:szCs w:val="24"/>
        </w:rPr>
      </w:pPr>
      <w:r w:rsidRPr="009C1F5F">
        <w:rPr>
          <w:rFonts w:ascii="Times New Roman" w:hAnsi="Times New Roman" w:cs="Times New Roman"/>
          <w:b/>
          <w:bCs/>
          <w:sz w:val="24"/>
          <w:szCs w:val="24"/>
        </w:rPr>
        <w:t>Atbilde</w:t>
      </w:r>
      <w:r>
        <w:rPr>
          <w:rFonts w:ascii="Times New Roman" w:hAnsi="Times New Roman" w:cs="Times New Roman"/>
          <w:sz w:val="24"/>
          <w:szCs w:val="24"/>
        </w:rPr>
        <w:t xml:space="preserve">: Skaidrojam, ka jānorāda pretendenta patiesais labuma guvējs. </w:t>
      </w:r>
    </w:p>
    <w:p w14:paraId="4EAC252A" w14:textId="77777777" w:rsidR="008B03D4" w:rsidRPr="00DA135F" w:rsidRDefault="008B03D4" w:rsidP="00DA135F">
      <w:pPr>
        <w:pStyle w:val="NoSpacing"/>
        <w:ind w:left="360"/>
        <w:jc w:val="both"/>
        <w:rPr>
          <w:rFonts w:ascii="Times New Roman" w:hAnsi="Times New Roman" w:cs="Times New Roman"/>
          <w:sz w:val="24"/>
          <w:szCs w:val="24"/>
        </w:rPr>
      </w:pPr>
    </w:p>
    <w:p w14:paraId="52AF837C" w14:textId="49A23E3D" w:rsidR="00DA135F" w:rsidRPr="009C1F5F" w:rsidRDefault="009C1F5F" w:rsidP="00CC4494">
      <w:pPr>
        <w:pStyle w:val="NoSpacing"/>
        <w:ind w:right="372" w:firstLine="360"/>
        <w:jc w:val="both"/>
        <w:rPr>
          <w:rFonts w:ascii="Times New Roman" w:hAnsi="Times New Roman" w:cs="Times New Roman"/>
          <w:i/>
          <w:iCs/>
          <w:sz w:val="24"/>
          <w:szCs w:val="24"/>
        </w:rPr>
      </w:pPr>
      <w:r w:rsidRPr="009C1F5F">
        <w:rPr>
          <w:rFonts w:ascii="Times New Roman" w:hAnsi="Times New Roman" w:cs="Times New Roman"/>
          <w:b/>
          <w:bCs/>
          <w:i/>
          <w:iCs/>
          <w:sz w:val="24"/>
          <w:szCs w:val="24"/>
        </w:rPr>
        <w:t>3.jautājums:</w:t>
      </w:r>
      <w:r w:rsidRPr="009C1F5F">
        <w:rPr>
          <w:rFonts w:ascii="Times New Roman" w:hAnsi="Times New Roman" w:cs="Times New Roman"/>
          <w:i/>
          <w:iCs/>
          <w:sz w:val="24"/>
          <w:szCs w:val="24"/>
        </w:rPr>
        <w:t xml:space="preserve"> </w:t>
      </w:r>
      <w:r w:rsidR="00DA135F" w:rsidRPr="009C1F5F">
        <w:rPr>
          <w:rFonts w:ascii="Times New Roman" w:hAnsi="Times New Roman" w:cs="Times New Roman"/>
          <w:i/>
          <w:iCs/>
          <w:sz w:val="24"/>
          <w:szCs w:val="24"/>
        </w:rPr>
        <w:t xml:space="preserve">Nolikumā norādīts, ka Tehniskais piedāvājums sagatavojams ņemot vērā nolikuma 5.pielikumu, taču pie Elektroniskajā iepirkumu sistēmā ievietotajiem dokumentiem šādu pielikumu neatrodam. </w:t>
      </w:r>
    </w:p>
    <w:p w14:paraId="32540F2E" w14:textId="77777777" w:rsidR="00DA135F" w:rsidRPr="009C1F5F" w:rsidRDefault="00DA135F" w:rsidP="00CC4494">
      <w:pPr>
        <w:pStyle w:val="NoSpacing"/>
        <w:ind w:right="372" w:firstLine="360"/>
        <w:jc w:val="both"/>
        <w:rPr>
          <w:rFonts w:ascii="Times New Roman" w:hAnsi="Times New Roman" w:cs="Times New Roman"/>
          <w:i/>
          <w:iCs/>
          <w:sz w:val="24"/>
          <w:szCs w:val="24"/>
        </w:rPr>
      </w:pPr>
      <w:r w:rsidRPr="009C1F5F">
        <w:rPr>
          <w:rFonts w:ascii="Times New Roman" w:hAnsi="Times New Roman" w:cs="Times New Roman"/>
          <w:i/>
          <w:iCs/>
          <w:sz w:val="24"/>
          <w:szCs w:val="24"/>
        </w:rPr>
        <w:t xml:space="preserve">Lūdzam Pasūtītāju Elektroniskajā iepirkumu sistēmā pievienot Nolikuma 5.pielikumu “Tehniskā specifikācija”. </w:t>
      </w:r>
    </w:p>
    <w:p w14:paraId="5DD71719" w14:textId="77777777" w:rsidR="00DA135F" w:rsidRDefault="00DA135F" w:rsidP="00CC4494">
      <w:pPr>
        <w:pStyle w:val="NoSpacing"/>
        <w:ind w:right="372"/>
        <w:jc w:val="both"/>
      </w:pPr>
    </w:p>
    <w:p w14:paraId="370E64DE" w14:textId="148D9248" w:rsidR="0028387D" w:rsidRPr="00A55010" w:rsidRDefault="009C1F5F" w:rsidP="00CC4494">
      <w:pPr>
        <w:widowControl w:val="0"/>
        <w:ind w:right="372"/>
        <w:jc w:val="both"/>
        <w:rPr>
          <w:rFonts w:eastAsia="Calibri"/>
          <w:lang w:val="lv-LV"/>
        </w:rPr>
      </w:pPr>
      <w:r w:rsidRPr="00A55010">
        <w:rPr>
          <w:rFonts w:eastAsia="Calibri"/>
          <w:b/>
          <w:bCs/>
          <w:lang w:val="lv-LV"/>
        </w:rPr>
        <w:t xml:space="preserve">Atbilde: </w:t>
      </w:r>
      <w:r w:rsidR="003F500C" w:rsidRPr="003F500C">
        <w:rPr>
          <w:rFonts w:eastAsia="Calibri"/>
          <w:lang w:val="lv-LV"/>
        </w:rPr>
        <w:t xml:space="preserve">lūdzam </w:t>
      </w:r>
      <w:r w:rsidR="003F500C">
        <w:rPr>
          <w:rFonts w:eastAsia="Calibri"/>
          <w:lang w:val="lv-LV"/>
        </w:rPr>
        <w:t>skatīt Elektronisko iepirkumu sistēmā 2023.gada 22.jūnijā publicē</w:t>
      </w:r>
      <w:r w:rsidR="00CC4494">
        <w:rPr>
          <w:rFonts w:eastAsia="Calibri"/>
          <w:lang w:val="lv-LV"/>
        </w:rPr>
        <w:t>to informāciju pretendentiem.</w:t>
      </w:r>
    </w:p>
    <w:p w14:paraId="63BBD03E" w14:textId="77777777" w:rsidR="00DA135F" w:rsidRDefault="00DA135F" w:rsidP="0057111E">
      <w:pPr>
        <w:spacing w:line="240" w:lineRule="exact"/>
        <w:ind w:right="372"/>
        <w:contextualSpacing/>
        <w:jc w:val="both"/>
        <w:rPr>
          <w:rFonts w:eastAsia="Calibri"/>
          <w:b/>
          <w:bCs/>
          <w:i/>
          <w:iCs/>
        </w:rPr>
      </w:pPr>
    </w:p>
    <w:p w14:paraId="57D5406F" w14:textId="77777777" w:rsidR="0057111E" w:rsidRPr="0057111E" w:rsidRDefault="0057111E" w:rsidP="00324E69">
      <w:pPr>
        <w:spacing w:before="60" w:after="60" w:line="259" w:lineRule="auto"/>
        <w:ind w:right="372"/>
        <w:jc w:val="both"/>
        <w:rPr>
          <w:rFonts w:eastAsiaTheme="minorHAnsi"/>
          <w:iCs/>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728B15A9" w14:textId="77777777" w:rsidR="00D0792E" w:rsidRDefault="00D0792E" w:rsidP="00ED7FC3">
      <w:pPr>
        <w:jc w:val="center"/>
      </w:pPr>
    </w:p>
    <w:p w14:paraId="07459981" w14:textId="3A232D3B"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3"/>
      <w:headerReference w:type="default" r:id="rId14"/>
      <w:footerReference w:type="even" r:id="rId15"/>
      <w:footerReference w:type="default" r:id="rId16"/>
      <w:headerReference w:type="first" r:id="rId17"/>
      <w:footerReference w:type="first" r:id="rId18"/>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1D9A" w14:textId="77777777" w:rsidR="006B6331" w:rsidRDefault="006B6331">
      <w:r>
        <w:separator/>
      </w:r>
    </w:p>
  </w:endnote>
  <w:endnote w:type="continuationSeparator" w:id="0">
    <w:p w14:paraId="6FE97FF2" w14:textId="77777777" w:rsidR="006B6331" w:rsidRDefault="006B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7E97" w14:textId="77777777" w:rsidR="006B6331" w:rsidRDefault="006B6331">
      <w:r>
        <w:separator/>
      </w:r>
    </w:p>
  </w:footnote>
  <w:footnote w:type="continuationSeparator" w:id="0">
    <w:p w14:paraId="7EF106C1" w14:textId="77777777" w:rsidR="006B6331" w:rsidRDefault="006B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4C38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FDF7EC2" w:rsidR="001B6FD9" w:rsidRDefault="00477D5C" w:rsidP="00477D5C">
    <w:pPr>
      <w:pStyle w:val="Header"/>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B02B6"/>
    <w:multiLevelType w:val="hybridMultilevel"/>
    <w:tmpl w:val="CFF8FE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672DCB"/>
    <w:multiLevelType w:val="hybridMultilevel"/>
    <w:tmpl w:val="2742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8"/>
  </w:num>
  <w:num w:numId="3" w16cid:durableId="1346135039">
    <w:abstractNumId w:val="15"/>
  </w:num>
  <w:num w:numId="4" w16cid:durableId="662854321">
    <w:abstractNumId w:val="1"/>
  </w:num>
  <w:num w:numId="5" w16cid:durableId="1736705838">
    <w:abstractNumId w:val="10"/>
  </w:num>
  <w:num w:numId="6" w16cid:durableId="1144736612">
    <w:abstractNumId w:val="4"/>
  </w:num>
  <w:num w:numId="7" w16cid:durableId="1784956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3"/>
  </w:num>
  <w:num w:numId="9" w16cid:durableId="84345720">
    <w:abstractNumId w:val="5"/>
  </w:num>
  <w:num w:numId="10" w16cid:durableId="1766462949">
    <w:abstractNumId w:val="2"/>
  </w:num>
  <w:num w:numId="11" w16cid:durableId="89766680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6"/>
  </w:num>
  <w:num w:numId="13" w16cid:durableId="511839796">
    <w:abstractNumId w:val="3"/>
  </w:num>
  <w:num w:numId="14" w16cid:durableId="1531914271">
    <w:abstractNumId w:val="12"/>
  </w:num>
  <w:num w:numId="15" w16cid:durableId="161554949">
    <w:abstractNumId w:val="17"/>
  </w:num>
  <w:num w:numId="16" w16cid:durableId="1113868705">
    <w:abstractNumId w:val="11"/>
  </w:num>
  <w:num w:numId="17" w16cid:durableId="197663225">
    <w:abstractNumId w:val="6"/>
  </w:num>
  <w:num w:numId="18" w16cid:durableId="48601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A25A6"/>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66B21"/>
    <w:rsid w:val="00185A7E"/>
    <w:rsid w:val="0019049E"/>
    <w:rsid w:val="00190530"/>
    <w:rsid w:val="00191138"/>
    <w:rsid w:val="0019753D"/>
    <w:rsid w:val="001A4C62"/>
    <w:rsid w:val="001A6133"/>
    <w:rsid w:val="001A6A27"/>
    <w:rsid w:val="001B000D"/>
    <w:rsid w:val="001B2AD7"/>
    <w:rsid w:val="001B6718"/>
    <w:rsid w:val="001B6FD9"/>
    <w:rsid w:val="001C5053"/>
    <w:rsid w:val="001C6E54"/>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B1A94"/>
    <w:rsid w:val="002C178C"/>
    <w:rsid w:val="002C786C"/>
    <w:rsid w:val="002D303C"/>
    <w:rsid w:val="002E10DC"/>
    <w:rsid w:val="002E362A"/>
    <w:rsid w:val="002E43A6"/>
    <w:rsid w:val="002E5BC5"/>
    <w:rsid w:val="002E733C"/>
    <w:rsid w:val="002E786C"/>
    <w:rsid w:val="00300D5F"/>
    <w:rsid w:val="003014F9"/>
    <w:rsid w:val="00301EF1"/>
    <w:rsid w:val="0030309A"/>
    <w:rsid w:val="003130A2"/>
    <w:rsid w:val="00324E69"/>
    <w:rsid w:val="00325A6F"/>
    <w:rsid w:val="00325C33"/>
    <w:rsid w:val="00326FC7"/>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00C"/>
    <w:rsid w:val="003F5509"/>
    <w:rsid w:val="00402CE9"/>
    <w:rsid w:val="0040733B"/>
    <w:rsid w:val="0042756D"/>
    <w:rsid w:val="00433E36"/>
    <w:rsid w:val="0043680C"/>
    <w:rsid w:val="00443CA7"/>
    <w:rsid w:val="00445AB4"/>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4F41"/>
    <w:rsid w:val="0054525F"/>
    <w:rsid w:val="0056186C"/>
    <w:rsid w:val="0057098B"/>
    <w:rsid w:val="00570E1F"/>
    <w:rsid w:val="0057111E"/>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2EF5"/>
    <w:rsid w:val="006964E9"/>
    <w:rsid w:val="006A2090"/>
    <w:rsid w:val="006A3C1B"/>
    <w:rsid w:val="006A6145"/>
    <w:rsid w:val="006A672C"/>
    <w:rsid w:val="006A7A31"/>
    <w:rsid w:val="006B0D98"/>
    <w:rsid w:val="006B52BC"/>
    <w:rsid w:val="006B5782"/>
    <w:rsid w:val="006B6331"/>
    <w:rsid w:val="006C0C26"/>
    <w:rsid w:val="006C2568"/>
    <w:rsid w:val="006C4115"/>
    <w:rsid w:val="006D3BDA"/>
    <w:rsid w:val="006E2C03"/>
    <w:rsid w:val="00706549"/>
    <w:rsid w:val="00712459"/>
    <w:rsid w:val="00713C83"/>
    <w:rsid w:val="0071685A"/>
    <w:rsid w:val="007200F1"/>
    <w:rsid w:val="00720501"/>
    <w:rsid w:val="00732D57"/>
    <w:rsid w:val="00735447"/>
    <w:rsid w:val="00737061"/>
    <w:rsid w:val="00741397"/>
    <w:rsid w:val="007426A4"/>
    <w:rsid w:val="0075033F"/>
    <w:rsid w:val="00756CAE"/>
    <w:rsid w:val="00761DC2"/>
    <w:rsid w:val="007666D6"/>
    <w:rsid w:val="00770759"/>
    <w:rsid w:val="00776E6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19AD"/>
    <w:rsid w:val="008533C8"/>
    <w:rsid w:val="00857D3F"/>
    <w:rsid w:val="00863CC3"/>
    <w:rsid w:val="00867667"/>
    <w:rsid w:val="00872B40"/>
    <w:rsid w:val="008929F2"/>
    <w:rsid w:val="008A1BCE"/>
    <w:rsid w:val="008A3258"/>
    <w:rsid w:val="008A36B8"/>
    <w:rsid w:val="008A3C61"/>
    <w:rsid w:val="008A3D01"/>
    <w:rsid w:val="008B03D4"/>
    <w:rsid w:val="008B539E"/>
    <w:rsid w:val="008C4BA0"/>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7CB1"/>
    <w:rsid w:val="009B03BA"/>
    <w:rsid w:val="009B6D80"/>
    <w:rsid w:val="009B7901"/>
    <w:rsid w:val="009C1F5F"/>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010"/>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E7BBD"/>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C20"/>
    <w:rsid w:val="00C91D95"/>
    <w:rsid w:val="00C921E4"/>
    <w:rsid w:val="00C950CD"/>
    <w:rsid w:val="00CA0385"/>
    <w:rsid w:val="00CA73ED"/>
    <w:rsid w:val="00CB3ACB"/>
    <w:rsid w:val="00CB7671"/>
    <w:rsid w:val="00CC4494"/>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A135F"/>
    <w:rsid w:val="00DB2C78"/>
    <w:rsid w:val="00DB6249"/>
    <w:rsid w:val="00DC04D9"/>
    <w:rsid w:val="00DC6EAE"/>
    <w:rsid w:val="00DD6FE2"/>
    <w:rsid w:val="00DE06AD"/>
    <w:rsid w:val="00DE0B36"/>
    <w:rsid w:val="00DE6FD5"/>
    <w:rsid w:val="00DF0040"/>
    <w:rsid w:val="00DF0270"/>
    <w:rsid w:val="00DF14C4"/>
    <w:rsid w:val="00DF6D93"/>
    <w:rsid w:val="00E00F55"/>
    <w:rsid w:val="00E030A1"/>
    <w:rsid w:val="00E064E9"/>
    <w:rsid w:val="00E07F7D"/>
    <w:rsid w:val="00E22FD5"/>
    <w:rsid w:val="00E34725"/>
    <w:rsid w:val="00E34732"/>
    <w:rsid w:val="00E405FB"/>
    <w:rsid w:val="00E42D5D"/>
    <w:rsid w:val="00E43013"/>
    <w:rsid w:val="00E451CB"/>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377B7"/>
    <w:rsid w:val="00F428CF"/>
    <w:rsid w:val="00F4367F"/>
    <w:rsid w:val="00F541C2"/>
    <w:rsid w:val="00F57E3C"/>
    <w:rsid w:val="00F627F4"/>
    <w:rsid w:val="00F631D4"/>
    <w:rsid w:val="00F63849"/>
    <w:rsid w:val="00F717A2"/>
    <w:rsid w:val="00F74039"/>
    <w:rsid w:val="00F83BFE"/>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paragraph" w:styleId="NoSpacing">
    <w:name w:val="No Spacing"/>
    <w:uiPriority w:val="1"/>
    <w:qFormat/>
    <w:rsid w:val="00DA135F"/>
    <w:rPr>
      <w:rFonts w:ascii="Arial" w:eastAsiaTheme="minorHAnsi" w:hAnsi="Arial" w:cs="Arial"/>
      <w:kern w:val="2"/>
      <w:szCs w:val="22"/>
      <w:lang w:val="lv-LV" w:eastAsia="en-US"/>
      <w14:ligatures w14:val="standardContextual"/>
    </w:rPr>
  </w:style>
  <w:style w:type="paragraph" w:styleId="Revision">
    <w:name w:val="Revision"/>
    <w:hidden/>
    <w:uiPriority w:val="99"/>
    <w:semiHidden/>
    <w:rsid w:val="008519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kretare@tilts.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2.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4</cp:revision>
  <cp:lastPrinted>2021-09-09T02:05:00Z</cp:lastPrinted>
  <dcterms:created xsi:type="dcterms:W3CDTF">2023-06-30T09:59:00Z</dcterms:created>
  <dcterms:modified xsi:type="dcterms:W3CDTF">2023-06-30T10:03:00Z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