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7D75" w14:textId="77777777" w:rsidR="00887C2F" w:rsidRDefault="00887C2F" w:rsidP="00947577">
      <w:pPr>
        <w:ind w:right="372"/>
        <w:jc w:val="right"/>
      </w:pPr>
    </w:p>
    <w:p w14:paraId="006C411B" w14:textId="77777777" w:rsidR="00887C2F" w:rsidRDefault="00887C2F" w:rsidP="00947577">
      <w:pPr>
        <w:ind w:right="372"/>
        <w:jc w:val="right"/>
      </w:pPr>
    </w:p>
    <w:p w14:paraId="62FB32B2" w14:textId="6518B889" w:rsidR="00324E69" w:rsidRPr="0028387D" w:rsidRDefault="00887C2F" w:rsidP="00947577">
      <w:pPr>
        <w:ind w:right="372"/>
        <w:jc w:val="right"/>
        <w:rPr>
          <w:i/>
          <w:lang w:val="lv-LV"/>
        </w:rPr>
      </w:pPr>
      <w:r>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0A0C85BA" w14:textId="77777777" w:rsidR="005C7AA1" w:rsidRDefault="0028387D" w:rsidP="0028387D">
      <w:pPr>
        <w:widowControl w:val="0"/>
        <w:ind w:right="372"/>
        <w:jc w:val="both"/>
        <w:rPr>
          <w:rFonts w:eastAsia="Calibri"/>
          <w:i/>
          <w:iCs/>
          <w:lang w:val="lv-LV"/>
        </w:rPr>
      </w:pPr>
      <w:r w:rsidRPr="0028387D">
        <w:rPr>
          <w:rFonts w:eastAsia="Calibri"/>
          <w:b/>
          <w:bCs/>
          <w:i/>
          <w:iCs/>
          <w:lang w:val="lv-LV"/>
        </w:rPr>
        <w:t>Jautājums:</w:t>
      </w:r>
    </w:p>
    <w:p w14:paraId="38C5A2C6" w14:textId="643AB3A2" w:rsidR="001A40CC" w:rsidRPr="001A40CC" w:rsidRDefault="001A40CC" w:rsidP="001A40CC">
      <w:pPr>
        <w:widowControl w:val="0"/>
        <w:ind w:right="372"/>
        <w:jc w:val="both"/>
        <w:rPr>
          <w:i/>
          <w:iCs/>
          <w:sz w:val="22"/>
          <w:szCs w:val="22"/>
          <w:lang w:val="lv-LV"/>
        </w:rPr>
      </w:pPr>
      <w:r w:rsidRPr="001A40CC">
        <w:rPr>
          <w:rFonts w:eastAsia="Calibri"/>
          <w:i/>
          <w:iCs/>
          <w:lang w:val="lv-LV"/>
        </w:rPr>
        <w:t>BIM tehniskās specifikācijas pielikumā “0.pamatdokuments_BIM_prasības_V2.0” punktā 4.1 minēts, ka “BIM modeļu izstrādē ir nepieciešams izmantot “BUILDING SMART” sertificētas datorprogrammas (</w:t>
      </w:r>
      <w:hyperlink r:id="rId12" w:history="1">
        <w:r w:rsidRPr="001A40CC">
          <w:rPr>
            <w:rStyle w:val="Hyperlink"/>
            <w:rFonts w:eastAsia="Calibri"/>
            <w:i/>
            <w:iCs/>
            <w:lang w:val="lv-LV"/>
          </w:rPr>
          <w:t>https://www.buildingsmart.org/compliance/certifiedsoftware/)</w:t>
        </w:r>
      </w:hyperlink>
      <w:r w:rsidRPr="001A40CC">
        <w:rPr>
          <w:rFonts w:eastAsia="Calibri"/>
          <w:i/>
          <w:iCs/>
          <w:lang w:val="lv-LV"/>
        </w:rPr>
        <w:t>.”</w:t>
      </w:r>
      <w:r>
        <w:rPr>
          <w:rFonts w:eastAsia="Calibri"/>
          <w:i/>
          <w:iCs/>
          <w:lang w:val="lv-LV"/>
        </w:rPr>
        <w:t xml:space="preserve"> </w:t>
      </w:r>
      <w:r w:rsidRPr="001A40CC">
        <w:rPr>
          <w:rFonts w:eastAsia="Calibri"/>
          <w:i/>
          <w:iCs/>
          <w:lang w:val="lv-LV"/>
        </w:rPr>
        <w:t xml:space="preserve">Šajā sarakstā nav nevienas no datorprogrammām, ko tipiski izmanto ceļu, sliežu ceļu un ārējo inženiertīklu projektēšanā, un šis saraksts acīmredzami ir paredzēts ēku un to inženiertīklu projektēšanas programmatūrai. Lūdzu sniegt skaidrojumu, ar kādu programmatūru izstrādāt BIM modeļus sliežu ceļiem, ielām u.c. teritorijas sadaļām, ja jāievēro šāda prasība. Parasti tiek izmantots </w:t>
      </w:r>
      <w:proofErr w:type="spellStart"/>
      <w:r w:rsidRPr="001A40CC">
        <w:rPr>
          <w:rFonts w:eastAsia="Calibri"/>
          <w:i/>
          <w:iCs/>
          <w:lang w:val="lv-LV"/>
        </w:rPr>
        <w:t>Autodesk</w:t>
      </w:r>
      <w:proofErr w:type="spellEnd"/>
      <w:r w:rsidRPr="001A40CC">
        <w:rPr>
          <w:rFonts w:eastAsia="Calibri"/>
          <w:i/>
          <w:iCs/>
          <w:lang w:val="lv-LV"/>
        </w:rPr>
        <w:t xml:space="preserve"> </w:t>
      </w:r>
      <w:proofErr w:type="spellStart"/>
      <w:r w:rsidRPr="001A40CC">
        <w:rPr>
          <w:rFonts w:eastAsia="Calibri"/>
          <w:i/>
          <w:iCs/>
          <w:lang w:val="lv-LV"/>
        </w:rPr>
        <w:t>Civil</w:t>
      </w:r>
      <w:proofErr w:type="spellEnd"/>
      <w:r w:rsidRPr="001A40CC">
        <w:rPr>
          <w:rFonts w:eastAsia="Calibri"/>
          <w:i/>
          <w:iCs/>
          <w:lang w:val="lv-LV"/>
        </w:rPr>
        <w:t xml:space="preserve"> 3D, </w:t>
      </w:r>
      <w:proofErr w:type="spellStart"/>
      <w:r w:rsidRPr="001A40CC">
        <w:rPr>
          <w:rFonts w:eastAsia="Calibri"/>
          <w:i/>
          <w:iCs/>
          <w:lang w:val="lv-LV"/>
        </w:rPr>
        <w:t>Bentley</w:t>
      </w:r>
      <w:proofErr w:type="spellEnd"/>
      <w:r w:rsidRPr="001A40CC">
        <w:rPr>
          <w:rFonts w:eastAsia="Calibri"/>
          <w:i/>
          <w:iCs/>
          <w:lang w:val="lv-LV"/>
        </w:rPr>
        <w:t xml:space="preserve"> </w:t>
      </w:r>
      <w:proofErr w:type="spellStart"/>
      <w:r w:rsidRPr="001A40CC">
        <w:rPr>
          <w:rFonts w:eastAsia="Calibri"/>
          <w:i/>
          <w:iCs/>
          <w:lang w:val="lv-LV"/>
        </w:rPr>
        <w:t>OpenRoads</w:t>
      </w:r>
      <w:proofErr w:type="spellEnd"/>
      <w:r w:rsidRPr="001A40CC">
        <w:rPr>
          <w:rFonts w:eastAsia="Calibri"/>
          <w:i/>
          <w:iCs/>
          <w:lang w:val="lv-LV"/>
        </w:rPr>
        <w:t xml:space="preserve"> </w:t>
      </w:r>
      <w:proofErr w:type="spellStart"/>
      <w:r w:rsidRPr="001A40CC">
        <w:rPr>
          <w:rFonts w:eastAsia="Calibri"/>
          <w:i/>
          <w:iCs/>
          <w:lang w:val="lv-LV"/>
        </w:rPr>
        <w:t>Designer</w:t>
      </w:r>
      <w:proofErr w:type="spellEnd"/>
      <w:r w:rsidRPr="001A40CC">
        <w:rPr>
          <w:rFonts w:eastAsia="Calibri"/>
          <w:i/>
          <w:iCs/>
          <w:lang w:val="lv-LV"/>
        </w:rPr>
        <w:t>.</w:t>
      </w:r>
    </w:p>
    <w:p w14:paraId="7A77140A" w14:textId="77777777" w:rsidR="0028387D" w:rsidRDefault="0028387D" w:rsidP="0028387D">
      <w:pPr>
        <w:ind w:right="372"/>
        <w:jc w:val="both"/>
        <w:rPr>
          <w:lang w:val="lv-LV"/>
        </w:rPr>
      </w:pPr>
    </w:p>
    <w:p w14:paraId="247307B0" w14:textId="77777777" w:rsidR="005C7AA1" w:rsidRDefault="0028387D" w:rsidP="0028387D">
      <w:pPr>
        <w:ind w:right="372"/>
        <w:jc w:val="both"/>
        <w:rPr>
          <w:lang w:val="lv-LV"/>
        </w:rPr>
      </w:pPr>
      <w:r w:rsidRPr="0028387D">
        <w:rPr>
          <w:b/>
          <w:bCs/>
          <w:lang w:val="lv-LV"/>
        </w:rPr>
        <w:t>Atbilde</w:t>
      </w:r>
      <w:r>
        <w:rPr>
          <w:lang w:val="lv-LV"/>
        </w:rPr>
        <w:t xml:space="preserve">: </w:t>
      </w:r>
    </w:p>
    <w:p w14:paraId="239E0CD0" w14:textId="77777777" w:rsidR="00BE32A9" w:rsidRPr="00A73B6E" w:rsidRDefault="00BE32A9" w:rsidP="00BE32A9">
      <w:pPr>
        <w:ind w:right="372"/>
        <w:jc w:val="both"/>
        <w:rPr>
          <w:sz w:val="22"/>
          <w:szCs w:val="22"/>
          <w:lang w:val="lv-LV"/>
        </w:rPr>
      </w:pPr>
      <w:r w:rsidRPr="00A73B6E">
        <w:rPr>
          <w:lang w:val="lv-LV"/>
        </w:rPr>
        <w:t>BIM tehniskās specifikācijas pielikumā “0.pamatdokuments_BIM_prasības_V2.0” punktā 4.1 minēts, ka “BIM modeļu izstrādē ir nepieciešams izmantot “BUILDING SMART” sertificētas datorprogrammas (</w:t>
      </w:r>
      <w:hyperlink r:id="rId13" w:history="1">
        <w:r w:rsidRPr="00A73B6E">
          <w:rPr>
            <w:rStyle w:val="Hyperlink"/>
            <w:lang w:val="lv-LV"/>
          </w:rPr>
          <w:t>https://www.buildingsmart.org/compliance/certifiedsoftware/)</w:t>
        </w:r>
      </w:hyperlink>
      <w:r w:rsidRPr="00A73B6E">
        <w:rPr>
          <w:lang w:val="lv-LV"/>
        </w:rPr>
        <w:t>.” Tāpat dokumentā minēts, ka piegādātājam ir pienākums norādīt projektēšanas laikā izmantoto programmatūru, tās versiju, kā arī failu formātu. Ja programmatūra, kura tiks izmantota infrastruktūras BIM modeļu izstrādei nav iekļauta augstāk minētajā BIM sertificēto datorprogrammu sarakstā, Pretendentam ir pienākums norādīt, kuru infrastruktūras modelēšanai paredzēto BIM datorprogrammu, tās versiju un failu formātus Pretendents plāno izmantot.</w:t>
      </w:r>
    </w:p>
    <w:p w14:paraId="18035F5E" w14:textId="22B53D02" w:rsidR="00686645" w:rsidRDefault="00686645" w:rsidP="00324E69">
      <w:pPr>
        <w:spacing w:before="60" w:after="60" w:line="259" w:lineRule="auto"/>
        <w:ind w:right="372"/>
        <w:jc w:val="both"/>
        <w:rPr>
          <w:lang w:val="lv-LV"/>
        </w:rPr>
      </w:pPr>
    </w:p>
    <w:p w14:paraId="1DF245AD" w14:textId="77777777" w:rsidR="0028387D" w:rsidRPr="00F4367F" w:rsidRDefault="0028387D" w:rsidP="00324E69">
      <w:pPr>
        <w:spacing w:before="60" w:after="60" w:line="259" w:lineRule="auto"/>
        <w:ind w:right="372"/>
        <w:jc w:val="both"/>
        <w:rPr>
          <w:rFonts w:eastAsiaTheme="minorHAnsi"/>
          <w:lang w:val="lv-LV"/>
        </w:rPr>
      </w:pPr>
    </w:p>
    <w:p w14:paraId="7054CEC5" w14:textId="465CF7DB" w:rsidR="00ED287C" w:rsidRDefault="00ED287C" w:rsidP="00E34725">
      <w:pPr>
        <w:ind w:right="372"/>
        <w:jc w:val="both"/>
        <w:outlineLvl w:val="0"/>
        <w:rPr>
          <w:lang w:val="lv-LV"/>
        </w:rPr>
      </w:pPr>
      <w:r w:rsidRPr="00325C33">
        <w:rPr>
          <w:lang w:val="lv-LV"/>
        </w:rPr>
        <w:t xml:space="preserve">Iepirkumu komisijas priekšsēdētāja </w:t>
      </w:r>
      <w:r w:rsidR="00BE32A9">
        <w:rPr>
          <w:lang w:val="lv-LV"/>
        </w:rPr>
        <w:t>vietnieks</w:t>
      </w:r>
      <w:r w:rsidRPr="00325C33">
        <w:rPr>
          <w:lang w:val="lv-LV"/>
        </w:rPr>
        <w:t xml:space="preserve">                                            </w:t>
      </w:r>
      <w:r w:rsidR="00DF0270" w:rsidRPr="00325C33">
        <w:rPr>
          <w:lang w:val="lv-LV"/>
        </w:rPr>
        <w:t xml:space="preserve"> </w:t>
      </w:r>
      <w:r w:rsidR="006A6145" w:rsidRPr="00325C33">
        <w:rPr>
          <w:lang w:val="lv-LV"/>
        </w:rPr>
        <w:t xml:space="preserve"> </w:t>
      </w:r>
      <w:r w:rsidR="0061319C" w:rsidRPr="00325C33">
        <w:rPr>
          <w:lang w:val="lv-LV"/>
        </w:rPr>
        <w:t xml:space="preserve">     </w:t>
      </w:r>
      <w:r w:rsidR="00BE32A9">
        <w:rPr>
          <w:lang w:val="lv-LV"/>
        </w:rPr>
        <w:t xml:space="preserve">          </w:t>
      </w:r>
      <w:r w:rsidR="0061319C" w:rsidRPr="00325C33">
        <w:rPr>
          <w:lang w:val="lv-LV"/>
        </w:rPr>
        <w:t xml:space="preserve">  </w:t>
      </w:r>
      <w:r w:rsidRPr="00325C33">
        <w:rPr>
          <w:lang w:val="lv-LV"/>
        </w:rPr>
        <w:t xml:space="preserve"> </w:t>
      </w:r>
      <w:r w:rsidR="00483476" w:rsidRPr="00325C33">
        <w:rPr>
          <w:lang w:val="lv-LV"/>
        </w:rPr>
        <w:t>I</w:t>
      </w:r>
      <w:r w:rsidR="00BE32A9">
        <w:rPr>
          <w:lang w:val="lv-LV"/>
        </w:rPr>
        <w:t>mants Zīverts</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07459981" w14:textId="3A232D3B"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4"/>
      <w:headerReference w:type="default" r:id="rId15"/>
      <w:footerReference w:type="even" r:id="rId16"/>
      <w:footerReference w:type="default" r:id="rId17"/>
      <w:headerReference w:type="first" r:id="rId18"/>
      <w:footerReference w:type="first" r:id="rId19"/>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014E" w14:textId="77777777" w:rsidR="00363AE9" w:rsidRDefault="00363AE9">
      <w:r>
        <w:separator/>
      </w:r>
    </w:p>
  </w:endnote>
  <w:endnote w:type="continuationSeparator" w:id="0">
    <w:p w14:paraId="4E229C2F" w14:textId="77777777" w:rsidR="00363AE9" w:rsidRDefault="003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5E94" w14:textId="77777777" w:rsidR="00363AE9" w:rsidRDefault="00363AE9">
      <w:r>
        <w:separator/>
      </w:r>
    </w:p>
  </w:footnote>
  <w:footnote w:type="continuationSeparator" w:id="0">
    <w:p w14:paraId="18C71D6D" w14:textId="77777777" w:rsidR="00363AE9" w:rsidRDefault="0036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BB12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2"/>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3"/>
  </w:num>
  <w:num w:numId="13" w16cid:durableId="511839796">
    <w:abstractNumId w:val="3"/>
  </w:num>
  <w:num w:numId="14" w16cid:durableId="1531914271">
    <w:abstractNumId w:val="9"/>
  </w:num>
  <w:num w:numId="15" w16cid:durableId="16155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54015"/>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753D"/>
    <w:rsid w:val="001A40CC"/>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B1A94"/>
    <w:rsid w:val="002C178C"/>
    <w:rsid w:val="002C700D"/>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5660F"/>
    <w:rsid w:val="0036064C"/>
    <w:rsid w:val="00361C55"/>
    <w:rsid w:val="00362DCC"/>
    <w:rsid w:val="00363AE9"/>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A0903"/>
    <w:rsid w:val="005B1FDE"/>
    <w:rsid w:val="005C7AA1"/>
    <w:rsid w:val="005D3F37"/>
    <w:rsid w:val="005D47D5"/>
    <w:rsid w:val="005E66ED"/>
    <w:rsid w:val="005F3ACE"/>
    <w:rsid w:val="00605FE2"/>
    <w:rsid w:val="006075F6"/>
    <w:rsid w:val="0061319C"/>
    <w:rsid w:val="00620886"/>
    <w:rsid w:val="0062231F"/>
    <w:rsid w:val="006223E9"/>
    <w:rsid w:val="00624E1C"/>
    <w:rsid w:val="00630613"/>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1D8A"/>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7667"/>
    <w:rsid w:val="00872B40"/>
    <w:rsid w:val="00887C2F"/>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3B6E"/>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32A9"/>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C55CC"/>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04790002">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ildingsmart.org/compliance/certifiedsoftw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uildingsmart.org/compliance/certifiedsoftw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1437</Words>
  <Characters>820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2023-07-14T06:12:00Z</dcterms:created>
  <dcterms:modified xsi:type="dcterms:W3CDTF">2023-07-14T06:12:00Z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