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077AFFDF" w14:textId="77777777" w:rsidR="00BC4D71" w:rsidRPr="002067E9" w:rsidRDefault="00136E35" w:rsidP="00BC4D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BE6">
        <w:rPr>
          <w:rFonts w:ascii="Times New Roman" w:hAnsi="Times New Roman" w:cs="Times New Roman"/>
          <w:b/>
          <w:bCs/>
          <w:color w:val="000000" w:themeColor="text1"/>
        </w:rPr>
        <w:t>“</w:t>
      </w:r>
      <w:bookmarkStart w:id="0" w:name="_Hlk213252102"/>
      <w:r w:rsidR="00BC4D71" w:rsidRPr="002067E9">
        <w:rPr>
          <w:rFonts w:ascii="Times New Roman" w:hAnsi="Times New Roman" w:cs="Times New Roman"/>
          <w:b/>
          <w:sz w:val="24"/>
          <w:szCs w:val="24"/>
        </w:rPr>
        <w:t>Energoresursu un ūdens apgādes uzskaites un monitoringa</w:t>
      </w:r>
    </w:p>
    <w:p w14:paraId="52740BCC" w14:textId="14B6C7C9" w:rsidR="002D06A7" w:rsidRPr="00D83BE6" w:rsidRDefault="00BC4D71" w:rsidP="00BC4D7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067E9">
        <w:rPr>
          <w:rFonts w:ascii="Times New Roman" w:hAnsi="Times New Roman" w:cs="Times New Roman"/>
          <w:b/>
          <w:sz w:val="24"/>
          <w:szCs w:val="24"/>
        </w:rPr>
        <w:t>sistēmas ierīkošana</w:t>
      </w:r>
      <w:bookmarkEnd w:id="0"/>
      <w:r w:rsidR="00136E35" w:rsidRPr="00D83BE6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B91B058" w14:textId="7F698063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2BD74D1" w14:textId="090FFBA6" w:rsidR="003207CC" w:rsidRPr="00D83BE6" w:rsidRDefault="001F35FD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04</w:t>
      </w:r>
      <w:r w:rsidR="0042701F"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2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524"/>
        <w:gridCol w:w="4819"/>
      </w:tblGrid>
      <w:tr w:rsidR="00DF14B7" w:rsidRPr="00AC17BB" w14:paraId="46AD6296" w14:textId="77777777" w:rsidTr="00AC17BB">
        <w:tc>
          <w:tcPr>
            <w:tcW w:w="5524" w:type="dxa"/>
            <w:shd w:val="clear" w:color="auto" w:fill="D9E2F3" w:themeFill="accent1" w:themeFillTint="33"/>
          </w:tcPr>
          <w:p w14:paraId="165FB440" w14:textId="750A754E" w:rsidR="003207CC" w:rsidRPr="00AC17BB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974657" w:rsidRPr="00AC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AC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jautājums</w:t>
            </w:r>
          </w:p>
        </w:tc>
        <w:tc>
          <w:tcPr>
            <w:tcW w:w="4819" w:type="dxa"/>
            <w:shd w:val="clear" w:color="auto" w:fill="D9E2F3" w:themeFill="accent1" w:themeFillTint="33"/>
          </w:tcPr>
          <w:p w14:paraId="7092B16C" w14:textId="29A2C72B" w:rsidR="003207CC" w:rsidRPr="00AC17BB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AC17BB" w14:paraId="7BCCE79C" w14:textId="77777777" w:rsidTr="00AC17BB">
        <w:tc>
          <w:tcPr>
            <w:tcW w:w="5524" w:type="dxa"/>
          </w:tcPr>
          <w:p w14:paraId="04ABF321" w14:textId="575B86FD" w:rsidR="003207CC" w:rsidRPr="00AC17BB" w:rsidRDefault="001F35FD" w:rsidP="00463031">
            <w:pPr>
              <w:pStyle w:val="ListParagraph"/>
              <w:numPr>
                <w:ilvl w:val="0"/>
                <w:numId w:val="9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 digitālais risinājums ir nepieciešams tā patstāvīgai un elastīgai lietošanai? Jo šis nosaka, vai būtu nepieciešama dalīšana posmos. Ja nepieciešams spējīgs (plaši un kvalitatīvi </w:t>
            </w:r>
            <w:proofErr w:type="spellStart"/>
            <w:r w:rsidRPr="00AC17BB">
              <w:rPr>
                <w:rFonts w:ascii="Times New Roman" w:eastAsia="Times New Roman" w:hAnsi="Times New Roman" w:cs="Times New Roman"/>
                <w:sz w:val="24"/>
                <w:szCs w:val="24"/>
              </w:rPr>
              <w:t>performējošs</w:t>
            </w:r>
            <w:proofErr w:type="spellEnd"/>
            <w:r w:rsidRPr="00AC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digitālais rīks, tad mēs labprāt to piedāvātu, taču labā prakse būtu vispirms izbūvēt pilnībā nokonfigurētu BMS sistēmu, piemēram, Niagara. Tātad vispirms tiek nolasīti </w:t>
            </w:r>
            <w:proofErr w:type="spellStart"/>
            <w:r w:rsidRPr="00AC17BB">
              <w:rPr>
                <w:rFonts w:ascii="Times New Roman" w:eastAsia="Times New Roman" w:hAnsi="Times New Roman" w:cs="Times New Roman"/>
                <w:sz w:val="24"/>
                <w:szCs w:val="24"/>
              </w:rPr>
              <w:t>BACnet</w:t>
            </w:r>
            <w:proofErr w:type="spellEnd"/>
            <w:r w:rsidRPr="00AC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datu punkti un tālāk notiek darbs ar šiem datiem - analītika, statusi, brīdinājumi, virtuālo datu punktu izstrāde utt.</w:t>
            </w:r>
          </w:p>
        </w:tc>
        <w:tc>
          <w:tcPr>
            <w:tcW w:w="4819" w:type="dxa"/>
          </w:tcPr>
          <w:p w14:paraId="7DDBD675" w14:textId="14FCDAC1" w:rsidR="0033216A" w:rsidRPr="00AC17BB" w:rsidRDefault="0033216A" w:rsidP="004227C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Risinājums ir nepieciešams patstāvīgai un </w:t>
            </w:r>
            <w:r w:rsidR="004E16EB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perspektīvā 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elastīgai lietošanai. </w:t>
            </w:r>
          </w:p>
          <w:p w14:paraId="0DAFAE66" w14:textId="77777777" w:rsidR="007C778B" w:rsidRPr="00AC17BB" w:rsidRDefault="007C778B" w:rsidP="007C778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4C91C45" w14:textId="2267BD62" w:rsidR="007C778B" w:rsidRPr="00AC17BB" w:rsidRDefault="00737B4A" w:rsidP="007C778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Šī iepirkuma</w:t>
            </w:r>
            <w:r w:rsidR="0033216A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mērķis ir izbūvēt mērogojamu un perspektīvā paplašināmu VAS (BMS) sistēmu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06089ED4" w14:textId="77777777" w:rsidR="007C778B" w:rsidRPr="00AC17BB" w:rsidRDefault="007C778B" w:rsidP="007C778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F9CCA46" w14:textId="5476ACD4" w:rsidR="007C778B" w:rsidRPr="00AC17BB" w:rsidRDefault="007C778B" w:rsidP="007C778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Pašreizējā </w:t>
            </w:r>
            <w:r w:rsidR="003A7971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iepirkumā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galvenais uzsvars ir uz korektu VAS (BMS) pamata slāņa izbūvi:</w:t>
            </w:r>
          </w:p>
          <w:p w14:paraId="018FFCAD" w14:textId="362A0933" w:rsidR="007C778B" w:rsidRPr="00AC17BB" w:rsidRDefault="004E16EB" w:rsidP="007C778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Divi dažādās lokācijās esoši</w:t>
            </w:r>
            <w:r w:rsidR="007C778B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objekti, tiek iekļauti vienotā VAS (BMS) sistēmā;</w:t>
            </w:r>
          </w:p>
          <w:p w14:paraId="5E8CB339" w14:textId="1C542D59" w:rsidR="00F50A48" w:rsidRPr="00AC17BB" w:rsidRDefault="00F50A48" w:rsidP="00F50A4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Stabil</w:t>
            </w:r>
            <w:r w:rsidR="00110204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datu nolasīšan</w:t>
            </w:r>
            <w:r w:rsid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 siltummezgliem,</w:t>
            </w:r>
            <w:r w:rsidR="004E16EB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telpu temperatūras sensoriem,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ventilācijas sistēmām un skaitītājiem, izmantojot vienotu datu struktūru/arhitektūru</w:t>
            </w:r>
            <w:r w:rsidR="003A7971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datu punktus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</w:t>
            </w:r>
          </w:p>
          <w:p w14:paraId="2B462996" w14:textId="34A46948" w:rsidR="002B07D8" w:rsidRPr="00AC17BB" w:rsidRDefault="002B07D8" w:rsidP="00F50A4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Datu uzkrāšana;</w:t>
            </w:r>
          </w:p>
          <w:p w14:paraId="1E2FD181" w14:textId="08FB7BD4" w:rsidR="007C778B" w:rsidRPr="00AC17BB" w:rsidRDefault="00F50A48" w:rsidP="007C778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Siltummezgliem jānodrošina arī attālinātā vadība (iespēja mainīt </w:t>
            </w:r>
            <w:proofErr w:type="spellStart"/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setpointus</w:t>
            </w:r>
            <w:proofErr w:type="spellEnd"/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temperatūras utt.);</w:t>
            </w:r>
          </w:p>
          <w:p w14:paraId="5A4B29E1" w14:textId="4BCAFCE2" w:rsidR="00110204" w:rsidRPr="00AC17BB" w:rsidRDefault="00110204" w:rsidP="007C778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Iepirkuma prasībās aprakstītā </w:t>
            </w:r>
            <w:r w:rsidR="003A7971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analītikas 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funkcionalitāte – </w:t>
            </w:r>
            <w:r w:rsidR="009202EF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iespēja redzēt esošo situāciju tiešsaistē; 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iespēja salīdzināt datus dažādos periodos, piemēram, </w:t>
            </w:r>
            <w:r w:rsidR="003A7971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patēriņa datus 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starp divu dažādu gadu konkrētiem mēnešiem; iespēja saņemt brīdinājumus par atkāpēm no definētajām vērtībām, piemēram, siltummezglā kādā no apkures lokiem samazinās temperatūra zem noteiktās vērtības vai telpas temperatūra palielinās virs noteiktās vērtības</w:t>
            </w:r>
            <w:r w:rsidR="009202EF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(sistēmas lietotājam ir jābūt iespējai definēt šos sliekšņus)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</w:t>
            </w:r>
            <w:r w:rsidR="003A7971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kā arī iespēj</w:t>
            </w:r>
            <w:r w:rsid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="003A7971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šos datus eksportēt tālākai un dziļākai analītiskai apstrādei.</w:t>
            </w:r>
          </w:p>
          <w:p w14:paraId="4AD36BB6" w14:textId="77777777" w:rsidR="00110204" w:rsidRPr="00AC17BB" w:rsidRDefault="00110204" w:rsidP="00110204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79C594FB" w14:textId="5EF10BA8" w:rsidR="004E16EB" w:rsidRPr="00AC17BB" w:rsidRDefault="004E16EB" w:rsidP="00110204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Svarīgi, lai šajā posmā izvēlētā platforma un arhitektūra neierobežotu turpmāku funkcionalitātes paplašināšanu un objektu</w:t>
            </w:r>
            <w:r w:rsidR="00B642D2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datu punktu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skaita pieaugumu, kā arī lai netiktu ierobežota </w:t>
            </w:r>
            <w:r w:rsidR="00B642D2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sistēmas paplašināšana un </w:t>
            </w:r>
            <w:r w:rsidR="00571C0F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apkalpošana</w:t>
            </w:r>
            <w:r w:rsidR="009202EF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piemēram, izmantojot</w:t>
            </w:r>
            <w:r w:rsidR="00110204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9202EF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slēgtos datu protokolus</w:t>
            </w:r>
            <w:r w:rsidR="00571C0F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 w:rsidRPr="00AC17BB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vendor</w:t>
            </w:r>
            <w:proofErr w:type="spellEnd"/>
            <w:r w:rsidRPr="00AC17BB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AC17BB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lock-in</w:t>
            </w:r>
            <w:proofErr w:type="spellEnd"/>
            <w:r w:rsidR="00571C0F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risinājum</w:t>
            </w:r>
            <w:r w:rsidR="009202EF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us</w:t>
            </w:r>
            <w:r w:rsidR="00110204"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74A2E170" w14:textId="77777777" w:rsidR="003A7971" w:rsidRPr="00AC17BB" w:rsidRDefault="003A7971" w:rsidP="004E16E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3000D3B1" w14:textId="13A049D3" w:rsidR="00737B4A" w:rsidRPr="00AC17BB" w:rsidRDefault="007C778B" w:rsidP="004E16E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Esam atvērti precizēt ieviešanas scenārijus un to robežas, lai</w:t>
            </w:r>
            <w:r w:rsid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C17BB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risinājums būtu tehniski korekts un ekonomiski pamatots.</w:t>
            </w:r>
          </w:p>
          <w:p w14:paraId="539AFC46" w14:textId="3B24F533" w:rsidR="004E16EB" w:rsidRPr="00AC17BB" w:rsidRDefault="004E16EB" w:rsidP="004E16E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64B0606" w14:textId="77777777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lastRenderedPageBreak/>
        <w:t xml:space="preserve">Atbildi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24D5"/>
    <w:multiLevelType w:val="hybridMultilevel"/>
    <w:tmpl w:val="529CB02A"/>
    <w:lvl w:ilvl="0" w:tplc="E3EED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23317"/>
    <w:multiLevelType w:val="hybridMultilevel"/>
    <w:tmpl w:val="072A1E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A3E71"/>
    <w:multiLevelType w:val="hybridMultilevel"/>
    <w:tmpl w:val="A8E4AC20"/>
    <w:lvl w:ilvl="0" w:tplc="0B6A41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10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17189057">
    <w:abstractNumId w:val="8"/>
  </w:num>
  <w:num w:numId="10" w16cid:durableId="8520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3626210">
    <w:abstractNumId w:val="9"/>
  </w:num>
  <w:num w:numId="12" w16cid:durableId="1066806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10204"/>
    <w:rsid w:val="00130558"/>
    <w:rsid w:val="00136E35"/>
    <w:rsid w:val="00157653"/>
    <w:rsid w:val="001A4326"/>
    <w:rsid w:val="001A7C7E"/>
    <w:rsid w:val="001F35FD"/>
    <w:rsid w:val="00212862"/>
    <w:rsid w:val="002276C3"/>
    <w:rsid w:val="00245EDE"/>
    <w:rsid w:val="0027506A"/>
    <w:rsid w:val="00283311"/>
    <w:rsid w:val="002B07D8"/>
    <w:rsid w:val="002B204E"/>
    <w:rsid w:val="002D06A7"/>
    <w:rsid w:val="003207CC"/>
    <w:rsid w:val="00330635"/>
    <w:rsid w:val="0033216A"/>
    <w:rsid w:val="00355CE5"/>
    <w:rsid w:val="00357F7B"/>
    <w:rsid w:val="003717A2"/>
    <w:rsid w:val="00380085"/>
    <w:rsid w:val="003A63D5"/>
    <w:rsid w:val="003A7971"/>
    <w:rsid w:val="003B2A57"/>
    <w:rsid w:val="003E03AA"/>
    <w:rsid w:val="003E7D18"/>
    <w:rsid w:val="004227CF"/>
    <w:rsid w:val="0042701F"/>
    <w:rsid w:val="00430362"/>
    <w:rsid w:val="00454127"/>
    <w:rsid w:val="00463031"/>
    <w:rsid w:val="004838CB"/>
    <w:rsid w:val="004C727E"/>
    <w:rsid w:val="004D2C9B"/>
    <w:rsid w:val="004D72A9"/>
    <w:rsid w:val="004E16EB"/>
    <w:rsid w:val="005105A7"/>
    <w:rsid w:val="00571C0F"/>
    <w:rsid w:val="00573477"/>
    <w:rsid w:val="00575D21"/>
    <w:rsid w:val="00584E22"/>
    <w:rsid w:val="005A5A3A"/>
    <w:rsid w:val="005B09BB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37B4A"/>
    <w:rsid w:val="00754E1B"/>
    <w:rsid w:val="00782519"/>
    <w:rsid w:val="00784DC5"/>
    <w:rsid w:val="007B65A4"/>
    <w:rsid w:val="007C778B"/>
    <w:rsid w:val="007D636E"/>
    <w:rsid w:val="007E1F63"/>
    <w:rsid w:val="00902692"/>
    <w:rsid w:val="009202EF"/>
    <w:rsid w:val="009245C8"/>
    <w:rsid w:val="00963DF2"/>
    <w:rsid w:val="00974657"/>
    <w:rsid w:val="00981707"/>
    <w:rsid w:val="009A1C3D"/>
    <w:rsid w:val="009E50FC"/>
    <w:rsid w:val="009F0496"/>
    <w:rsid w:val="00A06452"/>
    <w:rsid w:val="00A23876"/>
    <w:rsid w:val="00AA376E"/>
    <w:rsid w:val="00AC17BB"/>
    <w:rsid w:val="00AD36E6"/>
    <w:rsid w:val="00AE2B91"/>
    <w:rsid w:val="00B642D2"/>
    <w:rsid w:val="00B80FBE"/>
    <w:rsid w:val="00BC08B3"/>
    <w:rsid w:val="00BC2DB7"/>
    <w:rsid w:val="00BC4D71"/>
    <w:rsid w:val="00BD3153"/>
    <w:rsid w:val="00C92AAC"/>
    <w:rsid w:val="00C94DC4"/>
    <w:rsid w:val="00CA5892"/>
    <w:rsid w:val="00CE59DF"/>
    <w:rsid w:val="00D16F74"/>
    <w:rsid w:val="00D83BE6"/>
    <w:rsid w:val="00DA6508"/>
    <w:rsid w:val="00DD17AA"/>
    <w:rsid w:val="00DF14B7"/>
    <w:rsid w:val="00E13995"/>
    <w:rsid w:val="00E257BF"/>
    <w:rsid w:val="00E37F19"/>
    <w:rsid w:val="00E93A59"/>
    <w:rsid w:val="00E961C1"/>
    <w:rsid w:val="00EC3CB0"/>
    <w:rsid w:val="00EE5615"/>
    <w:rsid w:val="00EF7D30"/>
    <w:rsid w:val="00F02C71"/>
    <w:rsid w:val="00F157A5"/>
    <w:rsid w:val="00F35419"/>
    <w:rsid w:val="00F50A48"/>
    <w:rsid w:val="00F8182F"/>
    <w:rsid w:val="00F828FF"/>
    <w:rsid w:val="00F94201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3</cp:revision>
  <dcterms:created xsi:type="dcterms:W3CDTF">2026-02-04T08:46:00Z</dcterms:created>
  <dcterms:modified xsi:type="dcterms:W3CDTF">2026-02-04T08:53:00Z</dcterms:modified>
</cp:coreProperties>
</file>