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5A6FEB" w:rsidRDefault="001A7C7E" w:rsidP="000A297B">
      <w:pPr>
        <w:jc w:val="center"/>
        <w:rPr>
          <w:b/>
          <w:bCs/>
          <w:lang w:val="lv-LV"/>
        </w:rPr>
      </w:pPr>
      <w:r w:rsidRPr="005A6FEB">
        <w:rPr>
          <w:b/>
          <w:bCs/>
          <w:lang w:val="lv-LV"/>
        </w:rPr>
        <w:t>T</w:t>
      </w:r>
      <w:r w:rsidR="003207CC" w:rsidRPr="005A6FEB">
        <w:rPr>
          <w:b/>
          <w:bCs/>
          <w:lang w:val="lv-LV"/>
        </w:rPr>
        <w:t>irgus izpēt</w:t>
      </w:r>
      <w:r w:rsidRPr="005A6FEB">
        <w:rPr>
          <w:b/>
          <w:bCs/>
          <w:lang w:val="lv-LV"/>
        </w:rPr>
        <w:t>e</w:t>
      </w:r>
    </w:p>
    <w:p w14:paraId="52740BCC" w14:textId="674F3BDD" w:rsidR="002D06A7" w:rsidRPr="005A6FEB" w:rsidRDefault="00136E35" w:rsidP="00B34657">
      <w:pPr>
        <w:jc w:val="center"/>
        <w:rPr>
          <w:b/>
          <w:bCs/>
          <w:lang w:val="lv-LV"/>
        </w:rPr>
      </w:pPr>
      <w:r w:rsidRPr="005A6FEB">
        <w:rPr>
          <w:b/>
          <w:bCs/>
          <w:color w:val="000000" w:themeColor="text1"/>
          <w:lang w:val="lv-LV"/>
        </w:rPr>
        <w:t>“</w:t>
      </w:r>
      <w:r w:rsidR="00B34657" w:rsidRPr="005A6FEB">
        <w:rPr>
          <w:b/>
          <w:bCs/>
          <w:lang w:val="lv-LV"/>
        </w:rPr>
        <w:t>Tramvaju sliežu divasmeņu pārmiju, krusteņu un krustojumu piegāde</w:t>
      </w:r>
      <w:r w:rsidRPr="005A6FEB">
        <w:rPr>
          <w:b/>
          <w:bCs/>
          <w:color w:val="000000" w:themeColor="text1"/>
          <w:lang w:val="lv-LV"/>
        </w:rPr>
        <w:t>”</w:t>
      </w:r>
    </w:p>
    <w:p w14:paraId="5B91B058" w14:textId="7F698063" w:rsidR="001A7C7E" w:rsidRPr="005A6FEB" w:rsidRDefault="001A7C7E" w:rsidP="00A23876">
      <w:pPr>
        <w:jc w:val="center"/>
        <w:rPr>
          <w:lang w:val="lv-LV"/>
        </w:rPr>
      </w:pPr>
      <w:r w:rsidRPr="005A6FEB">
        <w:rPr>
          <w:lang w:val="lv-LV"/>
        </w:rPr>
        <w:t>Jautājumi un atbildes</w:t>
      </w:r>
    </w:p>
    <w:p w14:paraId="12BD74D1" w14:textId="75D6224B" w:rsidR="003207CC" w:rsidRPr="005A6FEB" w:rsidRDefault="00CD56D2" w:rsidP="000A297B">
      <w:pPr>
        <w:rPr>
          <w:i/>
          <w:iCs/>
          <w:lang w:val="lv-LV"/>
        </w:rPr>
      </w:pPr>
      <w:r w:rsidRPr="005A6FEB">
        <w:rPr>
          <w:i/>
          <w:iCs/>
          <w:lang w:val="lv-LV"/>
        </w:rPr>
        <w:t>1</w:t>
      </w:r>
      <w:r w:rsidR="009A4368">
        <w:rPr>
          <w:i/>
          <w:iCs/>
          <w:lang w:val="lv-LV"/>
        </w:rPr>
        <w:t>9</w:t>
      </w:r>
      <w:r w:rsidR="0042701F" w:rsidRPr="005A6FEB">
        <w:rPr>
          <w:i/>
          <w:iCs/>
          <w:lang w:val="lv-LV"/>
        </w:rPr>
        <w:t>.0</w:t>
      </w:r>
      <w:r w:rsidR="009A1C3D" w:rsidRPr="005A6FEB">
        <w:rPr>
          <w:i/>
          <w:iCs/>
          <w:lang w:val="lv-LV"/>
        </w:rPr>
        <w:t>1</w:t>
      </w:r>
      <w:r w:rsidR="0042701F" w:rsidRPr="005A6FEB">
        <w:rPr>
          <w:i/>
          <w:iCs/>
          <w:lang w:val="lv-LV"/>
        </w:rPr>
        <w:t>.202</w:t>
      </w:r>
      <w:r w:rsidR="009A1C3D" w:rsidRPr="005A6FEB">
        <w:rPr>
          <w:i/>
          <w:iCs/>
          <w:lang w:val="lv-LV"/>
        </w:rPr>
        <w:t>6</w:t>
      </w:r>
      <w:r w:rsidR="0042701F" w:rsidRPr="005A6FEB">
        <w:rPr>
          <w:i/>
          <w:iCs/>
          <w:lang w:val="lv-LV"/>
        </w:rPr>
        <w:t>.</w:t>
      </w:r>
    </w:p>
    <w:p w14:paraId="5FD6C41E" w14:textId="6E9B17B4" w:rsidR="00AA376E" w:rsidRPr="005A6FEB" w:rsidRDefault="00AA376E" w:rsidP="000A297B">
      <w:pPr>
        <w:rPr>
          <w:i/>
          <w:iCs/>
          <w:lang w:val="lv-LV"/>
        </w:rPr>
      </w:pPr>
    </w:p>
    <w:tbl>
      <w:tblPr>
        <w:tblStyle w:val="TableGrid"/>
        <w:tblW w:w="10343" w:type="dxa"/>
        <w:tblLook w:val="04A0" w:firstRow="1" w:lastRow="0" w:firstColumn="1" w:lastColumn="0" w:noHBand="0" w:noVBand="1"/>
      </w:tblPr>
      <w:tblGrid>
        <w:gridCol w:w="5382"/>
        <w:gridCol w:w="4961"/>
      </w:tblGrid>
      <w:tr w:rsidR="00DF14B7" w:rsidRPr="005A6FEB" w14:paraId="46AD6296" w14:textId="77777777" w:rsidTr="00CD2E41">
        <w:tc>
          <w:tcPr>
            <w:tcW w:w="5382" w:type="dxa"/>
            <w:shd w:val="clear" w:color="auto" w:fill="D9E2F3" w:themeFill="accent1" w:themeFillTint="33"/>
          </w:tcPr>
          <w:p w14:paraId="165FB440" w14:textId="4C5ED984" w:rsidR="003207CC" w:rsidRPr="005A6FEB" w:rsidRDefault="00974657" w:rsidP="000A297B">
            <w:pPr>
              <w:jc w:val="center"/>
              <w:rPr>
                <w:b/>
                <w:bCs/>
                <w:lang w:val="lv-LV"/>
              </w:rPr>
            </w:pPr>
            <w:r w:rsidRPr="005A6FEB">
              <w:rPr>
                <w:b/>
                <w:bCs/>
                <w:lang w:val="lv-LV"/>
              </w:rPr>
              <w:t>Piegādātāja</w:t>
            </w:r>
            <w:r w:rsidR="003207CC" w:rsidRPr="005A6FEB">
              <w:rPr>
                <w:b/>
                <w:bCs/>
                <w:lang w:val="lv-LV"/>
              </w:rPr>
              <w:t xml:space="preserve"> jautājum</w:t>
            </w:r>
            <w:r w:rsidR="00885FB2" w:rsidRPr="005A6FEB">
              <w:rPr>
                <w:b/>
                <w:bCs/>
                <w:lang w:val="lv-LV"/>
              </w:rPr>
              <w:t>s</w:t>
            </w:r>
          </w:p>
        </w:tc>
        <w:tc>
          <w:tcPr>
            <w:tcW w:w="4961" w:type="dxa"/>
            <w:shd w:val="clear" w:color="auto" w:fill="D9E2F3" w:themeFill="accent1" w:themeFillTint="33"/>
          </w:tcPr>
          <w:p w14:paraId="7092B16C" w14:textId="77138478" w:rsidR="003207CC" w:rsidRPr="005A6FEB" w:rsidRDefault="003207CC" w:rsidP="000A297B">
            <w:pPr>
              <w:jc w:val="center"/>
              <w:rPr>
                <w:b/>
                <w:bCs/>
                <w:lang w:val="lv-LV"/>
              </w:rPr>
            </w:pPr>
            <w:r w:rsidRPr="005A6FEB">
              <w:rPr>
                <w:b/>
                <w:bCs/>
                <w:lang w:val="lv-LV"/>
              </w:rPr>
              <w:t>Pasūtītāja atbilde</w:t>
            </w:r>
          </w:p>
        </w:tc>
      </w:tr>
      <w:tr w:rsidR="00DF14B7" w:rsidRPr="00444367" w14:paraId="7BCCE79C" w14:textId="77777777" w:rsidTr="00885FB2">
        <w:trPr>
          <w:trHeight w:val="1692"/>
        </w:trPr>
        <w:tc>
          <w:tcPr>
            <w:tcW w:w="5382" w:type="dxa"/>
          </w:tcPr>
          <w:p w14:paraId="0F5F6B5A" w14:textId="53C7947A" w:rsidR="00885FB2" w:rsidRPr="00444367" w:rsidRDefault="00885FB2" w:rsidP="00286BFE">
            <w:pPr>
              <w:pStyle w:val="ListParagraph"/>
              <w:numPr>
                <w:ilvl w:val="0"/>
                <w:numId w:val="22"/>
              </w:numPr>
              <w:ind w:left="30" w:firstLine="0"/>
              <w:jc w:val="both"/>
              <w:rPr>
                <w:lang w:val="lv-LV"/>
              </w:rPr>
            </w:pPr>
            <w:r w:rsidRPr="00444367">
              <w:rPr>
                <w:lang w:val="lv-LV"/>
              </w:rPr>
              <w:t xml:space="preserve">Tehniskās specifikācijas 2. pielikumā sadaļā </w:t>
            </w:r>
            <w:r w:rsidRPr="00444367">
              <w:rPr>
                <w:i/>
                <w:iCs/>
                <w:lang w:val="lv-LV"/>
              </w:rPr>
              <w:t>“</w:t>
            </w:r>
            <w:proofErr w:type="spellStart"/>
            <w:r w:rsidRPr="00444367">
              <w:rPr>
                <w:i/>
                <w:iCs/>
                <w:lang w:val="lv-LV"/>
              </w:rPr>
              <w:t>Kiberdrošības</w:t>
            </w:r>
            <w:proofErr w:type="spellEnd"/>
            <w:r w:rsidRPr="00444367">
              <w:rPr>
                <w:i/>
                <w:iCs/>
                <w:lang w:val="lv-LV"/>
              </w:rPr>
              <w:t xml:space="preserve"> un datu aizsardzības prasības”</w:t>
            </w:r>
            <w:r w:rsidRPr="00444367">
              <w:rPr>
                <w:lang w:val="lv-LV"/>
              </w:rPr>
              <w:t xml:space="preserve"> ir noteikts, ka pārmiju vadības sistēmai jāatbilst A klases informācijas sistēmas drošības prasībām, kā noteikts Ministru kabineta 2015. gada 28. jūlija noteikumos Nr. 397</w:t>
            </w:r>
            <w:r w:rsidRPr="00444367">
              <w:rPr>
                <w:i/>
                <w:iCs/>
                <w:lang w:val="lv-LV"/>
              </w:rPr>
              <w:t xml:space="preserve">“Informācijas sistēmu drošības </w:t>
            </w:r>
            <w:proofErr w:type="spellStart"/>
            <w:r w:rsidRPr="00444367">
              <w:rPr>
                <w:i/>
                <w:iCs/>
                <w:lang w:val="lv-LV"/>
              </w:rPr>
              <w:t>noteikumi”</w:t>
            </w:r>
            <w:r w:rsidRPr="00444367">
              <w:rPr>
                <w:lang w:val="lv-LV"/>
              </w:rPr>
              <w:t>.Saskaņā</w:t>
            </w:r>
            <w:proofErr w:type="spellEnd"/>
            <w:r w:rsidRPr="00444367">
              <w:rPr>
                <w:lang w:val="lv-LV"/>
              </w:rPr>
              <w:t xml:space="preserve"> ar minēto noteikumu 5. pielikumu </w:t>
            </w:r>
            <w:r w:rsidRPr="00444367">
              <w:rPr>
                <w:i/>
                <w:iCs/>
                <w:lang w:val="lv-LV"/>
              </w:rPr>
              <w:t>“Metodika informācijas sistēmas konfidencialitātes,   integritātes un pieejamības drošības klases noteikšanai”</w:t>
            </w:r>
            <w:r w:rsidRPr="00444367">
              <w:rPr>
                <w:lang w:val="lv-LV"/>
              </w:rPr>
              <w:t>, A drošības klase piemērojama tikai     gadījumos, ja izpildās vismaz viens no šādiem kritērijiem:</w:t>
            </w:r>
          </w:p>
          <w:p w14:paraId="5AA61983" w14:textId="77777777" w:rsidR="00885FB2" w:rsidRPr="005A6FEB" w:rsidRDefault="00885FB2" w:rsidP="00444367">
            <w:pPr>
              <w:numPr>
                <w:ilvl w:val="0"/>
                <w:numId w:val="12"/>
              </w:numPr>
              <w:tabs>
                <w:tab w:val="clear" w:pos="720"/>
              </w:tabs>
              <w:ind w:left="314" w:hanging="284"/>
              <w:jc w:val="both"/>
              <w:rPr>
                <w:lang w:val="lv-LV"/>
              </w:rPr>
            </w:pPr>
            <w:r w:rsidRPr="005A6FEB">
              <w:rPr>
                <w:lang w:val="lv-LV"/>
              </w:rPr>
              <w:t>informācijas resurss satur vismaz 1 000 000 datu subjektu personas datus;</w:t>
            </w:r>
          </w:p>
          <w:p w14:paraId="312D8ACF" w14:textId="77777777" w:rsidR="00885FB2" w:rsidRPr="005A6FEB" w:rsidRDefault="00885FB2" w:rsidP="00444367">
            <w:pPr>
              <w:numPr>
                <w:ilvl w:val="0"/>
                <w:numId w:val="12"/>
              </w:numPr>
              <w:tabs>
                <w:tab w:val="clear" w:pos="720"/>
              </w:tabs>
              <w:ind w:left="314" w:hanging="284"/>
              <w:jc w:val="both"/>
              <w:rPr>
                <w:lang w:val="lv-LV"/>
              </w:rPr>
            </w:pPr>
            <w:r w:rsidRPr="005A6FEB">
              <w:rPr>
                <w:lang w:val="lv-LV"/>
              </w:rPr>
              <w:t>informācijas resurss satur vismaz 500 000 datu subjektu īpašu kategoriju personas datus;</w:t>
            </w:r>
          </w:p>
          <w:p w14:paraId="3B330755" w14:textId="77777777" w:rsidR="00885FB2" w:rsidRPr="005A6FEB" w:rsidRDefault="00885FB2" w:rsidP="00444367">
            <w:pPr>
              <w:numPr>
                <w:ilvl w:val="0"/>
                <w:numId w:val="12"/>
              </w:numPr>
              <w:tabs>
                <w:tab w:val="clear" w:pos="720"/>
              </w:tabs>
              <w:ind w:left="314" w:hanging="284"/>
              <w:jc w:val="both"/>
              <w:rPr>
                <w:lang w:val="lv-LV"/>
              </w:rPr>
            </w:pPr>
            <w:r w:rsidRPr="005A6FEB">
              <w:rPr>
                <w:lang w:val="lv-LV"/>
              </w:rPr>
              <w:t>informācijas resurss satur informāciju, kuras neatļauta izpaušana vai noplūde varētu būtiski kaitēt valsts vai nacionālās drošības interesēm.</w:t>
            </w:r>
          </w:p>
          <w:p w14:paraId="7D8CADC6" w14:textId="77777777" w:rsidR="00885FB2" w:rsidRPr="005A6FEB" w:rsidRDefault="00885FB2" w:rsidP="00444367">
            <w:pPr>
              <w:ind w:left="27" w:hanging="27"/>
              <w:jc w:val="both"/>
              <w:rPr>
                <w:lang w:val="lv-LV"/>
              </w:rPr>
            </w:pPr>
            <w:r w:rsidRPr="005A6FEB">
              <w:rPr>
                <w:lang w:val="lv-LV"/>
              </w:rPr>
              <w:t xml:space="preserve">Vienlaikus Tehniskās specifikācijas 1. pielikuma 4. punktā ir noteikts, ka </w:t>
            </w:r>
            <w:r w:rsidRPr="005A6FEB">
              <w:rPr>
                <w:lang w:val="lv-LV" w:eastAsia="lv-LV"/>
              </w:rPr>
              <w:t xml:space="preserve">tālvadības sistēmā </w:t>
            </w:r>
            <w:proofErr w:type="spellStart"/>
            <w:r w:rsidRPr="005A6FEB">
              <w:rPr>
                <w:lang w:val="lv-LV" w:eastAsia="lv-LV"/>
              </w:rPr>
              <w:t>kontrolleram</w:t>
            </w:r>
            <w:proofErr w:type="spellEnd"/>
            <w:r w:rsidRPr="005A6FEB">
              <w:rPr>
                <w:lang w:val="lv-LV" w:eastAsia="lv-LV"/>
              </w:rPr>
              <w:t xml:space="preserve"> jāspēj attēlot informācija par apsildes elementu </w:t>
            </w:r>
            <w:r w:rsidRPr="005A6FEB">
              <w:rPr>
                <w:lang w:val="lv-LV"/>
              </w:rPr>
              <w:t xml:space="preserve">stāvokli, sliežu un gaisvadu pārmiju asmeņu stāvokli, luksoforu darbību, manuālas pārslēgšanas gadījumiem, bojājumiem un citu dispečeram būtisku tehnisko informāciju. No iepirkuma dokumentācijas satura neizriet, ka pārmiju vadības sistēmā tiktu apstrādāti personas dati minētajā apjomā vai īpašu kategoriju personas dati, kā arī nav sniegts pamatojums tam, ka šajā sistēmā apstrādātā tehniskā informācija būtu kvalificējama kā tāda, kuras neatļauta izpaušana apdraudētu nacionālās drošības intereses Ministru kabineta noteikumu Nr. 397 izpratnē. </w:t>
            </w:r>
          </w:p>
          <w:p w14:paraId="47F1AC8F" w14:textId="77777777" w:rsidR="00885FB2" w:rsidRPr="005A6FEB" w:rsidRDefault="00885FB2" w:rsidP="00444367">
            <w:pPr>
              <w:ind w:left="27" w:firstLine="3"/>
              <w:jc w:val="both"/>
              <w:rPr>
                <w:lang w:val="lv-LV"/>
              </w:rPr>
            </w:pPr>
            <w:r w:rsidRPr="005A6FEB">
              <w:rPr>
                <w:lang w:val="lv-LV"/>
              </w:rPr>
              <w:t>Informējam, ka mūsu, kā pretendenta piedāvātā tehnoloģija atbilst SIL3 drošības līmenim, tāpēc ar drošību funkcijas “ ir no “ārpuses” neaizsniedzamas. Attālinātas pieslēgšanās funkcionalitāte ļauj lietotājam datus tikai ievākt, bet parametru maiņu kontrollerī vai jebkādas citas manipulācijas ar iekārtām pilnvarots personāls var veikt tikai fiziski atrodoties objektā un manuāli mijiedarbojoties ar vadības iekārtu.</w:t>
            </w:r>
          </w:p>
          <w:p w14:paraId="022C16CC" w14:textId="77777777" w:rsidR="00885FB2" w:rsidRPr="005A6FEB" w:rsidRDefault="00885FB2" w:rsidP="00444367">
            <w:pPr>
              <w:ind w:left="27" w:firstLine="3"/>
              <w:jc w:val="both"/>
              <w:rPr>
                <w:lang w:val="lv-LV"/>
              </w:rPr>
            </w:pPr>
            <w:r w:rsidRPr="005A6FEB">
              <w:rPr>
                <w:lang w:val="lv-LV"/>
              </w:rPr>
              <w:t xml:space="preserve">Pretendentam nav pieejama informācija par Nacionālās drošības kritiskās infrastruktūras objektu sarakstu, līdz ar to Pretendents objektīvi nevar izvērtēt, vai un kādā apjomā tramvaju pārmijas būtu klasificējamas kā kritiskā infrastruktūra un vai </w:t>
            </w:r>
            <w:r w:rsidRPr="005A6FEB">
              <w:rPr>
                <w:lang w:val="lv-LV"/>
              </w:rPr>
              <w:lastRenderedPageBreak/>
              <w:t xml:space="preserve">konkrētajā iepirkumā paredzētā informācijas apstrāde atbilst A drošības klases piemērošanas kritērijiem. Ņemot vērā iepriekš minēto, secināms, ka Tehniskās specifikācijas 1. pielikumā paredzētais sistēmas funkcionalitātes saturs neatbilst Ministru kabineta noteikumu Nr. 397 noteiktajai A drošības klases metodikai.   </w:t>
            </w:r>
          </w:p>
          <w:p w14:paraId="04ABF321" w14:textId="686F2891" w:rsidR="003207CC" w:rsidRPr="005A6FEB" w:rsidRDefault="00885FB2" w:rsidP="00444367">
            <w:pPr>
              <w:rPr>
                <w:lang w:val="lv-LV"/>
              </w:rPr>
            </w:pPr>
            <w:r w:rsidRPr="005A6FEB">
              <w:rPr>
                <w:lang w:val="lv-LV"/>
              </w:rPr>
              <w:t xml:space="preserve">Pamatojoties uz minēto, lūdzam svītrot Tehniskās specifikācijas 2. pielikumā noteiktās prasības par </w:t>
            </w:r>
            <w:proofErr w:type="spellStart"/>
            <w:r w:rsidRPr="005A6FEB">
              <w:rPr>
                <w:lang w:val="lv-LV"/>
              </w:rPr>
              <w:t>kiberdrošību</w:t>
            </w:r>
            <w:proofErr w:type="spellEnd"/>
            <w:r w:rsidRPr="005A6FEB">
              <w:rPr>
                <w:lang w:val="lv-LV"/>
              </w:rPr>
              <w:t xml:space="preserve">, kā nesamērīgas un neatbilstošas normatīvo aktu regulējumam. </w:t>
            </w:r>
          </w:p>
        </w:tc>
        <w:tc>
          <w:tcPr>
            <w:tcW w:w="4961" w:type="dxa"/>
          </w:tcPr>
          <w:p w14:paraId="6631F7F6" w14:textId="56129441" w:rsidR="00AD6CB1" w:rsidRPr="005A6FEB" w:rsidRDefault="00AD6CB1" w:rsidP="00444367">
            <w:pPr>
              <w:ind w:left="27" w:hanging="27"/>
              <w:jc w:val="both"/>
              <w:rPr>
                <w:lang w:val="lv-LV"/>
              </w:rPr>
            </w:pPr>
            <w:r w:rsidRPr="00444367">
              <w:rPr>
                <w:b/>
                <w:bCs/>
                <w:lang w:val="lv-LV"/>
              </w:rPr>
              <w:lastRenderedPageBreak/>
              <w:t>A drošības klase</w:t>
            </w:r>
            <w:r w:rsidRPr="005A6FEB">
              <w:rPr>
                <w:lang w:val="lv-LV"/>
              </w:rPr>
              <w:t xml:space="preserve"> šai sistēmai tiek piemērota atbilstoši MK</w:t>
            </w:r>
            <w:r w:rsidR="00444367">
              <w:rPr>
                <w:lang w:val="lv-LV"/>
              </w:rPr>
              <w:t xml:space="preserve"> Nr.</w:t>
            </w:r>
            <w:r w:rsidRPr="005A6FEB">
              <w:rPr>
                <w:lang w:val="lv-LV"/>
              </w:rPr>
              <w:t xml:space="preserve"> 397 </w:t>
            </w:r>
            <w:r w:rsidR="00444367" w:rsidRPr="00444367">
              <w:rPr>
                <w:lang w:val="lv-LV"/>
              </w:rPr>
              <w:t>“</w:t>
            </w:r>
            <w:r w:rsidR="00444367" w:rsidRPr="00444367">
              <w:rPr>
                <w:lang w:val="lv-LV"/>
              </w:rPr>
              <w:t xml:space="preserve">Minimālās </w:t>
            </w:r>
            <w:proofErr w:type="spellStart"/>
            <w:r w:rsidR="00444367" w:rsidRPr="00444367">
              <w:rPr>
                <w:lang w:val="lv-LV"/>
              </w:rPr>
              <w:t>kiberdrošības</w:t>
            </w:r>
            <w:proofErr w:type="spellEnd"/>
            <w:r w:rsidR="00444367" w:rsidRPr="00444367">
              <w:rPr>
                <w:lang w:val="lv-LV"/>
              </w:rPr>
              <w:t xml:space="preserve"> prasības</w:t>
            </w:r>
            <w:r w:rsidR="00444367" w:rsidRPr="00444367">
              <w:rPr>
                <w:lang w:val="lv-LV"/>
              </w:rPr>
              <w:t>”</w:t>
            </w:r>
            <w:r w:rsidR="00444367">
              <w:rPr>
                <w:lang w:val="lv-LV"/>
              </w:rPr>
              <w:t xml:space="preserve"> (turpmāk-Noteikumi)</w:t>
            </w:r>
            <w:r w:rsidR="00444367">
              <w:rPr>
                <w:b/>
                <w:bCs/>
                <w:lang w:val="lv-LV"/>
              </w:rPr>
              <w:t xml:space="preserve"> </w:t>
            </w:r>
            <w:r w:rsidRPr="005A6FEB">
              <w:rPr>
                <w:lang w:val="lv-LV"/>
              </w:rPr>
              <w:t>5. pielikuma 3. kritērijam – proti, sistēmā apstrādātās informācijas neatļauta izpaušana, bojāšana vai manipulācija var būtiski ietekmēt nacionālās drošības intereses.</w:t>
            </w:r>
          </w:p>
          <w:p w14:paraId="2602731B" w14:textId="77777777" w:rsidR="00AD6CB1" w:rsidRPr="005A6FEB" w:rsidRDefault="00AD6CB1" w:rsidP="00444367">
            <w:pPr>
              <w:ind w:left="27" w:firstLine="5"/>
              <w:jc w:val="both"/>
              <w:rPr>
                <w:lang w:val="lv-LV"/>
              </w:rPr>
            </w:pPr>
            <w:r w:rsidRPr="005A6FEB">
              <w:rPr>
                <w:lang w:val="lv-LV"/>
              </w:rPr>
              <w:t>Pārmiju vadības sistēma:</w:t>
            </w:r>
          </w:p>
          <w:p w14:paraId="55C3C64A" w14:textId="77777777" w:rsidR="00444367" w:rsidRDefault="00AD6CB1" w:rsidP="00444367">
            <w:pPr>
              <w:pStyle w:val="ListParagraph"/>
              <w:numPr>
                <w:ilvl w:val="0"/>
                <w:numId w:val="23"/>
              </w:numPr>
              <w:ind w:left="315" w:hanging="283"/>
              <w:jc w:val="both"/>
              <w:rPr>
                <w:lang w:val="lv-LV"/>
              </w:rPr>
            </w:pPr>
            <w:r w:rsidRPr="00444367">
              <w:rPr>
                <w:lang w:val="lv-LV"/>
              </w:rPr>
              <w:t>kontrolē sliežu asmeņu pārslēgšanu, luksoforu darbību, gaisvadu pārmijas un bojājumu detektēšanu;</w:t>
            </w:r>
          </w:p>
          <w:p w14:paraId="3A6C6C33" w14:textId="77777777" w:rsidR="00444367" w:rsidRDefault="00AD6CB1" w:rsidP="00444367">
            <w:pPr>
              <w:pStyle w:val="ListParagraph"/>
              <w:numPr>
                <w:ilvl w:val="0"/>
                <w:numId w:val="23"/>
              </w:numPr>
              <w:ind w:left="315" w:hanging="283"/>
              <w:jc w:val="both"/>
              <w:rPr>
                <w:lang w:val="lv-LV"/>
              </w:rPr>
            </w:pPr>
            <w:r w:rsidRPr="00444367">
              <w:rPr>
                <w:lang w:val="lv-LV"/>
              </w:rPr>
              <w:t>ir tiešā veidā saistīta ar sabiedriskā transporta kustības un pasažieru drošību;</w:t>
            </w:r>
          </w:p>
          <w:p w14:paraId="42B5A112" w14:textId="7063A98D" w:rsidR="00AD6CB1" w:rsidRPr="00444367" w:rsidRDefault="00AD6CB1" w:rsidP="00444367">
            <w:pPr>
              <w:pStyle w:val="ListParagraph"/>
              <w:numPr>
                <w:ilvl w:val="0"/>
                <w:numId w:val="23"/>
              </w:numPr>
              <w:ind w:left="315" w:hanging="283"/>
              <w:jc w:val="both"/>
              <w:rPr>
                <w:lang w:val="lv-LV"/>
              </w:rPr>
            </w:pPr>
            <w:r w:rsidRPr="00444367">
              <w:rPr>
                <w:lang w:val="lv-LV"/>
              </w:rPr>
              <w:t xml:space="preserve">tās sabotāža vai kļūdaina darbība var izraisīt: </w:t>
            </w:r>
          </w:p>
          <w:p w14:paraId="0C41B1A1" w14:textId="77777777" w:rsidR="00444367" w:rsidRDefault="00AD6CB1" w:rsidP="00444367">
            <w:pPr>
              <w:pStyle w:val="ListParagraph"/>
              <w:numPr>
                <w:ilvl w:val="0"/>
                <w:numId w:val="24"/>
              </w:numPr>
              <w:jc w:val="both"/>
              <w:rPr>
                <w:lang w:val="lv-LV"/>
              </w:rPr>
            </w:pPr>
            <w:r w:rsidRPr="00444367">
              <w:rPr>
                <w:lang w:val="lv-LV"/>
              </w:rPr>
              <w:t>avārijas, sadursmes un citus sabiedriskās drošības incidentus, t.sk. apdraudēt cilvēku dzīvību;</w:t>
            </w:r>
          </w:p>
          <w:p w14:paraId="26A90BCC" w14:textId="77777777" w:rsidR="00444367" w:rsidRDefault="00AD6CB1" w:rsidP="00444367">
            <w:pPr>
              <w:pStyle w:val="ListParagraph"/>
              <w:numPr>
                <w:ilvl w:val="0"/>
                <w:numId w:val="24"/>
              </w:numPr>
              <w:jc w:val="both"/>
              <w:rPr>
                <w:lang w:val="lv-LV"/>
              </w:rPr>
            </w:pPr>
            <w:r w:rsidRPr="00444367">
              <w:rPr>
                <w:lang w:val="lv-LV"/>
              </w:rPr>
              <w:t>ilgstošus pārvietošanās traucējumus pilsētā;</w:t>
            </w:r>
          </w:p>
          <w:p w14:paraId="355D4147" w14:textId="3CEE8D21" w:rsidR="00AD6CB1" w:rsidRPr="00444367" w:rsidRDefault="00AD6CB1" w:rsidP="00444367">
            <w:pPr>
              <w:pStyle w:val="ListParagraph"/>
              <w:numPr>
                <w:ilvl w:val="0"/>
                <w:numId w:val="24"/>
              </w:numPr>
              <w:jc w:val="both"/>
              <w:rPr>
                <w:lang w:val="lv-LV"/>
              </w:rPr>
            </w:pPr>
            <w:r w:rsidRPr="00444367">
              <w:rPr>
                <w:lang w:val="lv-LV"/>
              </w:rPr>
              <w:t>reputācijas un finanšu kaitējumu būtiskam pakalpojumu sniedzējam.</w:t>
            </w:r>
          </w:p>
          <w:p w14:paraId="559E01D4" w14:textId="153B7D04" w:rsidR="00AD6CB1" w:rsidRPr="005A6FEB" w:rsidRDefault="00AD6CB1" w:rsidP="00444367">
            <w:pPr>
              <w:ind w:left="27" w:firstLine="5"/>
              <w:jc w:val="both"/>
              <w:rPr>
                <w:lang w:val="lv-LV"/>
              </w:rPr>
            </w:pPr>
            <w:r w:rsidRPr="005A6FEB">
              <w:rPr>
                <w:lang w:val="lv-LV"/>
              </w:rPr>
              <w:t>Ņemot vērā</w:t>
            </w:r>
            <w:r w:rsidR="00444367">
              <w:rPr>
                <w:lang w:val="lv-LV"/>
              </w:rPr>
              <w:t xml:space="preserve"> to</w:t>
            </w:r>
            <w:r w:rsidRPr="005A6FEB">
              <w:rPr>
                <w:lang w:val="lv-LV"/>
              </w:rPr>
              <w:t>, ka sistēma ir</w:t>
            </w:r>
            <w:r w:rsidR="0086420B" w:rsidRPr="005A6FEB">
              <w:rPr>
                <w:lang w:val="lv-LV"/>
              </w:rPr>
              <w:t xml:space="preserve"> </w:t>
            </w:r>
            <w:r w:rsidR="00467463" w:rsidRPr="005A6FEB">
              <w:rPr>
                <w:lang w:val="lv-LV"/>
              </w:rPr>
              <w:t>komponente</w:t>
            </w:r>
            <w:r w:rsidRPr="005A6FEB">
              <w:rPr>
                <w:lang w:val="lv-LV"/>
              </w:rPr>
              <w:t>:</w:t>
            </w:r>
          </w:p>
          <w:p w14:paraId="29B91555" w14:textId="77777777" w:rsidR="00AD6CB1" w:rsidRPr="005A6FEB" w:rsidRDefault="00AD6CB1" w:rsidP="00444367">
            <w:pPr>
              <w:ind w:left="27" w:firstLine="5"/>
              <w:jc w:val="both"/>
              <w:rPr>
                <w:lang w:val="lv-LV"/>
              </w:rPr>
            </w:pPr>
            <w:r w:rsidRPr="005A6FEB">
              <w:rPr>
                <w:lang w:val="lv-LV"/>
              </w:rPr>
              <w:t>pilsētas sabiedriskā transporta infrastruktūras, un</w:t>
            </w:r>
          </w:p>
          <w:p w14:paraId="4EEC9DA6" w14:textId="1CBD2EC1" w:rsidR="00AD6CB1" w:rsidRPr="005A6FEB" w:rsidRDefault="00AD6CB1" w:rsidP="00444367">
            <w:pPr>
              <w:ind w:left="27" w:hanging="27"/>
              <w:jc w:val="both"/>
              <w:rPr>
                <w:lang w:val="lv-LV"/>
              </w:rPr>
            </w:pPr>
            <w:r w:rsidRPr="005A6FEB">
              <w:rPr>
                <w:lang w:val="lv-LV"/>
              </w:rPr>
              <w:t>mobilitātes pakalpoju</w:t>
            </w:r>
            <w:r w:rsidR="00467463" w:rsidRPr="005A6FEB">
              <w:rPr>
                <w:lang w:val="lv-LV"/>
              </w:rPr>
              <w:t>mam</w:t>
            </w:r>
            <w:r w:rsidRPr="005A6FEB">
              <w:rPr>
                <w:lang w:val="lv-LV"/>
              </w:rPr>
              <w:t>,</w:t>
            </w:r>
            <w:r w:rsidR="00444367">
              <w:rPr>
                <w:lang w:val="lv-LV"/>
              </w:rPr>
              <w:t xml:space="preserve"> </w:t>
            </w:r>
            <w:r w:rsidRPr="005A6FEB">
              <w:rPr>
                <w:lang w:val="lv-LV"/>
              </w:rPr>
              <w:t xml:space="preserve">tās drošība atbilst nacionālās drošības interešu aizsardzības kritērijam </w:t>
            </w:r>
            <w:r w:rsidR="00444367">
              <w:rPr>
                <w:lang w:val="lv-LV"/>
              </w:rPr>
              <w:t>Noteikumu</w:t>
            </w:r>
            <w:r w:rsidRPr="005A6FEB">
              <w:rPr>
                <w:lang w:val="lv-LV"/>
              </w:rPr>
              <w:t xml:space="preserve"> izpratnē, un līdz ar to </w:t>
            </w:r>
            <w:r w:rsidRPr="00444367">
              <w:rPr>
                <w:b/>
                <w:bCs/>
                <w:lang w:val="lv-LV"/>
              </w:rPr>
              <w:t>A drošības klase</w:t>
            </w:r>
            <w:r w:rsidRPr="005A6FEB">
              <w:rPr>
                <w:lang w:val="lv-LV"/>
              </w:rPr>
              <w:t xml:space="preserve"> ir pamatota un nepieciešama.</w:t>
            </w:r>
          </w:p>
          <w:p w14:paraId="539AFC46" w14:textId="6DCB74D7" w:rsidR="00A06452" w:rsidRPr="005A6FEB" w:rsidRDefault="00A06452" w:rsidP="005A6FEB">
            <w:pPr>
              <w:ind w:left="27" w:firstLine="284"/>
              <w:jc w:val="both"/>
              <w:rPr>
                <w:lang w:val="lv-LV"/>
              </w:rPr>
            </w:pPr>
          </w:p>
        </w:tc>
      </w:tr>
      <w:tr w:rsidR="00885FB2" w:rsidRPr="00444367" w14:paraId="6E3FE50B" w14:textId="77777777" w:rsidTr="00286BFE">
        <w:trPr>
          <w:trHeight w:val="2936"/>
        </w:trPr>
        <w:tc>
          <w:tcPr>
            <w:tcW w:w="5382" w:type="dxa"/>
          </w:tcPr>
          <w:p w14:paraId="4B99CC34" w14:textId="4C56BC54" w:rsidR="00885FB2" w:rsidRDefault="00885FB2" w:rsidP="00286BFE">
            <w:pPr>
              <w:pStyle w:val="ListParagraph"/>
              <w:numPr>
                <w:ilvl w:val="0"/>
                <w:numId w:val="22"/>
              </w:numPr>
              <w:ind w:left="30" w:firstLine="0"/>
              <w:jc w:val="both"/>
              <w:rPr>
                <w:lang w:val="lv-LV"/>
              </w:rPr>
            </w:pPr>
            <w:r w:rsidRPr="00286BFE">
              <w:rPr>
                <w:rStyle w:val="Emphasis"/>
                <w:lang w:val="lv-LV"/>
              </w:rPr>
              <w:t>Sadaļas “</w:t>
            </w:r>
            <w:proofErr w:type="spellStart"/>
            <w:r w:rsidRPr="00286BFE">
              <w:rPr>
                <w:rStyle w:val="Emphasis"/>
                <w:lang w:val="lv-LV"/>
              </w:rPr>
              <w:t>Kiberdrošības</w:t>
            </w:r>
            <w:proofErr w:type="spellEnd"/>
            <w:r w:rsidRPr="00286BFE">
              <w:rPr>
                <w:rStyle w:val="Emphasis"/>
                <w:lang w:val="lv-LV"/>
              </w:rPr>
              <w:t xml:space="preserve"> un datu aizsardzības prasības”</w:t>
            </w:r>
            <w:r w:rsidRPr="00286BFE">
              <w:rPr>
                <w:lang w:val="lv-LV"/>
              </w:rPr>
              <w:t xml:space="preserve">  3. punkts “</w:t>
            </w:r>
            <w:proofErr w:type="spellStart"/>
            <w:r w:rsidRPr="00286BFE">
              <w:rPr>
                <w:lang w:val="lv-LV"/>
              </w:rPr>
              <w:t>Kiberincidentu</w:t>
            </w:r>
            <w:proofErr w:type="spellEnd"/>
            <w:r w:rsidRPr="00286BFE">
              <w:rPr>
                <w:lang w:val="lv-LV"/>
              </w:rPr>
              <w:t xml:space="preserve"> pārvaldība”  paredz , ka piegādātājam nekavējoties jāinformē pasūtītājs, ja ir iespējams </w:t>
            </w:r>
            <w:proofErr w:type="spellStart"/>
            <w:r w:rsidRPr="00286BFE">
              <w:rPr>
                <w:lang w:val="lv-LV"/>
              </w:rPr>
              <w:t>kiberincidents</w:t>
            </w:r>
            <w:proofErr w:type="spellEnd"/>
            <w:r w:rsidRPr="00286BFE">
              <w:rPr>
                <w:lang w:val="lv-LV"/>
              </w:rPr>
              <w:t xml:space="preserve">. Lūdzam precizēt vai pārmiju piegādes līgumā ir jāiekļauj fiziska apsardze vai attālināti </w:t>
            </w:r>
            <w:proofErr w:type="spellStart"/>
            <w:r w:rsidRPr="00286BFE">
              <w:rPr>
                <w:lang w:val="lv-LV"/>
              </w:rPr>
              <w:t>videonovērošans</w:t>
            </w:r>
            <w:proofErr w:type="spellEnd"/>
            <w:r w:rsidRPr="00286BFE">
              <w:rPr>
                <w:lang w:val="lv-LV"/>
              </w:rPr>
              <w:t xml:space="preserve"> pakalpojumi, lai vērotu iespējamo draudus, ja iekārtas darbību var ietekmēt tikai manuāli? </w:t>
            </w:r>
          </w:p>
          <w:p w14:paraId="5F994E56" w14:textId="77777777" w:rsidR="00286BFE" w:rsidRPr="00286BFE" w:rsidRDefault="00286BFE" w:rsidP="00286BFE">
            <w:pPr>
              <w:pStyle w:val="ListParagraph"/>
              <w:ind w:left="30"/>
              <w:jc w:val="both"/>
              <w:rPr>
                <w:rStyle w:val="Emphasis"/>
                <w:i w:val="0"/>
                <w:iCs w:val="0"/>
                <w:lang w:val="lv-LV"/>
              </w:rPr>
            </w:pPr>
          </w:p>
          <w:p w14:paraId="356EBBAC" w14:textId="2A61BD24" w:rsidR="00885FB2" w:rsidRPr="005A6FEB" w:rsidRDefault="00885FB2" w:rsidP="00885FB2">
            <w:pPr>
              <w:ind w:left="27" w:firstLine="142"/>
              <w:jc w:val="both"/>
              <w:rPr>
                <w:lang w:val="lv-LV"/>
              </w:rPr>
            </w:pPr>
          </w:p>
        </w:tc>
        <w:tc>
          <w:tcPr>
            <w:tcW w:w="4961" w:type="dxa"/>
          </w:tcPr>
          <w:p w14:paraId="74229876" w14:textId="24768F4B" w:rsidR="00885FB2" w:rsidRPr="005A6FEB" w:rsidRDefault="001E3B2D" w:rsidP="00286BFE">
            <w:pPr>
              <w:ind w:left="27"/>
              <w:jc w:val="both"/>
              <w:rPr>
                <w:lang w:val="lv-LV"/>
              </w:rPr>
            </w:pPr>
            <w:r w:rsidRPr="001E3B2D">
              <w:rPr>
                <w:lang w:val="lv-LV"/>
              </w:rPr>
              <w:t>Tehniskās specifikācijas sadaļas “</w:t>
            </w:r>
            <w:proofErr w:type="spellStart"/>
            <w:r w:rsidRPr="001E3B2D">
              <w:rPr>
                <w:lang w:val="lv-LV"/>
              </w:rPr>
              <w:t>Kiberdrošības</w:t>
            </w:r>
            <w:proofErr w:type="spellEnd"/>
            <w:r w:rsidRPr="001E3B2D">
              <w:rPr>
                <w:lang w:val="lv-LV"/>
              </w:rPr>
              <w:t xml:space="preserve"> un datu aizsardzības prasības”</w:t>
            </w:r>
            <w:r w:rsidRPr="005A6FEB">
              <w:rPr>
                <w:lang w:val="lv-LV"/>
              </w:rPr>
              <w:t xml:space="preserve"> </w:t>
            </w:r>
            <w:r>
              <w:rPr>
                <w:lang w:val="lv-LV"/>
              </w:rPr>
              <w:t xml:space="preserve">3.punkts </w:t>
            </w:r>
            <w:r w:rsidR="005B1316" w:rsidRPr="005A6FEB">
              <w:rPr>
                <w:lang w:val="lv-LV"/>
              </w:rPr>
              <w:t>“</w:t>
            </w:r>
            <w:proofErr w:type="spellStart"/>
            <w:r w:rsidR="005B1316" w:rsidRPr="005A6FEB">
              <w:rPr>
                <w:lang w:val="lv-LV"/>
              </w:rPr>
              <w:t>Kiberincidentu</w:t>
            </w:r>
            <w:proofErr w:type="spellEnd"/>
            <w:r w:rsidR="005B1316" w:rsidRPr="005A6FEB">
              <w:rPr>
                <w:lang w:val="lv-LV"/>
              </w:rPr>
              <w:t xml:space="preserve"> pārvaldības” </w:t>
            </w:r>
            <w:r w:rsidR="005B1316" w:rsidRPr="005A6FEB">
              <w:rPr>
                <w:i/>
                <w:iCs/>
                <w:lang w:val="lv-LV"/>
              </w:rPr>
              <w:t>neparedz</w:t>
            </w:r>
            <w:r w:rsidR="005B1316" w:rsidRPr="005A6FEB">
              <w:rPr>
                <w:lang w:val="lv-LV"/>
              </w:rPr>
              <w:t xml:space="preserve"> fiziskās apsardzes vai videonovērošanas pakalpojumu iekļaušanu pārmiju piegādes līgumā.</w:t>
            </w:r>
            <w:r w:rsidR="00286BFE">
              <w:rPr>
                <w:lang w:val="lv-LV"/>
              </w:rPr>
              <w:t xml:space="preserve"> </w:t>
            </w:r>
            <w:r w:rsidR="005B1316" w:rsidRPr="005A6FEB">
              <w:rPr>
                <w:lang w:val="lv-LV"/>
              </w:rPr>
              <w:t xml:space="preserve">Prasība attiecas tikai uz paziņošanas pienākumu, ja piegādātājs konstatē vai pamana iespējamu </w:t>
            </w:r>
            <w:proofErr w:type="spellStart"/>
            <w:r w:rsidR="005B1316" w:rsidRPr="005A6FEB">
              <w:rPr>
                <w:lang w:val="lv-LV"/>
              </w:rPr>
              <w:t>kiberincidentu</w:t>
            </w:r>
            <w:proofErr w:type="spellEnd"/>
            <w:r w:rsidR="005B1316" w:rsidRPr="005A6FEB">
              <w:rPr>
                <w:lang w:val="lv-LV"/>
              </w:rPr>
              <w:t xml:space="preserve"> savas kompetences ietvaros (piem., programmatūras anomālijas, neatbilstības, neautorizētus piekļuves mēģinājumus).</w:t>
            </w:r>
          </w:p>
        </w:tc>
      </w:tr>
      <w:tr w:rsidR="00286BFE" w:rsidRPr="00444367" w14:paraId="1FC68BC4" w14:textId="77777777" w:rsidTr="00286BFE">
        <w:trPr>
          <w:trHeight w:val="2936"/>
        </w:trPr>
        <w:tc>
          <w:tcPr>
            <w:tcW w:w="5382" w:type="dxa"/>
          </w:tcPr>
          <w:p w14:paraId="0261BD28" w14:textId="3FCF5AC3" w:rsidR="00286BFE" w:rsidRPr="00286BFE" w:rsidRDefault="00286BFE" w:rsidP="00286BFE">
            <w:pPr>
              <w:pStyle w:val="ListParagraph"/>
              <w:numPr>
                <w:ilvl w:val="0"/>
                <w:numId w:val="22"/>
              </w:numPr>
              <w:ind w:left="30" w:firstLine="0"/>
              <w:jc w:val="both"/>
              <w:rPr>
                <w:lang w:val="lv-LV"/>
              </w:rPr>
            </w:pPr>
            <w:r w:rsidRPr="00286BFE">
              <w:rPr>
                <w:rStyle w:val="Emphasis"/>
                <w:lang w:val="lv-LV" w:eastAsia="lv-LV"/>
              </w:rPr>
              <w:t>Sadaļas “</w:t>
            </w:r>
            <w:proofErr w:type="spellStart"/>
            <w:r w:rsidRPr="00286BFE">
              <w:rPr>
                <w:rStyle w:val="Emphasis"/>
                <w:lang w:val="lv-LV" w:eastAsia="lv-LV"/>
              </w:rPr>
              <w:t>Kiberdrošības</w:t>
            </w:r>
            <w:proofErr w:type="spellEnd"/>
            <w:r w:rsidRPr="00286BFE">
              <w:rPr>
                <w:rStyle w:val="Emphasis"/>
                <w:lang w:val="lv-LV" w:eastAsia="lv-LV"/>
              </w:rPr>
              <w:t xml:space="preserve"> un datu aizsardzības prasības”</w:t>
            </w:r>
            <w:r w:rsidRPr="00286BFE">
              <w:rPr>
                <w:lang w:val="lv-LV" w:eastAsia="lv-LV"/>
              </w:rPr>
              <w:t xml:space="preserve">  </w:t>
            </w:r>
            <w:r w:rsidRPr="00286BFE">
              <w:rPr>
                <w:lang w:val="lv-LV"/>
              </w:rPr>
              <w:t xml:space="preserve">6.punktā teikts, ka piegādātājam ir jāveic ievainojamību skenēšana, aptverot vismaz OAWSP top 10 riskus. </w:t>
            </w:r>
            <w:r w:rsidRPr="00286BFE">
              <w:rPr>
                <w:lang w:val="lv-LV"/>
              </w:rPr>
              <w:br/>
              <w:t>Ņemot vērā, ka pārmiju vadības kontrolleris nodrošina tikai attālinātu stāvokļa datu nolasīšanu lasīšanas režīmā (</w:t>
            </w:r>
            <w:proofErr w:type="spellStart"/>
            <w:r w:rsidRPr="00286BFE">
              <w:rPr>
                <w:lang w:val="lv-LV"/>
              </w:rPr>
              <w:t>read-only</w:t>
            </w:r>
            <w:proofErr w:type="spellEnd"/>
            <w:r w:rsidRPr="00286BFE">
              <w:rPr>
                <w:lang w:val="lv-LV"/>
              </w:rPr>
              <w:t>) un neparedz iespēju attālināti mainīt datus vai ietekmēt pārmijas darbību, minētā iekārta neveic lietojumprogrammas funkcijas OWASP izpratnē. Līdz ar to, mūsuprāt,  OWASP vadlīniju piemērošana šādai iekārtai nav pamatota un neatbilst samērīguma principam, jo OWASP ir paredzēts sistēmām ar aktīvu datu apstrādi un attālinātu vadības funkcionalitāti.</w:t>
            </w:r>
          </w:p>
          <w:p w14:paraId="02D9C7D6" w14:textId="77777777" w:rsidR="00286BFE" w:rsidRPr="00286BFE" w:rsidRDefault="00286BFE" w:rsidP="00286BFE">
            <w:pPr>
              <w:jc w:val="both"/>
              <w:rPr>
                <w:rStyle w:val="Emphasis"/>
                <w:lang w:val="lv-LV"/>
              </w:rPr>
            </w:pPr>
          </w:p>
        </w:tc>
        <w:tc>
          <w:tcPr>
            <w:tcW w:w="4961" w:type="dxa"/>
          </w:tcPr>
          <w:p w14:paraId="1C40EEE0" w14:textId="75D46E9C" w:rsidR="00286BFE" w:rsidRPr="005A6FEB" w:rsidRDefault="00FE3CFA" w:rsidP="00286BFE">
            <w:pPr>
              <w:ind w:left="27"/>
              <w:jc w:val="both"/>
              <w:rPr>
                <w:lang w:val="lv-LV"/>
              </w:rPr>
            </w:pPr>
            <w:r w:rsidRPr="00FE3CFA">
              <w:rPr>
                <w:lang w:val="lv-LV"/>
              </w:rPr>
              <w:t>Ar šo paskaidrojam</w:t>
            </w:r>
            <w:r w:rsidRPr="00FE3CFA">
              <w:rPr>
                <w:lang w:val="lv-LV"/>
              </w:rPr>
              <w:t>, ka</w:t>
            </w:r>
            <w:r>
              <w:rPr>
                <w:b/>
                <w:bCs/>
                <w:lang w:val="lv-LV"/>
              </w:rPr>
              <w:t xml:space="preserve"> </w:t>
            </w:r>
            <w:r w:rsidR="00286BFE" w:rsidRPr="005A6FEB">
              <w:rPr>
                <w:lang w:val="lv-LV"/>
              </w:rPr>
              <w:t>OWASP Top 10 ir attiecināms uz tīmekļa lietojumprogrammām vai sistēmām ar aktīvu datu apstrādi un attālinātu komandu izpildi.</w:t>
            </w:r>
            <w:r w:rsidR="00286BFE">
              <w:rPr>
                <w:lang w:val="lv-LV"/>
              </w:rPr>
              <w:t xml:space="preserve"> </w:t>
            </w:r>
            <w:r w:rsidR="00286BFE" w:rsidRPr="005A6FEB">
              <w:rPr>
                <w:lang w:val="lv-LV"/>
              </w:rPr>
              <w:t xml:space="preserve">Ja pārmiju kontrolleris tehniski nodrošina tikai </w:t>
            </w:r>
            <w:proofErr w:type="spellStart"/>
            <w:r w:rsidR="00286BFE" w:rsidRPr="005A6FEB">
              <w:rPr>
                <w:lang w:val="lv-LV"/>
              </w:rPr>
              <w:t>read</w:t>
            </w:r>
            <w:r w:rsidR="00286BFE" w:rsidRPr="005A6FEB">
              <w:rPr>
                <w:lang w:val="lv-LV"/>
              </w:rPr>
              <w:noBreakHyphen/>
              <w:t>only</w:t>
            </w:r>
            <w:proofErr w:type="spellEnd"/>
            <w:r w:rsidR="00286BFE" w:rsidRPr="005A6FEB">
              <w:rPr>
                <w:lang w:val="lv-LV"/>
              </w:rPr>
              <w:t xml:space="preserve"> datu nolasīšanu, bez iespējas attālināti mainīt parametrus vai vadīt iekārtu, tad</w:t>
            </w:r>
            <w:r w:rsidR="00286BFE">
              <w:rPr>
                <w:lang w:val="lv-LV"/>
              </w:rPr>
              <w:t xml:space="preserve"> </w:t>
            </w:r>
            <w:r w:rsidR="00286BFE" w:rsidRPr="005A6FEB">
              <w:rPr>
                <w:lang w:val="lv-LV"/>
              </w:rPr>
              <w:t>tas nav lietojumprogrammas risinājums OWASP izpratnē</w:t>
            </w:r>
            <w:r w:rsidR="00286BFE">
              <w:rPr>
                <w:lang w:val="lv-LV"/>
              </w:rPr>
              <w:t xml:space="preserve"> </w:t>
            </w:r>
            <w:r w:rsidR="00286BFE" w:rsidRPr="005A6FEB">
              <w:rPr>
                <w:lang w:val="lv-LV"/>
              </w:rPr>
              <w:t>un OWASP Top 10 prasības šādai iekārtai nav piemērojamas.</w:t>
            </w:r>
          </w:p>
          <w:p w14:paraId="0218C75E" w14:textId="77777777" w:rsidR="00286BFE" w:rsidRPr="005A6FEB" w:rsidRDefault="00286BFE" w:rsidP="00286BFE">
            <w:pPr>
              <w:jc w:val="both"/>
              <w:rPr>
                <w:lang w:val="lv-LV"/>
              </w:rPr>
            </w:pPr>
            <w:r w:rsidRPr="005A6FEB">
              <w:rPr>
                <w:lang w:val="lv-LV"/>
              </w:rPr>
              <w:t>Prasība tiks interpretēta samērīgi — tā attiecas tikai uz tām komponentēm, kuras reāli veic lietojumprogrammu funkcijas (piem., ja sistēmā ir programmatūras modulis, kas nodrošina attālinātu interfeisu, API, tīmekļa paneli u.tml.).</w:t>
            </w:r>
          </w:p>
          <w:p w14:paraId="77D41F6D" w14:textId="77777777" w:rsidR="00286BFE" w:rsidRPr="005A6FEB" w:rsidRDefault="00286BFE" w:rsidP="00286BFE">
            <w:pPr>
              <w:ind w:left="27"/>
              <w:jc w:val="both"/>
              <w:rPr>
                <w:lang w:val="lv-LV"/>
              </w:rPr>
            </w:pPr>
          </w:p>
        </w:tc>
      </w:tr>
      <w:tr w:rsidR="00286BFE" w:rsidRPr="00444367" w14:paraId="17C4BFAD" w14:textId="77777777" w:rsidTr="00441AFC">
        <w:trPr>
          <w:trHeight w:val="983"/>
        </w:trPr>
        <w:tc>
          <w:tcPr>
            <w:tcW w:w="5382" w:type="dxa"/>
          </w:tcPr>
          <w:p w14:paraId="35928C5B" w14:textId="013BBF4C" w:rsidR="00286BFE" w:rsidRPr="00286BFE" w:rsidRDefault="00286BFE" w:rsidP="00286BFE">
            <w:pPr>
              <w:pStyle w:val="ListParagraph"/>
              <w:numPr>
                <w:ilvl w:val="0"/>
                <w:numId w:val="22"/>
              </w:numPr>
              <w:ind w:left="30" w:firstLine="0"/>
              <w:jc w:val="both"/>
              <w:rPr>
                <w:rStyle w:val="Emphasis"/>
                <w:lang w:val="lv-LV" w:eastAsia="lv-LV"/>
              </w:rPr>
            </w:pPr>
            <w:r w:rsidRPr="005A6FEB">
              <w:rPr>
                <w:rStyle w:val="Emphasis"/>
                <w:lang w:val="lv-LV" w:eastAsia="lv-LV"/>
              </w:rPr>
              <w:t>Sadaļas “</w:t>
            </w:r>
            <w:proofErr w:type="spellStart"/>
            <w:r w:rsidRPr="005A6FEB">
              <w:rPr>
                <w:rStyle w:val="Emphasis"/>
                <w:lang w:val="lv-LV" w:eastAsia="lv-LV"/>
              </w:rPr>
              <w:t>Kiberdrošības</w:t>
            </w:r>
            <w:proofErr w:type="spellEnd"/>
            <w:r w:rsidRPr="005A6FEB">
              <w:rPr>
                <w:rStyle w:val="Emphasis"/>
                <w:lang w:val="lv-LV" w:eastAsia="lv-LV"/>
              </w:rPr>
              <w:t xml:space="preserve"> un datu aizsardzības prasības”</w:t>
            </w:r>
            <w:r w:rsidRPr="005A6FEB">
              <w:rPr>
                <w:lang w:val="lv-LV" w:eastAsia="lv-LV"/>
              </w:rPr>
              <w:t xml:space="preserve">  </w:t>
            </w:r>
            <w:r w:rsidRPr="005A6FEB">
              <w:rPr>
                <w:lang w:val="lv-LV"/>
              </w:rPr>
              <w:t>9.pun</w:t>
            </w:r>
            <w:r w:rsidR="00FE3CFA">
              <w:rPr>
                <w:lang w:val="lv-LV"/>
              </w:rPr>
              <w:t>k</w:t>
            </w:r>
            <w:r w:rsidRPr="005A6FEB">
              <w:rPr>
                <w:lang w:val="lv-LV"/>
              </w:rPr>
              <w:t>tā ir teikts, ka piegādātājiem jānodrošina risinājumu uzturēšana, drošības nepilnības novēršana utt. Lūdzam definēt precīzi kādam laika periodam ir jāveic šie pasākumi un konkrēti kādi ir darba uzdevumi, kas minēti šajā punktā.</w:t>
            </w:r>
          </w:p>
        </w:tc>
        <w:tc>
          <w:tcPr>
            <w:tcW w:w="4961" w:type="dxa"/>
          </w:tcPr>
          <w:p w14:paraId="553538DB" w14:textId="10C2B2B0" w:rsidR="00286BFE" w:rsidRPr="00FE3CFA" w:rsidRDefault="00993141" w:rsidP="00FE3CFA">
            <w:pPr>
              <w:pStyle w:val="Heading2"/>
              <w:spacing w:before="0" w:beforeAutospacing="0" w:after="0" w:afterAutospacing="0"/>
              <w:ind w:left="28"/>
              <w:jc w:val="both"/>
              <w:rPr>
                <w:b w:val="0"/>
                <w:bCs w:val="0"/>
                <w:sz w:val="24"/>
                <w:szCs w:val="24"/>
                <w:lang w:val="lv-LV"/>
              </w:rPr>
            </w:pPr>
            <w:r>
              <w:rPr>
                <w:b w:val="0"/>
                <w:bCs w:val="0"/>
                <w:sz w:val="24"/>
                <w:szCs w:val="24"/>
                <w:lang w:val="lv-LV"/>
              </w:rPr>
              <w:t>Tehniskās specifikācijas s</w:t>
            </w:r>
            <w:r w:rsidR="00FE3CFA" w:rsidRPr="00FE3CFA">
              <w:rPr>
                <w:b w:val="0"/>
                <w:bCs w:val="0"/>
                <w:sz w:val="24"/>
                <w:szCs w:val="24"/>
                <w:lang w:val="lv-LV"/>
              </w:rPr>
              <w:t>adaļas “</w:t>
            </w:r>
            <w:proofErr w:type="spellStart"/>
            <w:r w:rsidR="00FE3CFA" w:rsidRPr="00FE3CFA">
              <w:rPr>
                <w:b w:val="0"/>
                <w:bCs w:val="0"/>
                <w:sz w:val="24"/>
                <w:szCs w:val="24"/>
                <w:lang w:val="lv-LV"/>
              </w:rPr>
              <w:t>Kiberdrošības</w:t>
            </w:r>
            <w:proofErr w:type="spellEnd"/>
            <w:r w:rsidR="00FE3CFA" w:rsidRPr="00FE3CFA">
              <w:rPr>
                <w:b w:val="0"/>
                <w:bCs w:val="0"/>
                <w:sz w:val="24"/>
                <w:szCs w:val="24"/>
                <w:lang w:val="lv-LV"/>
              </w:rPr>
              <w:t xml:space="preserve"> un datu aizsardzības prasības”  9.pun</w:t>
            </w:r>
            <w:r w:rsidR="00FE3CFA">
              <w:rPr>
                <w:b w:val="0"/>
                <w:bCs w:val="0"/>
                <w:sz w:val="24"/>
                <w:szCs w:val="24"/>
                <w:lang w:val="lv-LV"/>
              </w:rPr>
              <w:t>k</w:t>
            </w:r>
            <w:r w:rsidR="00FE3CFA" w:rsidRPr="00FE3CFA">
              <w:rPr>
                <w:b w:val="0"/>
                <w:bCs w:val="0"/>
                <w:sz w:val="24"/>
                <w:szCs w:val="24"/>
                <w:lang w:val="lv-LV"/>
              </w:rPr>
              <w:t xml:space="preserve">tā </w:t>
            </w:r>
            <w:r w:rsidR="00FE3CFA" w:rsidRPr="00FE3CFA">
              <w:rPr>
                <w:b w:val="0"/>
                <w:bCs w:val="0"/>
                <w:sz w:val="24"/>
                <w:szCs w:val="24"/>
                <w:lang w:val="lv-LV"/>
              </w:rPr>
              <w:t>noteikt</w:t>
            </w:r>
            <w:r w:rsidR="00FE3CFA">
              <w:rPr>
                <w:b w:val="0"/>
                <w:bCs w:val="0"/>
                <w:sz w:val="24"/>
                <w:szCs w:val="24"/>
                <w:lang w:val="lv-LV"/>
              </w:rPr>
              <w:t xml:space="preserve">ā prasība </w:t>
            </w:r>
            <w:r w:rsidR="00286BFE" w:rsidRPr="00FE3CFA">
              <w:rPr>
                <w:b w:val="0"/>
                <w:bCs w:val="0"/>
                <w:sz w:val="24"/>
                <w:szCs w:val="24"/>
                <w:lang w:val="lv-LV"/>
              </w:rPr>
              <w:t xml:space="preserve">attiecas uz līguma darbības laiku — t.i., līdz brīdim, kamēr piegādātājs nodrošina </w:t>
            </w:r>
            <w:r w:rsidR="00DD6A9C">
              <w:rPr>
                <w:b w:val="0"/>
                <w:bCs w:val="0"/>
                <w:sz w:val="24"/>
                <w:szCs w:val="24"/>
                <w:lang w:val="lv-LV"/>
              </w:rPr>
              <w:t xml:space="preserve">garantiju </w:t>
            </w:r>
            <w:r w:rsidR="00286BFE" w:rsidRPr="00FE3CFA">
              <w:rPr>
                <w:b w:val="0"/>
                <w:bCs w:val="0"/>
                <w:sz w:val="24"/>
                <w:szCs w:val="24"/>
                <w:lang w:val="lv-LV"/>
              </w:rPr>
              <w:t>piegādātā</w:t>
            </w:r>
            <w:r w:rsidR="00DD6A9C">
              <w:rPr>
                <w:b w:val="0"/>
                <w:bCs w:val="0"/>
                <w:sz w:val="24"/>
                <w:szCs w:val="24"/>
                <w:lang w:val="lv-LV"/>
              </w:rPr>
              <w:t xml:space="preserve">jai </w:t>
            </w:r>
            <w:r w:rsidR="00286BFE" w:rsidRPr="00FE3CFA">
              <w:rPr>
                <w:b w:val="0"/>
                <w:bCs w:val="0"/>
                <w:sz w:val="24"/>
                <w:szCs w:val="24"/>
                <w:lang w:val="lv-LV"/>
              </w:rPr>
              <w:t xml:space="preserve"> pārmiju vadības sistēma</w:t>
            </w:r>
            <w:r w:rsidR="00DD6A9C">
              <w:rPr>
                <w:b w:val="0"/>
                <w:bCs w:val="0"/>
                <w:sz w:val="24"/>
                <w:szCs w:val="24"/>
                <w:lang w:val="lv-LV"/>
              </w:rPr>
              <w:t>i</w:t>
            </w:r>
            <w:r w:rsidR="00286BFE" w:rsidRPr="00FE3CFA">
              <w:rPr>
                <w:b w:val="0"/>
                <w:bCs w:val="0"/>
                <w:sz w:val="24"/>
                <w:szCs w:val="24"/>
                <w:lang w:val="lv-LV"/>
              </w:rPr>
              <w:t>.</w:t>
            </w:r>
          </w:p>
          <w:p w14:paraId="75D302A5" w14:textId="77777777" w:rsidR="00286BFE" w:rsidRPr="005A6FEB" w:rsidRDefault="00286BFE" w:rsidP="00DD6A9C">
            <w:pPr>
              <w:pStyle w:val="NormalWeb"/>
              <w:spacing w:before="0" w:beforeAutospacing="0" w:after="0" w:afterAutospacing="0"/>
              <w:ind w:left="28" w:firstLine="4"/>
              <w:jc w:val="both"/>
              <w:rPr>
                <w:rFonts w:ascii="Times New Roman" w:hAnsi="Times New Roman" w:cs="Times New Roman"/>
                <w:lang w:val="lv-LV" w:eastAsia="en-US"/>
              </w:rPr>
            </w:pPr>
            <w:r w:rsidRPr="005A6FEB">
              <w:rPr>
                <w:rFonts w:ascii="Times New Roman" w:hAnsi="Times New Roman" w:cs="Times New Roman"/>
                <w:lang w:val="lv-LV" w:eastAsia="en-US"/>
              </w:rPr>
              <w:t>Konkrēti pienākumi ietver:</w:t>
            </w:r>
          </w:p>
          <w:p w14:paraId="3B197305" w14:textId="77777777" w:rsidR="00286BFE" w:rsidRPr="00FE3CFA" w:rsidRDefault="00286BFE" w:rsidP="00FE3CFA">
            <w:pPr>
              <w:pStyle w:val="ListParagraph"/>
              <w:numPr>
                <w:ilvl w:val="0"/>
                <w:numId w:val="26"/>
              </w:numPr>
              <w:ind w:left="599" w:hanging="284"/>
              <w:jc w:val="both"/>
              <w:rPr>
                <w:lang w:val="lv-LV"/>
              </w:rPr>
            </w:pPr>
            <w:r w:rsidRPr="00FE3CFA">
              <w:rPr>
                <w:lang w:val="lv-LV"/>
              </w:rPr>
              <w:t>programmatūras kļūdu un traucējumu novēršanu;</w:t>
            </w:r>
          </w:p>
          <w:p w14:paraId="38B400CA" w14:textId="77777777" w:rsidR="00FE3CFA" w:rsidRDefault="00286BFE" w:rsidP="00FE3CFA">
            <w:pPr>
              <w:numPr>
                <w:ilvl w:val="0"/>
                <w:numId w:val="21"/>
              </w:numPr>
              <w:ind w:left="599" w:hanging="287"/>
              <w:jc w:val="both"/>
              <w:rPr>
                <w:lang w:val="lv-LV"/>
              </w:rPr>
            </w:pPr>
            <w:r w:rsidRPr="005A6FEB">
              <w:rPr>
                <w:lang w:val="lv-LV"/>
              </w:rPr>
              <w:t>drošības ievainojamību labojumu (</w:t>
            </w:r>
            <w:proofErr w:type="spellStart"/>
            <w:r w:rsidRPr="005A6FEB">
              <w:rPr>
                <w:lang w:val="lv-LV"/>
              </w:rPr>
              <w:t>patch</w:t>
            </w:r>
            <w:proofErr w:type="spellEnd"/>
            <w:r w:rsidRPr="005A6FEB">
              <w:rPr>
                <w:lang w:val="lv-LV"/>
              </w:rPr>
              <w:t>) nodrošināšanu, ja tie attiecināmi uz piegādātāja atbildības jomu;</w:t>
            </w:r>
          </w:p>
          <w:p w14:paraId="1BBECDF4" w14:textId="77777777" w:rsidR="00FE3CFA" w:rsidRDefault="00286BFE" w:rsidP="00FE3CFA">
            <w:pPr>
              <w:numPr>
                <w:ilvl w:val="0"/>
                <w:numId w:val="21"/>
              </w:numPr>
              <w:ind w:left="599" w:hanging="287"/>
              <w:jc w:val="both"/>
              <w:rPr>
                <w:lang w:val="lv-LV"/>
              </w:rPr>
            </w:pPr>
            <w:r w:rsidRPr="00FE3CFA">
              <w:rPr>
                <w:lang w:val="lv-LV"/>
              </w:rPr>
              <w:t>nepieciešamo informācijas drošības uzlabojumu ieviešanu, ja tie izriet no ražotāja vai no atklātām drošības nepilnībām;</w:t>
            </w:r>
          </w:p>
          <w:p w14:paraId="256FB549" w14:textId="2B489D14" w:rsidR="00286BFE" w:rsidRPr="00FE3CFA" w:rsidRDefault="00286BFE" w:rsidP="00FE3CFA">
            <w:pPr>
              <w:numPr>
                <w:ilvl w:val="0"/>
                <w:numId w:val="21"/>
              </w:numPr>
              <w:ind w:left="599" w:hanging="287"/>
              <w:jc w:val="both"/>
              <w:rPr>
                <w:lang w:val="lv-LV"/>
              </w:rPr>
            </w:pPr>
            <w:r w:rsidRPr="00FE3CFA">
              <w:rPr>
                <w:lang w:val="lv-LV"/>
              </w:rPr>
              <w:t xml:space="preserve">tehnisku atbalstu </w:t>
            </w:r>
            <w:proofErr w:type="spellStart"/>
            <w:r w:rsidRPr="00FE3CFA">
              <w:rPr>
                <w:lang w:val="lv-LV"/>
              </w:rPr>
              <w:t>problēmsituācijās</w:t>
            </w:r>
            <w:proofErr w:type="spellEnd"/>
            <w:r w:rsidRPr="00FE3CFA">
              <w:rPr>
                <w:lang w:val="lv-LV"/>
              </w:rPr>
              <w:t>.</w:t>
            </w:r>
          </w:p>
          <w:p w14:paraId="521F59CC" w14:textId="03A82455" w:rsidR="00286BFE" w:rsidRPr="00E92985" w:rsidRDefault="00286BFE" w:rsidP="00441AFC">
            <w:pPr>
              <w:pStyle w:val="NormalWeb"/>
              <w:spacing w:before="0" w:beforeAutospacing="0" w:after="0" w:afterAutospacing="0"/>
              <w:ind w:left="28" w:firstLine="4"/>
              <w:jc w:val="both"/>
              <w:rPr>
                <w:rFonts w:ascii="Times New Roman" w:hAnsi="Times New Roman" w:cs="Times New Roman"/>
                <w:lang w:val="lv-LV" w:eastAsia="en-US"/>
              </w:rPr>
            </w:pPr>
            <w:r w:rsidRPr="005A6FEB">
              <w:rPr>
                <w:rFonts w:ascii="Times New Roman" w:hAnsi="Times New Roman" w:cs="Times New Roman"/>
                <w:lang w:val="lv-LV" w:eastAsia="en-US"/>
              </w:rPr>
              <w:lastRenderedPageBreak/>
              <w:t>Pēc līguma beigām piegādātājam nav pienākuma turpināt uzturēšanas darbu, izņemot gadījumus, ja tas tiek noteikts atsevišķā uzturēšanas līgumā.</w:t>
            </w:r>
          </w:p>
        </w:tc>
      </w:tr>
      <w:tr w:rsidR="00885FB2" w:rsidRPr="005A6FEB" w14:paraId="15F3CA16" w14:textId="77777777" w:rsidTr="00885FB2">
        <w:trPr>
          <w:trHeight w:val="1692"/>
        </w:trPr>
        <w:tc>
          <w:tcPr>
            <w:tcW w:w="5382" w:type="dxa"/>
          </w:tcPr>
          <w:p w14:paraId="1AC08FAC" w14:textId="40378FA0" w:rsidR="00885FB2" w:rsidRPr="00EF0BDC" w:rsidRDefault="00885FB2" w:rsidP="00EF0BDC">
            <w:pPr>
              <w:pStyle w:val="ListParagraph"/>
              <w:numPr>
                <w:ilvl w:val="0"/>
                <w:numId w:val="22"/>
              </w:numPr>
              <w:ind w:left="30" w:firstLine="0"/>
              <w:jc w:val="both"/>
              <w:rPr>
                <w:lang w:val="lv-LV"/>
              </w:rPr>
            </w:pPr>
            <w:r w:rsidRPr="00EF0BDC">
              <w:rPr>
                <w:lang w:val="lv-LV"/>
              </w:rPr>
              <w:lastRenderedPageBreak/>
              <w:t xml:space="preserve">Tehniskās specifikācijas 2.pielikuma 4.punkā ir teikts, ka vadības sistēmai ir jānodrošina iespēja savstarpējai datu apmaiņai/ komunikācijai ar tramvajos perspektīvi uzstādāmo sakaru sistēmu. Informējam, ka atbilstoši iepriekšējo RPSIA “Rīgas Satiksme”   pārmiju iepirkumu tehniskajām prasībām piegādāti un pārmijās iebūvēti sakaru sistēmas HCS-R  elementi. Lūdzam precizēt vai vadības sistēmas komplektācijā bez sliežu ceļā un vadības skapī iebūvējamiem elementiem  jāpiedāvā arī vagonos iebūvējamie </w:t>
            </w:r>
            <w:proofErr w:type="spellStart"/>
            <w:r w:rsidRPr="00EF0BDC">
              <w:rPr>
                <w:lang w:val="lv-LV"/>
              </w:rPr>
              <w:t>transponderi</w:t>
            </w:r>
            <w:proofErr w:type="spellEnd"/>
            <w:r w:rsidRPr="00EF0BDC">
              <w:rPr>
                <w:lang w:val="lv-LV"/>
              </w:rPr>
              <w:t>? Ja jā, tad kāds daudzums un komplektācija.</w:t>
            </w:r>
          </w:p>
          <w:p w14:paraId="69A01062" w14:textId="77777777" w:rsidR="00885FB2" w:rsidRPr="005A6FEB" w:rsidRDefault="00885FB2" w:rsidP="00885FB2">
            <w:pPr>
              <w:pStyle w:val="ListParagraph"/>
              <w:tabs>
                <w:tab w:val="left" w:pos="452"/>
              </w:tabs>
              <w:ind w:left="66"/>
              <w:contextualSpacing w:val="0"/>
              <w:rPr>
                <w:rStyle w:val="Emphasis"/>
                <w:lang w:val="lv-LV"/>
              </w:rPr>
            </w:pPr>
          </w:p>
        </w:tc>
        <w:tc>
          <w:tcPr>
            <w:tcW w:w="4961" w:type="dxa"/>
          </w:tcPr>
          <w:p w14:paraId="1A9A3BC1" w14:textId="73AD188F" w:rsidR="00E92985" w:rsidRPr="00E92985" w:rsidRDefault="00993141" w:rsidP="00E92985">
            <w:pPr>
              <w:jc w:val="both"/>
              <w:rPr>
                <w:i/>
                <w:iCs/>
                <w:lang w:val="lv-LV" w:eastAsia="lv-LV"/>
              </w:rPr>
            </w:pPr>
            <w:r>
              <w:rPr>
                <w:lang w:val="lv-LV" w:eastAsia="lv-LV"/>
              </w:rPr>
              <w:t xml:space="preserve">Tehniskās specifikācijas </w:t>
            </w:r>
            <w:r w:rsidR="00E92985" w:rsidRPr="00E92985">
              <w:rPr>
                <w:lang w:val="lv-LV" w:eastAsia="lv-LV"/>
              </w:rPr>
              <w:t xml:space="preserve">2.pielikumā ir norādīts: </w:t>
            </w:r>
            <w:r w:rsidR="00E92985" w:rsidRPr="00E92985">
              <w:rPr>
                <w:i/>
                <w:iCs/>
                <w:lang w:val="lv-LV" w:eastAsia="lv-LV"/>
              </w:rPr>
              <w:t>Vadības sistēmas komplektācijā jāiekļauj sliežu ceļā un vadības skapī iebūvējamie elementi sistēmu savstarpējai komunikācijai. Vadības sistēmai ir jāspēj analizēt un reaģēt pārmijas pārslēgšanas veidā uz vagonu pārraidītajiem pieprasījumiem sliežu pārmijas un gaisa (kontakttīkla) pārmijas pārslēgšanai gan ar vagonos iebūvēto </w:t>
            </w:r>
            <w:proofErr w:type="spellStart"/>
            <w:r w:rsidR="00E92985" w:rsidRPr="00E92985">
              <w:rPr>
                <w:i/>
                <w:iCs/>
                <w:lang w:val="lv-LV" w:eastAsia="lv-LV"/>
              </w:rPr>
              <w:t>transponderu</w:t>
            </w:r>
            <w:proofErr w:type="spellEnd"/>
            <w:r w:rsidR="00E92985" w:rsidRPr="00E92985">
              <w:rPr>
                <w:i/>
                <w:iCs/>
                <w:lang w:val="lv-LV" w:eastAsia="lv-LV"/>
              </w:rPr>
              <w:t> signāliem, gan ar </w:t>
            </w:r>
            <w:proofErr w:type="spellStart"/>
            <w:r w:rsidR="00E92985" w:rsidRPr="00E92985">
              <w:rPr>
                <w:i/>
                <w:iCs/>
                <w:lang w:val="lv-LV" w:eastAsia="lv-LV"/>
              </w:rPr>
              <w:t>amperāžas</w:t>
            </w:r>
            <w:proofErr w:type="spellEnd"/>
            <w:r w:rsidR="00E92985" w:rsidRPr="00E92985">
              <w:rPr>
                <w:i/>
                <w:iCs/>
                <w:lang w:val="lv-LV" w:eastAsia="lv-LV"/>
              </w:rPr>
              <w:t> pīķa signālu.</w:t>
            </w:r>
          </w:p>
          <w:p w14:paraId="3CA1602F" w14:textId="52940E2C" w:rsidR="00885FB2" w:rsidRPr="005A6FEB" w:rsidRDefault="00E92985" w:rsidP="00E92985">
            <w:pPr>
              <w:jc w:val="both"/>
              <w:rPr>
                <w:lang w:val="lv-LV" w:eastAsia="lv-LV"/>
              </w:rPr>
            </w:pPr>
            <w:r w:rsidRPr="00E92985">
              <w:rPr>
                <w:i/>
                <w:iCs/>
                <w:lang w:val="lv-LV" w:eastAsia="lv-LV"/>
              </w:rPr>
              <w:t xml:space="preserve"> </w:t>
            </w:r>
            <w:proofErr w:type="spellStart"/>
            <w:r w:rsidRPr="00E92985">
              <w:rPr>
                <w:lang w:val="lv-LV" w:eastAsia="lv-LV"/>
              </w:rPr>
              <w:t>Transponderi</w:t>
            </w:r>
            <w:proofErr w:type="spellEnd"/>
            <w:r w:rsidRPr="00E92985">
              <w:rPr>
                <w:lang w:val="lv-LV" w:eastAsia="lv-LV"/>
              </w:rPr>
              <w:t xml:space="preserve"> (2.komplekti) ir jāpiegādā komplektācijā, kas nodrošina to darbību testa režīmā uz tramvaja vagoniem T3; T3M un </w:t>
            </w:r>
            <w:proofErr w:type="spellStart"/>
            <w:r w:rsidRPr="00E92985">
              <w:rPr>
                <w:lang w:val="lv-LV" w:eastAsia="lv-LV"/>
              </w:rPr>
              <w:t>Škoda</w:t>
            </w:r>
            <w:proofErr w:type="spellEnd"/>
            <w:r w:rsidRPr="00E92985">
              <w:rPr>
                <w:lang w:val="lv-LV" w:eastAsia="lv-LV"/>
              </w:rPr>
              <w:t xml:space="preserve"> 15T un  komunikāciju ar pārmijas vadības sistēmu. </w:t>
            </w:r>
          </w:p>
        </w:tc>
      </w:tr>
      <w:tr w:rsidR="00E92985" w:rsidRPr="00E92985" w14:paraId="0055F68A" w14:textId="77777777" w:rsidTr="00885FB2">
        <w:trPr>
          <w:trHeight w:val="1692"/>
        </w:trPr>
        <w:tc>
          <w:tcPr>
            <w:tcW w:w="5382" w:type="dxa"/>
          </w:tcPr>
          <w:p w14:paraId="33F7BF72" w14:textId="7FA5B2C8" w:rsidR="00E92985" w:rsidRPr="005A6FEB" w:rsidRDefault="00E92985" w:rsidP="00EF0BDC">
            <w:pPr>
              <w:pStyle w:val="ListParagraph"/>
              <w:numPr>
                <w:ilvl w:val="0"/>
                <w:numId w:val="22"/>
              </w:numPr>
              <w:ind w:left="30" w:firstLine="0"/>
              <w:jc w:val="both"/>
              <w:rPr>
                <w:lang w:val="lv-LV"/>
              </w:rPr>
            </w:pPr>
            <w:r w:rsidRPr="005A6FEB">
              <w:rPr>
                <w:lang w:val="lv-LV"/>
              </w:rPr>
              <w:t xml:space="preserve">Tehniskās specifikācijas 2.pielikumā ir teikts, ka piegādātajam ir jānodrošina apmācības,   </w:t>
            </w:r>
          </w:p>
          <w:p w14:paraId="1857B9B4" w14:textId="0C2E2EAF" w:rsidR="00E92985" w:rsidRPr="005A6FEB" w:rsidRDefault="00E92985" w:rsidP="00E92985">
            <w:pPr>
              <w:ind w:left="27"/>
              <w:jc w:val="both"/>
              <w:rPr>
                <w:lang w:val="lv-LV"/>
              </w:rPr>
            </w:pPr>
            <w:r w:rsidRPr="005A6FEB">
              <w:rPr>
                <w:lang w:val="lv-LV"/>
              </w:rPr>
              <w:t>lūdzam   definēt vai ir jāiekļauj mācības pie ražotāja ražotnē vai  RPSIA “Rīgas Satiksme”  saimniecībā vai citur, kā arī cik cilvēkiem un cik bieži.  Lūdzam arī norādīt, par kuru no piegādāto   preci ir nepieciešamas apmācības.</w:t>
            </w:r>
          </w:p>
          <w:p w14:paraId="2ACA70B5" w14:textId="77777777" w:rsidR="00E92985" w:rsidRPr="005A6FEB" w:rsidRDefault="00E92985" w:rsidP="00E92985">
            <w:pPr>
              <w:pStyle w:val="ListParagraph"/>
              <w:ind w:left="27"/>
              <w:rPr>
                <w:lang w:val="lv-LV"/>
              </w:rPr>
            </w:pPr>
          </w:p>
        </w:tc>
        <w:tc>
          <w:tcPr>
            <w:tcW w:w="4961" w:type="dxa"/>
          </w:tcPr>
          <w:p w14:paraId="335288C7" w14:textId="3645BA4E" w:rsidR="00E92985" w:rsidRPr="005A6FEB" w:rsidRDefault="00993141" w:rsidP="00E92985">
            <w:pPr>
              <w:jc w:val="both"/>
              <w:rPr>
                <w:lang w:val="lv-LV" w:eastAsia="lv-LV"/>
              </w:rPr>
            </w:pPr>
            <w:r>
              <w:rPr>
                <w:lang w:val="lv-LV" w:eastAsia="lv-LV"/>
              </w:rPr>
              <w:t xml:space="preserve">Tehniskās specifikācijas </w:t>
            </w:r>
            <w:r w:rsidR="00E92985" w:rsidRPr="00E92985">
              <w:rPr>
                <w:lang w:val="lv-LV" w:eastAsia="lv-LV"/>
              </w:rPr>
              <w:t xml:space="preserve">2.pielikumā ir norādīts: </w:t>
            </w:r>
            <w:r w:rsidR="00E92985" w:rsidRPr="00E92985">
              <w:rPr>
                <w:i/>
                <w:iCs/>
                <w:lang w:val="lv-LV" w:eastAsia="lv-LV"/>
              </w:rPr>
              <w:t>30 (trīsdesmit) dienu laikā pēc Preces uzstādīšanas, Pasūtītāja uzdevumā, Piegādātājs veic 1.tipa aprīkojuma pārmiju regulēšanu/nodošanu ekspluatācijā un nodrošina apmācības Pasūtītāja apkalpojošajam personālam par pārmijas vadības iekārtu un datu iegūšanu, apstrādi, nodrošinot programmatūru.</w:t>
            </w:r>
            <w:r w:rsidR="00E92985" w:rsidRPr="00E92985">
              <w:rPr>
                <w:lang w:val="lv-LV" w:eastAsia="lv-LV"/>
              </w:rPr>
              <w:t xml:space="preserve"> Teorētiskās un praktiskās apmācības tiek organizētas vienu reizi 8-16 stundu apjomā </w:t>
            </w:r>
            <w:r w:rsidR="00E92985" w:rsidRPr="00E92985">
              <w:rPr>
                <w:lang w:val="lv-LV"/>
              </w:rPr>
              <w:t xml:space="preserve">RPSIA “Rīgas Satiksme” telpās un </w:t>
            </w:r>
            <w:proofErr w:type="spellStart"/>
            <w:r w:rsidR="00E92985" w:rsidRPr="00E92985">
              <w:rPr>
                <w:lang w:val="lv-LV"/>
              </w:rPr>
              <w:t>iebūves</w:t>
            </w:r>
            <w:proofErr w:type="spellEnd"/>
            <w:r w:rsidR="00E92985" w:rsidRPr="00E92985">
              <w:rPr>
                <w:lang w:val="lv-LV"/>
              </w:rPr>
              <w:t xml:space="preserve"> vietā (praktiskās ) līdz 8 personu grupai.</w:t>
            </w:r>
          </w:p>
        </w:tc>
      </w:tr>
      <w:tr w:rsidR="00E92985" w:rsidRPr="00F72A07" w14:paraId="108FF818" w14:textId="77777777" w:rsidTr="00885FB2">
        <w:trPr>
          <w:trHeight w:val="1692"/>
        </w:trPr>
        <w:tc>
          <w:tcPr>
            <w:tcW w:w="5382" w:type="dxa"/>
          </w:tcPr>
          <w:p w14:paraId="482A0F5C" w14:textId="31879C7B" w:rsidR="00E92985" w:rsidRPr="005A6FEB" w:rsidRDefault="00E92985" w:rsidP="00EF0BDC">
            <w:pPr>
              <w:pStyle w:val="ListParagraph"/>
              <w:numPr>
                <w:ilvl w:val="0"/>
                <w:numId w:val="22"/>
              </w:numPr>
              <w:ind w:left="27" w:firstLine="0"/>
              <w:rPr>
                <w:lang w:val="lv-LV"/>
              </w:rPr>
            </w:pPr>
            <w:r w:rsidRPr="005A6FEB">
              <w:rPr>
                <w:lang w:val="lv-LV"/>
              </w:rPr>
              <w:t xml:space="preserve">Tehniskās specifikācijas 2.pielikumā ir teikts, ka gulšņu piesūcināšanai jāizmanto konservants   </w:t>
            </w:r>
          </w:p>
          <w:p w14:paraId="109C058E" w14:textId="77777777" w:rsidR="00E92985" w:rsidRPr="005A6FEB" w:rsidRDefault="00E92985" w:rsidP="00E92985">
            <w:pPr>
              <w:ind w:firstLine="27"/>
              <w:rPr>
                <w:lang w:val="lv-LV"/>
              </w:rPr>
            </w:pPr>
            <w:r w:rsidRPr="005A6FEB">
              <w:rPr>
                <w:lang w:val="lv-LV"/>
              </w:rPr>
              <w:t xml:space="preserve">(kreozots C pakāpes (WEI-C)). Sakarā kreozota negatīvu ietekmi uz vidi un cilvēku veselību daudzas valstis ieviesušas  tā lietošanas aizliegumu. Lūdzam izvērtēt un pieļaut līdzvērtīgu  impregnēšanas  materiālu pielietošanu. Kā alternatīvu piedāvājam gulšņus, kas impregnēti, izmantojot konservantu </w:t>
            </w:r>
            <w:proofErr w:type="spellStart"/>
            <w:r w:rsidRPr="005A6FEB">
              <w:rPr>
                <w:lang w:val="lv-LV"/>
              </w:rPr>
              <w:t>Tanasote</w:t>
            </w:r>
            <w:proofErr w:type="spellEnd"/>
            <w:r w:rsidRPr="005A6FEB">
              <w:rPr>
                <w:lang w:val="lv-LV"/>
              </w:rPr>
              <w:t xml:space="preserve"> S40 un nodrošina koksnes aizsardzību atbilstoši ekspluatācijas apstākļu vajadzībām un ir videi draudzīgs materiāls. Gulšņi tiek ražoti  saskaņā ar EN 13145 un EN 13145 + A1:2011 "Dzelzceļa aprīkojums. Sliežu ceļš. Koka gulšņi un kokmateriāli", impregnēšana atbilstoši EN 335-2013.</w:t>
            </w:r>
          </w:p>
          <w:p w14:paraId="18C84ED2" w14:textId="77777777" w:rsidR="00E92985" w:rsidRPr="005A6FEB" w:rsidRDefault="00E92985" w:rsidP="00E92985">
            <w:pPr>
              <w:pStyle w:val="ListParagraph"/>
              <w:ind w:left="27"/>
              <w:jc w:val="both"/>
              <w:rPr>
                <w:lang w:val="lv-LV"/>
              </w:rPr>
            </w:pPr>
          </w:p>
        </w:tc>
        <w:tc>
          <w:tcPr>
            <w:tcW w:w="4961" w:type="dxa"/>
          </w:tcPr>
          <w:p w14:paraId="57847BD8" w14:textId="194E8D80" w:rsidR="00E92985" w:rsidRPr="00F72A07" w:rsidRDefault="00F72A07" w:rsidP="00E92985">
            <w:pPr>
              <w:jc w:val="both"/>
              <w:rPr>
                <w:lang w:val="lv-LV" w:eastAsia="lv-LV"/>
              </w:rPr>
            </w:pPr>
            <w:r w:rsidRPr="00F72A07">
              <w:rPr>
                <w:lang w:val="lv-LV"/>
              </w:rPr>
              <w:t xml:space="preserve">Nav iebildumu </w:t>
            </w:r>
            <w:r w:rsidR="00A34FB7">
              <w:rPr>
                <w:lang w:val="lv-LV"/>
              </w:rPr>
              <w:t xml:space="preserve">pret līdzvērtīgu </w:t>
            </w:r>
            <w:r w:rsidR="00A34FB7" w:rsidRPr="005A6FEB">
              <w:rPr>
                <w:lang w:val="lv-LV"/>
              </w:rPr>
              <w:t>impregnēšanas  materiālu pielietošanu</w:t>
            </w:r>
            <w:r w:rsidR="00A34FB7" w:rsidRPr="00F72A07">
              <w:rPr>
                <w:lang w:val="lv-LV"/>
              </w:rPr>
              <w:t xml:space="preserve"> </w:t>
            </w:r>
            <w:r w:rsidRPr="00F72A07">
              <w:rPr>
                <w:lang w:val="lv-LV"/>
              </w:rPr>
              <w:t xml:space="preserve">ar  konservantu </w:t>
            </w:r>
            <w:proofErr w:type="spellStart"/>
            <w:r w:rsidRPr="00F72A07">
              <w:rPr>
                <w:lang w:val="lv-LV"/>
              </w:rPr>
              <w:t>Tanasote</w:t>
            </w:r>
            <w:proofErr w:type="spellEnd"/>
            <w:r w:rsidRPr="00F72A07">
              <w:rPr>
                <w:lang w:val="lv-LV"/>
              </w:rPr>
              <w:t xml:space="preserve"> S40 vai analogiem, kas atbilstoši 4.lietojuma klasei nodrošina 40 gadu kalpošanas periodu.</w:t>
            </w:r>
          </w:p>
        </w:tc>
      </w:tr>
    </w:tbl>
    <w:p w14:paraId="464B0606" w14:textId="79F16626" w:rsidR="00696325" w:rsidRPr="005A6FEB" w:rsidRDefault="00653740" w:rsidP="00696325">
      <w:pPr>
        <w:spacing w:before="120"/>
        <w:rPr>
          <w:i/>
          <w:iCs/>
          <w:lang w:val="lv-LV"/>
        </w:rPr>
      </w:pPr>
      <w:r w:rsidRPr="005A6FEB">
        <w:rPr>
          <w:i/>
          <w:iCs/>
          <w:lang w:val="lv-LV"/>
        </w:rPr>
        <w:t>Atbild</w:t>
      </w:r>
      <w:r w:rsidR="00885FB2" w:rsidRPr="005A6FEB">
        <w:rPr>
          <w:i/>
          <w:iCs/>
          <w:lang w:val="lv-LV"/>
        </w:rPr>
        <w:t>es</w:t>
      </w:r>
      <w:r w:rsidRPr="005A6FEB">
        <w:rPr>
          <w:i/>
          <w:iCs/>
          <w:lang w:val="lv-LV"/>
        </w:rPr>
        <w:t xml:space="preserve"> sagatavoja: </w:t>
      </w:r>
    </w:p>
    <w:p w14:paraId="716F5D01" w14:textId="2DE5C0F2" w:rsidR="00653740" w:rsidRPr="005A6FEB" w:rsidRDefault="00782519" w:rsidP="003E7D18">
      <w:pPr>
        <w:pStyle w:val="ListParagraph"/>
        <w:numPr>
          <w:ilvl w:val="0"/>
          <w:numId w:val="5"/>
        </w:numPr>
        <w:spacing w:before="120"/>
        <w:rPr>
          <w:i/>
          <w:iCs/>
          <w:lang w:val="lv-LV"/>
        </w:rPr>
      </w:pPr>
      <w:proofErr w:type="spellStart"/>
      <w:r w:rsidRPr="005A6FEB">
        <w:rPr>
          <w:i/>
          <w:iCs/>
          <w:lang w:val="lv-LV" w:eastAsia="lv-LV"/>
        </w:rPr>
        <w:t>N.Vjatkina</w:t>
      </w:r>
      <w:proofErr w:type="spellEnd"/>
      <w:r w:rsidR="00653740" w:rsidRPr="005A6FEB">
        <w:rPr>
          <w:i/>
          <w:iCs/>
          <w:lang w:val="lv-LV" w:eastAsia="lv-LV"/>
        </w:rPr>
        <w:t xml:space="preserve">, </w:t>
      </w:r>
      <w:r w:rsidR="00653740" w:rsidRPr="005A6FEB">
        <w:rPr>
          <w:i/>
          <w:iCs/>
          <w:lang w:val="lv-LV"/>
        </w:rPr>
        <w:t xml:space="preserve">Iepirkumu un līgumu pārvaldības daļas </w:t>
      </w:r>
      <w:r w:rsidR="00653740" w:rsidRPr="005A6FEB">
        <w:rPr>
          <w:i/>
          <w:iCs/>
          <w:lang w:val="lv-LV" w:eastAsia="lv-LV"/>
        </w:rPr>
        <w:t>Tirgus izpētes un iepirkumu metodoloģijas nodaļas</w:t>
      </w:r>
      <w:r w:rsidR="00653740" w:rsidRPr="005A6FEB">
        <w:rPr>
          <w:i/>
          <w:iCs/>
          <w:lang w:val="lv-LV"/>
        </w:rPr>
        <w:t xml:space="preserve"> iepirkumu speciāliste</w:t>
      </w:r>
      <w:r w:rsidR="006E6FFD" w:rsidRPr="005A6FEB">
        <w:rPr>
          <w:i/>
          <w:iCs/>
          <w:lang w:val="lv-LV"/>
        </w:rPr>
        <w:t>.</w:t>
      </w:r>
    </w:p>
    <w:sectPr w:rsidR="00653740" w:rsidRPr="005A6FEB"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00000001"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76D"/>
    <w:multiLevelType w:val="multilevel"/>
    <w:tmpl w:val="E8E8A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30333E7"/>
    <w:multiLevelType w:val="multilevel"/>
    <w:tmpl w:val="A71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F7234"/>
    <w:multiLevelType w:val="multilevel"/>
    <w:tmpl w:val="10E09DE4"/>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C73393F"/>
    <w:multiLevelType w:val="multilevel"/>
    <w:tmpl w:val="B8B6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96E94"/>
    <w:multiLevelType w:val="multilevel"/>
    <w:tmpl w:val="CCE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66308"/>
    <w:multiLevelType w:val="hybridMultilevel"/>
    <w:tmpl w:val="7EFC1E62"/>
    <w:lvl w:ilvl="0" w:tplc="DC3EBED2">
      <w:start w:val="1"/>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8212CE"/>
    <w:multiLevelType w:val="hybridMultilevel"/>
    <w:tmpl w:val="F6D8870A"/>
    <w:lvl w:ilvl="0" w:tplc="10A026A8">
      <w:start w:val="4"/>
      <w:numFmt w:val="decimal"/>
      <w:lvlText w:val="%1.)"/>
      <w:lvlJc w:val="left"/>
      <w:pPr>
        <w:ind w:left="387" w:hanging="360"/>
      </w:pPr>
      <w:rPr>
        <w:rFonts w:hint="default"/>
        <w:b/>
        <w:bCs/>
      </w:rPr>
    </w:lvl>
    <w:lvl w:ilvl="1" w:tplc="04260019" w:tentative="1">
      <w:start w:val="1"/>
      <w:numFmt w:val="lowerLetter"/>
      <w:lvlText w:val="%2."/>
      <w:lvlJc w:val="left"/>
      <w:pPr>
        <w:ind w:left="1107" w:hanging="360"/>
      </w:pPr>
    </w:lvl>
    <w:lvl w:ilvl="2" w:tplc="0426001B" w:tentative="1">
      <w:start w:val="1"/>
      <w:numFmt w:val="lowerRoman"/>
      <w:lvlText w:val="%3."/>
      <w:lvlJc w:val="right"/>
      <w:pPr>
        <w:ind w:left="1827" w:hanging="180"/>
      </w:pPr>
    </w:lvl>
    <w:lvl w:ilvl="3" w:tplc="0426000F" w:tentative="1">
      <w:start w:val="1"/>
      <w:numFmt w:val="decimal"/>
      <w:lvlText w:val="%4."/>
      <w:lvlJc w:val="left"/>
      <w:pPr>
        <w:ind w:left="2547" w:hanging="360"/>
      </w:pPr>
    </w:lvl>
    <w:lvl w:ilvl="4" w:tplc="04260019" w:tentative="1">
      <w:start w:val="1"/>
      <w:numFmt w:val="lowerLetter"/>
      <w:lvlText w:val="%5."/>
      <w:lvlJc w:val="left"/>
      <w:pPr>
        <w:ind w:left="3267" w:hanging="360"/>
      </w:pPr>
    </w:lvl>
    <w:lvl w:ilvl="5" w:tplc="0426001B" w:tentative="1">
      <w:start w:val="1"/>
      <w:numFmt w:val="lowerRoman"/>
      <w:lvlText w:val="%6."/>
      <w:lvlJc w:val="right"/>
      <w:pPr>
        <w:ind w:left="3987" w:hanging="180"/>
      </w:pPr>
    </w:lvl>
    <w:lvl w:ilvl="6" w:tplc="0426000F" w:tentative="1">
      <w:start w:val="1"/>
      <w:numFmt w:val="decimal"/>
      <w:lvlText w:val="%7."/>
      <w:lvlJc w:val="left"/>
      <w:pPr>
        <w:ind w:left="4707" w:hanging="360"/>
      </w:pPr>
    </w:lvl>
    <w:lvl w:ilvl="7" w:tplc="04260019" w:tentative="1">
      <w:start w:val="1"/>
      <w:numFmt w:val="lowerLetter"/>
      <w:lvlText w:val="%8."/>
      <w:lvlJc w:val="left"/>
      <w:pPr>
        <w:ind w:left="5427" w:hanging="360"/>
      </w:pPr>
    </w:lvl>
    <w:lvl w:ilvl="8" w:tplc="0426001B" w:tentative="1">
      <w:start w:val="1"/>
      <w:numFmt w:val="lowerRoman"/>
      <w:lvlText w:val="%9."/>
      <w:lvlJc w:val="right"/>
      <w:pPr>
        <w:ind w:left="6147" w:hanging="180"/>
      </w:pPr>
    </w:lvl>
  </w:abstractNum>
  <w:abstractNum w:abstractNumId="8"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373AE9"/>
    <w:multiLevelType w:val="multilevel"/>
    <w:tmpl w:val="5DC6E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53526D"/>
    <w:multiLevelType w:val="hybridMultilevel"/>
    <w:tmpl w:val="4DC60222"/>
    <w:lvl w:ilvl="0" w:tplc="6450C76E">
      <w:start w:val="1"/>
      <w:numFmt w:val="bullet"/>
      <w:lvlText w:val="-"/>
      <w:lvlJc w:val="left"/>
      <w:pPr>
        <w:ind w:left="671" w:hanging="360"/>
      </w:pPr>
      <w:rPr>
        <w:rFonts w:ascii="Times New Roman" w:eastAsia="Times New Roman" w:hAnsi="Times New Roman" w:cs="Times New Roman" w:hint="default"/>
      </w:rPr>
    </w:lvl>
    <w:lvl w:ilvl="1" w:tplc="04260003" w:tentative="1">
      <w:start w:val="1"/>
      <w:numFmt w:val="bullet"/>
      <w:lvlText w:val="o"/>
      <w:lvlJc w:val="left"/>
      <w:pPr>
        <w:ind w:left="1391" w:hanging="360"/>
      </w:pPr>
      <w:rPr>
        <w:rFonts w:ascii="Courier New" w:hAnsi="Courier New" w:cs="Courier New" w:hint="default"/>
      </w:rPr>
    </w:lvl>
    <w:lvl w:ilvl="2" w:tplc="04260005" w:tentative="1">
      <w:start w:val="1"/>
      <w:numFmt w:val="bullet"/>
      <w:lvlText w:val=""/>
      <w:lvlJc w:val="left"/>
      <w:pPr>
        <w:ind w:left="2111" w:hanging="360"/>
      </w:pPr>
      <w:rPr>
        <w:rFonts w:ascii="Wingdings" w:hAnsi="Wingdings" w:hint="default"/>
      </w:rPr>
    </w:lvl>
    <w:lvl w:ilvl="3" w:tplc="04260001" w:tentative="1">
      <w:start w:val="1"/>
      <w:numFmt w:val="bullet"/>
      <w:lvlText w:val=""/>
      <w:lvlJc w:val="left"/>
      <w:pPr>
        <w:ind w:left="2831" w:hanging="360"/>
      </w:pPr>
      <w:rPr>
        <w:rFonts w:ascii="Symbol" w:hAnsi="Symbol" w:hint="default"/>
      </w:rPr>
    </w:lvl>
    <w:lvl w:ilvl="4" w:tplc="04260003" w:tentative="1">
      <w:start w:val="1"/>
      <w:numFmt w:val="bullet"/>
      <w:lvlText w:val="o"/>
      <w:lvlJc w:val="left"/>
      <w:pPr>
        <w:ind w:left="3551" w:hanging="360"/>
      </w:pPr>
      <w:rPr>
        <w:rFonts w:ascii="Courier New" w:hAnsi="Courier New" w:cs="Courier New" w:hint="default"/>
      </w:rPr>
    </w:lvl>
    <w:lvl w:ilvl="5" w:tplc="04260005" w:tentative="1">
      <w:start w:val="1"/>
      <w:numFmt w:val="bullet"/>
      <w:lvlText w:val=""/>
      <w:lvlJc w:val="left"/>
      <w:pPr>
        <w:ind w:left="4271" w:hanging="360"/>
      </w:pPr>
      <w:rPr>
        <w:rFonts w:ascii="Wingdings" w:hAnsi="Wingdings" w:hint="default"/>
      </w:rPr>
    </w:lvl>
    <w:lvl w:ilvl="6" w:tplc="04260001" w:tentative="1">
      <w:start w:val="1"/>
      <w:numFmt w:val="bullet"/>
      <w:lvlText w:val=""/>
      <w:lvlJc w:val="left"/>
      <w:pPr>
        <w:ind w:left="4991" w:hanging="360"/>
      </w:pPr>
      <w:rPr>
        <w:rFonts w:ascii="Symbol" w:hAnsi="Symbol" w:hint="default"/>
      </w:rPr>
    </w:lvl>
    <w:lvl w:ilvl="7" w:tplc="04260003" w:tentative="1">
      <w:start w:val="1"/>
      <w:numFmt w:val="bullet"/>
      <w:lvlText w:val="o"/>
      <w:lvlJc w:val="left"/>
      <w:pPr>
        <w:ind w:left="5711" w:hanging="360"/>
      </w:pPr>
      <w:rPr>
        <w:rFonts w:ascii="Courier New" w:hAnsi="Courier New" w:cs="Courier New" w:hint="default"/>
      </w:rPr>
    </w:lvl>
    <w:lvl w:ilvl="8" w:tplc="04260005" w:tentative="1">
      <w:start w:val="1"/>
      <w:numFmt w:val="bullet"/>
      <w:lvlText w:val=""/>
      <w:lvlJc w:val="left"/>
      <w:pPr>
        <w:ind w:left="6431" w:hanging="360"/>
      </w:pPr>
      <w:rPr>
        <w:rFonts w:ascii="Wingdings" w:hAnsi="Wingdings" w:hint="default"/>
      </w:rPr>
    </w:lvl>
  </w:abstractNum>
  <w:abstractNum w:abstractNumId="12" w15:restartNumberingAfterBreak="0">
    <w:nsid w:val="25722D8F"/>
    <w:multiLevelType w:val="multilevel"/>
    <w:tmpl w:val="C05AE204"/>
    <w:lvl w:ilvl="0">
      <w:start w:val="1"/>
      <w:numFmt w:val="decimal"/>
      <w:lvlText w:val="%1."/>
      <w:lvlJc w:val="left"/>
      <w:pPr>
        <w:ind w:left="720" w:hanging="360"/>
      </w:pPr>
      <w:rPr>
        <w:rFonts w:eastAsia="Calibri"/>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1E3318"/>
    <w:multiLevelType w:val="multilevel"/>
    <w:tmpl w:val="BAF2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881F0D"/>
    <w:multiLevelType w:val="multilevel"/>
    <w:tmpl w:val="D6F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3451B"/>
    <w:multiLevelType w:val="multilevel"/>
    <w:tmpl w:val="BE8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92CA8"/>
    <w:multiLevelType w:val="hybridMultilevel"/>
    <w:tmpl w:val="BBE6007A"/>
    <w:lvl w:ilvl="0" w:tplc="04260001">
      <w:start w:val="1"/>
      <w:numFmt w:val="bullet"/>
      <w:lvlText w:val=""/>
      <w:lvlJc w:val="left"/>
      <w:pPr>
        <w:ind w:left="1031" w:hanging="360"/>
      </w:pPr>
      <w:rPr>
        <w:rFonts w:ascii="Symbol" w:hAnsi="Symbol" w:hint="default"/>
      </w:rPr>
    </w:lvl>
    <w:lvl w:ilvl="1" w:tplc="04260003" w:tentative="1">
      <w:start w:val="1"/>
      <w:numFmt w:val="bullet"/>
      <w:lvlText w:val="o"/>
      <w:lvlJc w:val="left"/>
      <w:pPr>
        <w:ind w:left="1751" w:hanging="360"/>
      </w:pPr>
      <w:rPr>
        <w:rFonts w:ascii="Courier New" w:hAnsi="Courier New" w:cs="Courier New" w:hint="default"/>
      </w:rPr>
    </w:lvl>
    <w:lvl w:ilvl="2" w:tplc="04260005" w:tentative="1">
      <w:start w:val="1"/>
      <w:numFmt w:val="bullet"/>
      <w:lvlText w:val=""/>
      <w:lvlJc w:val="left"/>
      <w:pPr>
        <w:ind w:left="2471" w:hanging="360"/>
      </w:pPr>
      <w:rPr>
        <w:rFonts w:ascii="Wingdings" w:hAnsi="Wingdings" w:hint="default"/>
      </w:rPr>
    </w:lvl>
    <w:lvl w:ilvl="3" w:tplc="04260001" w:tentative="1">
      <w:start w:val="1"/>
      <w:numFmt w:val="bullet"/>
      <w:lvlText w:val=""/>
      <w:lvlJc w:val="left"/>
      <w:pPr>
        <w:ind w:left="3191" w:hanging="360"/>
      </w:pPr>
      <w:rPr>
        <w:rFonts w:ascii="Symbol" w:hAnsi="Symbol" w:hint="default"/>
      </w:rPr>
    </w:lvl>
    <w:lvl w:ilvl="4" w:tplc="04260003" w:tentative="1">
      <w:start w:val="1"/>
      <w:numFmt w:val="bullet"/>
      <w:lvlText w:val="o"/>
      <w:lvlJc w:val="left"/>
      <w:pPr>
        <w:ind w:left="3911" w:hanging="360"/>
      </w:pPr>
      <w:rPr>
        <w:rFonts w:ascii="Courier New" w:hAnsi="Courier New" w:cs="Courier New" w:hint="default"/>
      </w:rPr>
    </w:lvl>
    <w:lvl w:ilvl="5" w:tplc="04260005" w:tentative="1">
      <w:start w:val="1"/>
      <w:numFmt w:val="bullet"/>
      <w:lvlText w:val=""/>
      <w:lvlJc w:val="left"/>
      <w:pPr>
        <w:ind w:left="4631" w:hanging="360"/>
      </w:pPr>
      <w:rPr>
        <w:rFonts w:ascii="Wingdings" w:hAnsi="Wingdings" w:hint="default"/>
      </w:rPr>
    </w:lvl>
    <w:lvl w:ilvl="6" w:tplc="04260001" w:tentative="1">
      <w:start w:val="1"/>
      <w:numFmt w:val="bullet"/>
      <w:lvlText w:val=""/>
      <w:lvlJc w:val="left"/>
      <w:pPr>
        <w:ind w:left="5351" w:hanging="360"/>
      </w:pPr>
      <w:rPr>
        <w:rFonts w:ascii="Symbol" w:hAnsi="Symbol" w:hint="default"/>
      </w:rPr>
    </w:lvl>
    <w:lvl w:ilvl="7" w:tplc="04260003" w:tentative="1">
      <w:start w:val="1"/>
      <w:numFmt w:val="bullet"/>
      <w:lvlText w:val="o"/>
      <w:lvlJc w:val="left"/>
      <w:pPr>
        <w:ind w:left="6071" w:hanging="360"/>
      </w:pPr>
      <w:rPr>
        <w:rFonts w:ascii="Courier New" w:hAnsi="Courier New" w:cs="Courier New" w:hint="default"/>
      </w:rPr>
    </w:lvl>
    <w:lvl w:ilvl="8" w:tplc="04260005" w:tentative="1">
      <w:start w:val="1"/>
      <w:numFmt w:val="bullet"/>
      <w:lvlText w:val=""/>
      <w:lvlJc w:val="left"/>
      <w:pPr>
        <w:ind w:left="6791" w:hanging="360"/>
      </w:pPr>
      <w:rPr>
        <w:rFonts w:ascii="Wingdings" w:hAnsi="Wingdings" w:hint="default"/>
      </w:rPr>
    </w:lvl>
  </w:abstractNum>
  <w:abstractNum w:abstractNumId="21" w15:restartNumberingAfterBreak="0">
    <w:nsid w:val="5E5941DE"/>
    <w:multiLevelType w:val="hybridMultilevel"/>
    <w:tmpl w:val="25208156"/>
    <w:lvl w:ilvl="0" w:tplc="3F6A2A3E">
      <w:start w:val="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4C3975"/>
    <w:multiLevelType w:val="hybridMultilevel"/>
    <w:tmpl w:val="22DE0256"/>
    <w:lvl w:ilvl="0" w:tplc="04260001">
      <w:start w:val="1"/>
      <w:numFmt w:val="bullet"/>
      <w:lvlText w:val=""/>
      <w:lvlJc w:val="left"/>
      <w:pPr>
        <w:ind w:left="983" w:hanging="360"/>
      </w:pPr>
      <w:rPr>
        <w:rFonts w:ascii="Symbol" w:hAnsi="Symbol" w:hint="default"/>
      </w:rPr>
    </w:lvl>
    <w:lvl w:ilvl="1" w:tplc="04260003" w:tentative="1">
      <w:start w:val="1"/>
      <w:numFmt w:val="bullet"/>
      <w:lvlText w:val="o"/>
      <w:lvlJc w:val="left"/>
      <w:pPr>
        <w:ind w:left="1752" w:hanging="360"/>
      </w:pPr>
      <w:rPr>
        <w:rFonts w:ascii="Courier New" w:hAnsi="Courier New" w:cs="Courier New" w:hint="default"/>
      </w:rPr>
    </w:lvl>
    <w:lvl w:ilvl="2" w:tplc="04260005" w:tentative="1">
      <w:start w:val="1"/>
      <w:numFmt w:val="bullet"/>
      <w:lvlText w:val=""/>
      <w:lvlJc w:val="left"/>
      <w:pPr>
        <w:ind w:left="2472" w:hanging="360"/>
      </w:pPr>
      <w:rPr>
        <w:rFonts w:ascii="Wingdings" w:hAnsi="Wingdings" w:hint="default"/>
      </w:rPr>
    </w:lvl>
    <w:lvl w:ilvl="3" w:tplc="04260001" w:tentative="1">
      <w:start w:val="1"/>
      <w:numFmt w:val="bullet"/>
      <w:lvlText w:val=""/>
      <w:lvlJc w:val="left"/>
      <w:pPr>
        <w:ind w:left="3192" w:hanging="360"/>
      </w:pPr>
      <w:rPr>
        <w:rFonts w:ascii="Symbol" w:hAnsi="Symbol" w:hint="default"/>
      </w:rPr>
    </w:lvl>
    <w:lvl w:ilvl="4" w:tplc="04260003" w:tentative="1">
      <w:start w:val="1"/>
      <w:numFmt w:val="bullet"/>
      <w:lvlText w:val="o"/>
      <w:lvlJc w:val="left"/>
      <w:pPr>
        <w:ind w:left="3912" w:hanging="360"/>
      </w:pPr>
      <w:rPr>
        <w:rFonts w:ascii="Courier New" w:hAnsi="Courier New" w:cs="Courier New" w:hint="default"/>
      </w:rPr>
    </w:lvl>
    <w:lvl w:ilvl="5" w:tplc="04260005" w:tentative="1">
      <w:start w:val="1"/>
      <w:numFmt w:val="bullet"/>
      <w:lvlText w:val=""/>
      <w:lvlJc w:val="left"/>
      <w:pPr>
        <w:ind w:left="4632" w:hanging="360"/>
      </w:pPr>
      <w:rPr>
        <w:rFonts w:ascii="Wingdings" w:hAnsi="Wingdings" w:hint="default"/>
      </w:rPr>
    </w:lvl>
    <w:lvl w:ilvl="6" w:tplc="04260001" w:tentative="1">
      <w:start w:val="1"/>
      <w:numFmt w:val="bullet"/>
      <w:lvlText w:val=""/>
      <w:lvlJc w:val="left"/>
      <w:pPr>
        <w:ind w:left="5352" w:hanging="360"/>
      </w:pPr>
      <w:rPr>
        <w:rFonts w:ascii="Symbol" w:hAnsi="Symbol" w:hint="default"/>
      </w:rPr>
    </w:lvl>
    <w:lvl w:ilvl="7" w:tplc="04260003" w:tentative="1">
      <w:start w:val="1"/>
      <w:numFmt w:val="bullet"/>
      <w:lvlText w:val="o"/>
      <w:lvlJc w:val="left"/>
      <w:pPr>
        <w:ind w:left="6072" w:hanging="360"/>
      </w:pPr>
      <w:rPr>
        <w:rFonts w:ascii="Courier New" w:hAnsi="Courier New" w:cs="Courier New" w:hint="default"/>
      </w:rPr>
    </w:lvl>
    <w:lvl w:ilvl="8" w:tplc="04260005" w:tentative="1">
      <w:start w:val="1"/>
      <w:numFmt w:val="bullet"/>
      <w:lvlText w:val=""/>
      <w:lvlJc w:val="left"/>
      <w:pPr>
        <w:ind w:left="6792" w:hanging="360"/>
      </w:pPr>
      <w:rPr>
        <w:rFonts w:ascii="Wingdings" w:hAnsi="Wingdings" w:hint="default"/>
      </w:rPr>
    </w:lvl>
  </w:abstractNum>
  <w:abstractNum w:abstractNumId="23"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14"/>
  </w:num>
  <w:num w:numId="2" w16cid:durableId="936913331">
    <w:abstractNumId w:val="24"/>
  </w:num>
  <w:num w:numId="3" w16cid:durableId="397635739">
    <w:abstractNumId w:val="13"/>
  </w:num>
  <w:num w:numId="4" w16cid:durableId="1691641424">
    <w:abstractNumId w:val="17"/>
  </w:num>
  <w:num w:numId="5" w16cid:durableId="349911158">
    <w:abstractNumId w:val="16"/>
  </w:num>
  <w:num w:numId="6" w16cid:durableId="1846744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1"/>
  </w:num>
  <w:num w:numId="8" w16cid:durableId="384719074">
    <w:abstractNumId w:val="8"/>
  </w:num>
  <w:num w:numId="9" w16cid:durableId="117189057">
    <w:abstractNumId w:val="23"/>
  </w:num>
  <w:num w:numId="10" w16cid:durableId="85201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067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241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0772044">
    <w:abstractNumId w:val="21"/>
  </w:num>
  <w:num w:numId="14" w16cid:durableId="737938436">
    <w:abstractNumId w:val="7"/>
  </w:num>
  <w:num w:numId="15" w16cid:durableId="1292639050">
    <w:abstractNumId w:val="5"/>
  </w:num>
  <w:num w:numId="16" w16cid:durableId="2122987941">
    <w:abstractNumId w:val="4"/>
  </w:num>
  <w:num w:numId="17" w16cid:durableId="1651900811">
    <w:abstractNumId w:val="19"/>
  </w:num>
  <w:num w:numId="18" w16cid:durableId="736248524">
    <w:abstractNumId w:val="0"/>
  </w:num>
  <w:num w:numId="19" w16cid:durableId="219753250">
    <w:abstractNumId w:val="18"/>
  </w:num>
  <w:num w:numId="20" w16cid:durableId="58209144">
    <w:abstractNumId w:val="2"/>
  </w:num>
  <w:num w:numId="21" w16cid:durableId="409041949">
    <w:abstractNumId w:val="15"/>
  </w:num>
  <w:num w:numId="22" w16cid:durableId="1401635378">
    <w:abstractNumId w:val="6"/>
  </w:num>
  <w:num w:numId="23" w16cid:durableId="1224025838">
    <w:abstractNumId w:val="20"/>
  </w:num>
  <w:num w:numId="24" w16cid:durableId="485128654">
    <w:abstractNumId w:val="11"/>
  </w:num>
  <w:num w:numId="25" w16cid:durableId="1305967165">
    <w:abstractNumId w:val="3"/>
  </w:num>
  <w:num w:numId="26" w16cid:durableId="1728184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7890"/>
    <w:rsid w:val="00017CE9"/>
    <w:rsid w:val="00020C9E"/>
    <w:rsid w:val="000316F2"/>
    <w:rsid w:val="00051D13"/>
    <w:rsid w:val="000A297B"/>
    <w:rsid w:val="000A51D5"/>
    <w:rsid w:val="000D679A"/>
    <w:rsid w:val="000E4704"/>
    <w:rsid w:val="000F2559"/>
    <w:rsid w:val="001065FE"/>
    <w:rsid w:val="00112F9C"/>
    <w:rsid w:val="00130558"/>
    <w:rsid w:val="00136E35"/>
    <w:rsid w:val="00157653"/>
    <w:rsid w:val="001700E8"/>
    <w:rsid w:val="00172F74"/>
    <w:rsid w:val="00182E97"/>
    <w:rsid w:val="00196518"/>
    <w:rsid w:val="001A4326"/>
    <w:rsid w:val="001A7C7E"/>
    <w:rsid w:val="001E3B2D"/>
    <w:rsid w:val="00212862"/>
    <w:rsid w:val="00220D70"/>
    <w:rsid w:val="002276C3"/>
    <w:rsid w:val="00245EDE"/>
    <w:rsid w:val="00256185"/>
    <w:rsid w:val="00283311"/>
    <w:rsid w:val="00286BFE"/>
    <w:rsid w:val="002B204E"/>
    <w:rsid w:val="002D06A7"/>
    <w:rsid w:val="003207CC"/>
    <w:rsid w:val="00330635"/>
    <w:rsid w:val="00355CE5"/>
    <w:rsid w:val="00357F7B"/>
    <w:rsid w:val="003717A2"/>
    <w:rsid w:val="00380085"/>
    <w:rsid w:val="003A63D5"/>
    <w:rsid w:val="003B2A57"/>
    <w:rsid w:val="003E03AA"/>
    <w:rsid w:val="003E7D18"/>
    <w:rsid w:val="004227CF"/>
    <w:rsid w:val="0042701F"/>
    <w:rsid w:val="00430362"/>
    <w:rsid w:val="00441AFC"/>
    <w:rsid w:val="00444367"/>
    <w:rsid w:val="00454127"/>
    <w:rsid w:val="00467463"/>
    <w:rsid w:val="004838CB"/>
    <w:rsid w:val="004C727E"/>
    <w:rsid w:val="004D2C9B"/>
    <w:rsid w:val="004D72A9"/>
    <w:rsid w:val="005105A7"/>
    <w:rsid w:val="00573477"/>
    <w:rsid w:val="00575D21"/>
    <w:rsid w:val="00584E22"/>
    <w:rsid w:val="005A5A3A"/>
    <w:rsid w:val="005A6FEB"/>
    <w:rsid w:val="005A7792"/>
    <w:rsid w:val="005B1316"/>
    <w:rsid w:val="005C165A"/>
    <w:rsid w:val="005C255D"/>
    <w:rsid w:val="005C462D"/>
    <w:rsid w:val="005C5A1B"/>
    <w:rsid w:val="00653740"/>
    <w:rsid w:val="00653D73"/>
    <w:rsid w:val="00654A43"/>
    <w:rsid w:val="006818A8"/>
    <w:rsid w:val="00696325"/>
    <w:rsid w:val="006A24E0"/>
    <w:rsid w:val="006B566D"/>
    <w:rsid w:val="006E2618"/>
    <w:rsid w:val="006E6FFD"/>
    <w:rsid w:val="006E79CB"/>
    <w:rsid w:val="00754E1B"/>
    <w:rsid w:val="00782519"/>
    <w:rsid w:val="00784DC5"/>
    <w:rsid w:val="007B65A4"/>
    <w:rsid w:val="007D636E"/>
    <w:rsid w:val="007E1F63"/>
    <w:rsid w:val="007F0D57"/>
    <w:rsid w:val="008157BE"/>
    <w:rsid w:val="0086420B"/>
    <w:rsid w:val="00876A19"/>
    <w:rsid w:val="00885FB2"/>
    <w:rsid w:val="00894A21"/>
    <w:rsid w:val="00902692"/>
    <w:rsid w:val="00920CE6"/>
    <w:rsid w:val="009245C8"/>
    <w:rsid w:val="00963DF2"/>
    <w:rsid w:val="00974657"/>
    <w:rsid w:val="00981707"/>
    <w:rsid w:val="00993141"/>
    <w:rsid w:val="009A1C3D"/>
    <w:rsid w:val="009A4368"/>
    <w:rsid w:val="009D588E"/>
    <w:rsid w:val="009E50FC"/>
    <w:rsid w:val="00A06452"/>
    <w:rsid w:val="00A23876"/>
    <w:rsid w:val="00A34FB7"/>
    <w:rsid w:val="00A367FC"/>
    <w:rsid w:val="00A82EBF"/>
    <w:rsid w:val="00A903F7"/>
    <w:rsid w:val="00A945E0"/>
    <w:rsid w:val="00AA376E"/>
    <w:rsid w:val="00AB0567"/>
    <w:rsid w:val="00AD36E6"/>
    <w:rsid w:val="00AD6CB1"/>
    <w:rsid w:val="00AE2B91"/>
    <w:rsid w:val="00AF2946"/>
    <w:rsid w:val="00B34657"/>
    <w:rsid w:val="00B64810"/>
    <w:rsid w:val="00B77821"/>
    <w:rsid w:val="00BB6942"/>
    <w:rsid w:val="00BC08B3"/>
    <w:rsid w:val="00BC2DB7"/>
    <w:rsid w:val="00BC4D71"/>
    <w:rsid w:val="00BD3153"/>
    <w:rsid w:val="00C25C3E"/>
    <w:rsid w:val="00C92AAC"/>
    <w:rsid w:val="00C94DC4"/>
    <w:rsid w:val="00CA5892"/>
    <w:rsid w:val="00CD2E41"/>
    <w:rsid w:val="00CD56D2"/>
    <w:rsid w:val="00CE59DF"/>
    <w:rsid w:val="00CF0949"/>
    <w:rsid w:val="00D16F74"/>
    <w:rsid w:val="00D20A8B"/>
    <w:rsid w:val="00D641FD"/>
    <w:rsid w:val="00D83BE6"/>
    <w:rsid w:val="00DA6508"/>
    <w:rsid w:val="00DC6809"/>
    <w:rsid w:val="00DD17AA"/>
    <w:rsid w:val="00DD6A9C"/>
    <w:rsid w:val="00DF14B7"/>
    <w:rsid w:val="00E13995"/>
    <w:rsid w:val="00E16D73"/>
    <w:rsid w:val="00E257BF"/>
    <w:rsid w:val="00E31D3B"/>
    <w:rsid w:val="00E37F19"/>
    <w:rsid w:val="00E812A1"/>
    <w:rsid w:val="00E92985"/>
    <w:rsid w:val="00E93A59"/>
    <w:rsid w:val="00E961C1"/>
    <w:rsid w:val="00EC3CB0"/>
    <w:rsid w:val="00EE6214"/>
    <w:rsid w:val="00EF0BDC"/>
    <w:rsid w:val="00EF7D30"/>
    <w:rsid w:val="00F02C71"/>
    <w:rsid w:val="00F157A5"/>
    <w:rsid w:val="00F23514"/>
    <w:rsid w:val="00F35419"/>
    <w:rsid w:val="00F72A07"/>
    <w:rsid w:val="00F8182F"/>
    <w:rsid w:val="00F828FF"/>
    <w:rsid w:val="00F93891"/>
    <w:rsid w:val="00FA4EE0"/>
    <w:rsid w:val="00FD710F"/>
    <w:rsid w:val="00FE3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1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D6C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6A1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6A1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pPr>
    <w:rPr>
      <w:rFonts w:ascii="Calibri" w:hAnsi="Calibri" w:cs="Calibri"/>
      <w:lang w:eastAsia="lv-LV"/>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character" w:styleId="Emphasis">
    <w:name w:val="Emphasis"/>
    <w:basedOn w:val="DefaultParagraphFont"/>
    <w:uiPriority w:val="20"/>
    <w:qFormat/>
    <w:rsid w:val="00885FB2"/>
    <w:rPr>
      <w:i/>
      <w:iCs/>
    </w:rPr>
  </w:style>
  <w:style w:type="paragraph" w:styleId="BodyTextIndent">
    <w:name w:val="Body Text Indent"/>
    <w:basedOn w:val="Normal"/>
    <w:link w:val="BodyTextIndentChar"/>
    <w:rsid w:val="00885FB2"/>
    <w:pPr>
      <w:tabs>
        <w:tab w:val="num" w:pos="0"/>
      </w:tabs>
      <w:jc w:val="both"/>
      <w:outlineLvl w:val="0"/>
    </w:pPr>
    <w:rPr>
      <w:rFonts w:ascii="Belwe Lt TL" w:hAnsi="Belwe Lt TL"/>
      <w:szCs w:val="20"/>
    </w:rPr>
  </w:style>
  <w:style w:type="character" w:customStyle="1" w:styleId="BodyTextIndentChar">
    <w:name w:val="Body Text Indent Char"/>
    <w:basedOn w:val="DefaultParagraphFont"/>
    <w:link w:val="BodyTextIndent"/>
    <w:rsid w:val="00885FB2"/>
    <w:rPr>
      <w:rFonts w:ascii="Belwe Lt TL" w:eastAsia="Times New Roman" w:hAnsi="Belwe Lt TL" w:cs="Times New Roman"/>
      <w:kern w:val="0"/>
      <w:sz w:val="24"/>
      <w:szCs w:val="20"/>
      <w14:ligatures w14:val="none"/>
    </w:rPr>
  </w:style>
  <w:style w:type="character" w:customStyle="1" w:styleId="Heading2Char">
    <w:name w:val="Heading 2 Char"/>
    <w:basedOn w:val="DefaultParagraphFont"/>
    <w:link w:val="Heading2"/>
    <w:uiPriority w:val="9"/>
    <w:rsid w:val="00876A19"/>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876A19"/>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876A19"/>
    <w:rPr>
      <w:b/>
      <w:bCs/>
    </w:rPr>
  </w:style>
  <w:style w:type="character" w:customStyle="1" w:styleId="Heading1Char">
    <w:name w:val="Heading 1 Char"/>
    <w:basedOn w:val="DefaultParagraphFont"/>
    <w:link w:val="Heading1"/>
    <w:uiPriority w:val="9"/>
    <w:rsid w:val="00AD6C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6392</Words>
  <Characters>3644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10</cp:revision>
  <dcterms:created xsi:type="dcterms:W3CDTF">2026-01-19T12:33:00Z</dcterms:created>
  <dcterms:modified xsi:type="dcterms:W3CDTF">2026-01-19T13:19:00Z</dcterms:modified>
</cp:coreProperties>
</file>