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D24E" w14:textId="77777777" w:rsidR="00486D91" w:rsidRPr="001B7AB2" w:rsidRDefault="00486D91" w:rsidP="00C9306C">
      <w:pPr>
        <w:ind w:right="-7"/>
        <w:rPr>
          <w:lang w:val="lv-LV"/>
        </w:rPr>
      </w:pPr>
    </w:p>
    <w:p w14:paraId="7369C3EA" w14:textId="77777777" w:rsidR="00486D91" w:rsidRPr="001B7AB2" w:rsidRDefault="00486D91" w:rsidP="00486D91">
      <w:pPr>
        <w:tabs>
          <w:tab w:val="left" w:pos="6804"/>
        </w:tabs>
        <w:ind w:right="-8"/>
        <w:jc w:val="both"/>
        <w:rPr>
          <w:i/>
          <w:lang w:val="lv-LV"/>
        </w:rPr>
      </w:pPr>
      <w:r w:rsidRPr="001B7AB2">
        <w:rPr>
          <w:i/>
          <w:lang w:val="lv-LV"/>
        </w:rPr>
        <w:t xml:space="preserve">Par atbilžu sniegšanu iepirkumu procedūrā </w:t>
      </w:r>
      <w:bookmarkStart w:id="0" w:name="_Hlk203733947"/>
    </w:p>
    <w:p w14:paraId="3B8DD015" w14:textId="2AD05972" w:rsidR="00486D91" w:rsidRPr="001B7AB2" w:rsidRDefault="00486D91" w:rsidP="00486D91">
      <w:pPr>
        <w:tabs>
          <w:tab w:val="left" w:pos="6804"/>
        </w:tabs>
        <w:ind w:right="-8"/>
        <w:jc w:val="both"/>
        <w:rPr>
          <w:i/>
          <w:lang w:val="lv-LV"/>
        </w:rPr>
      </w:pPr>
      <w:r w:rsidRPr="001B7AB2">
        <w:rPr>
          <w:i/>
          <w:lang w:val="lv-LV"/>
        </w:rPr>
        <w:t>“</w:t>
      </w:r>
      <w:r w:rsidR="007F501D" w:rsidRPr="001B7AB2">
        <w:rPr>
          <w:i/>
          <w:lang w:val="lv-LV"/>
        </w:rPr>
        <w:t>Transporta biļešu kontrolieru dienas darba plānošanas un darba uzskaites sistēmas izstrāde un uzturēšana</w:t>
      </w:r>
      <w:r w:rsidRPr="001B7AB2">
        <w:rPr>
          <w:i/>
          <w:lang w:val="lv-LV"/>
        </w:rPr>
        <w:t>” (ID Nr. RS/2026/6</w:t>
      </w:r>
      <w:r w:rsidR="007F501D" w:rsidRPr="001B7AB2">
        <w:rPr>
          <w:i/>
          <w:lang w:val="lv-LV"/>
        </w:rPr>
        <w:t>2</w:t>
      </w:r>
      <w:r w:rsidRPr="001B7AB2">
        <w:rPr>
          <w:i/>
          <w:lang w:val="lv-LV"/>
        </w:rPr>
        <w:t>)</w:t>
      </w:r>
    </w:p>
    <w:bookmarkEnd w:id="0"/>
    <w:p w14:paraId="4A749B02" w14:textId="77777777" w:rsidR="00486D91" w:rsidRPr="001B7AB2" w:rsidRDefault="00486D91" w:rsidP="00486D91">
      <w:pPr>
        <w:ind w:right="-7"/>
        <w:rPr>
          <w:i/>
          <w:lang w:val="lv-LV"/>
        </w:rPr>
      </w:pPr>
    </w:p>
    <w:p w14:paraId="766B6C59" w14:textId="040EA0F5" w:rsidR="00486D91" w:rsidRPr="001B7AB2" w:rsidRDefault="00486D91" w:rsidP="00486D91">
      <w:pPr>
        <w:ind w:right="-7" w:firstLine="720"/>
        <w:jc w:val="both"/>
        <w:outlineLvl w:val="0"/>
        <w:rPr>
          <w:lang w:val="lv-LV"/>
        </w:rPr>
      </w:pPr>
      <w:r w:rsidRPr="001B7AB2">
        <w:rPr>
          <w:lang w:val="lv-LV"/>
        </w:rPr>
        <w:t>Rīgas pašvaldības sabiedrības ar ierobežotu atbildību „Rīgas satiksme” Iepirkuma komisija (turpmāk – Pasūtītājs) no iespējamā pretendenta ir saņēmusi vēstuli ar lūgumu sniegt skaidrojumus par iepirkuma procedūras “</w:t>
      </w:r>
      <w:r w:rsidR="007F501D" w:rsidRPr="001B7AB2">
        <w:rPr>
          <w:lang w:val="lv-LV"/>
        </w:rPr>
        <w:t>Transporta biļešu kontrolieru dienas darba plānošanas un darba uzskaites sistēmas izstrāde un uzturēšana</w:t>
      </w:r>
      <w:r w:rsidRPr="001B7AB2">
        <w:rPr>
          <w:lang w:val="lv-LV"/>
        </w:rPr>
        <w:t>” (ID Nr.RS/2026/6</w:t>
      </w:r>
      <w:r w:rsidR="007F501D" w:rsidRPr="001B7AB2">
        <w:rPr>
          <w:lang w:val="lv-LV"/>
        </w:rPr>
        <w:t>2</w:t>
      </w:r>
      <w:r w:rsidRPr="001B7AB2">
        <w:rPr>
          <w:lang w:val="lv-LV"/>
        </w:rPr>
        <w:t>)</w:t>
      </w:r>
      <w:r w:rsidRPr="001B7AB2">
        <w:rPr>
          <w:rFonts w:eastAsiaTheme="minorHAnsi"/>
          <w:lang w:val="lv-LV"/>
        </w:rPr>
        <w:t xml:space="preserve"> (turpmāk – iepirkuma procedūra) </w:t>
      </w:r>
      <w:r w:rsidRPr="001B7AB2">
        <w:rPr>
          <w:lang w:val="lv-LV"/>
        </w:rPr>
        <w:t>nolikuma (turpmāk – Nolikums) prasībām.</w:t>
      </w:r>
    </w:p>
    <w:p w14:paraId="12287D42" w14:textId="77777777" w:rsidR="00486D91" w:rsidRPr="001B7AB2" w:rsidRDefault="00486D91" w:rsidP="00486D91">
      <w:pPr>
        <w:ind w:right="-7"/>
        <w:jc w:val="both"/>
        <w:rPr>
          <w:lang w:val="lv-LV"/>
        </w:rPr>
      </w:pPr>
    </w:p>
    <w:p w14:paraId="365A083F" w14:textId="47342FA7" w:rsidR="00486D91" w:rsidRPr="001B7AB2" w:rsidRDefault="004D7E23" w:rsidP="00486D91">
      <w:pPr>
        <w:ind w:right="-7"/>
        <w:jc w:val="both"/>
        <w:rPr>
          <w:b/>
          <w:bCs/>
          <w:lang w:val="lv-LV"/>
        </w:rPr>
      </w:pPr>
      <w:r w:rsidRPr="001B7AB2">
        <w:rPr>
          <w:b/>
          <w:bCs/>
          <w:lang w:val="lv-LV"/>
        </w:rPr>
        <w:t>1.</w:t>
      </w:r>
      <w:r w:rsidR="00486D91" w:rsidRPr="001B7AB2">
        <w:rPr>
          <w:b/>
          <w:bCs/>
          <w:lang w:val="lv-LV"/>
        </w:rPr>
        <w:t>Jautājums:</w:t>
      </w:r>
    </w:p>
    <w:p w14:paraId="06A76ED3" w14:textId="0BBA8862" w:rsidR="006C2C35" w:rsidRPr="001B7AB2" w:rsidRDefault="006C2C35" w:rsidP="006C2C35">
      <w:pPr>
        <w:jc w:val="both"/>
        <w:rPr>
          <w:lang w:val="lv-LV"/>
        </w:rPr>
      </w:pPr>
      <w:r w:rsidRPr="001B7AB2">
        <w:rPr>
          <w:lang w:val="lv-LV"/>
        </w:rPr>
        <w:t xml:space="preserve">Tehniskā specifikācijas 6.1.3.4.punktā norādīts, ka jānodrošina integrācija ar grāmatvedības vai finanšu uzskaites sistēma. Lūgums precizēt ar kādu grāmatvedības vai finanšu uzskaites sistēmu (ERP) būs jānodrošina integrācija un vai ERP tiks uzskatīts kā datu avots arī nodarbināto informācijai, algu aprēķinam, ja jā, Tehniskā specifikācijā šādas integrācijas (datu apmaiņas nodrošināšana) nav atrunāta?  </w:t>
      </w:r>
    </w:p>
    <w:p w14:paraId="7366BEAA" w14:textId="77777777" w:rsidR="00486D91" w:rsidRPr="001B7AB2" w:rsidRDefault="00486D91" w:rsidP="00486D91">
      <w:pPr>
        <w:ind w:right="-7"/>
        <w:jc w:val="both"/>
        <w:rPr>
          <w:lang w:val="lv-LV"/>
        </w:rPr>
      </w:pPr>
    </w:p>
    <w:p w14:paraId="47AD63A3" w14:textId="77777777" w:rsidR="00486D91" w:rsidRPr="001B7AB2" w:rsidRDefault="00486D91" w:rsidP="00486D91">
      <w:pPr>
        <w:ind w:right="-7"/>
        <w:jc w:val="both"/>
        <w:rPr>
          <w:b/>
          <w:bCs/>
          <w:lang w:val="lv-LV"/>
        </w:rPr>
      </w:pPr>
      <w:r w:rsidRPr="001B7AB2">
        <w:rPr>
          <w:b/>
          <w:bCs/>
          <w:lang w:val="lv-LV"/>
        </w:rPr>
        <w:t>Atbilde:</w:t>
      </w:r>
    </w:p>
    <w:p w14:paraId="738BD52B" w14:textId="02F8C0A2" w:rsidR="006A7F6E" w:rsidRPr="001B7AB2" w:rsidRDefault="006A7F6E" w:rsidP="006A7F6E">
      <w:pPr>
        <w:ind w:right="-7" w:firstLine="720"/>
        <w:jc w:val="both"/>
        <w:rPr>
          <w:lang w:val="lv-LV"/>
        </w:rPr>
      </w:pPr>
      <w:r w:rsidRPr="001B7AB2">
        <w:rPr>
          <w:lang w:val="lv-LV"/>
        </w:rPr>
        <w:t>Skaidrojam, ka Tehniskās specifikācijas 6.1.3.4. punktā nav noteikta konkrēta grāmatvedības vai finanšu uzskaites sistēma (ERP), ar kuru jānodrošina integrācija. Minētajā punktā ir noteikta nepieciešamība izmantot finanšu datus, tai skaitā līgumsodu, maksājumu un to statusu datus, nodrošinot to nodošanu caur starpslāni (Data Warehouse).</w:t>
      </w:r>
    </w:p>
    <w:p w14:paraId="35774467" w14:textId="278D51E7" w:rsidR="006A7F6E" w:rsidRPr="001B7AB2" w:rsidRDefault="006A7F6E" w:rsidP="006A7F6E">
      <w:pPr>
        <w:ind w:right="-7" w:firstLine="720"/>
        <w:jc w:val="both"/>
        <w:rPr>
          <w:lang w:val="lv-LV"/>
        </w:rPr>
      </w:pPr>
      <w:r w:rsidRPr="001B7AB2">
        <w:rPr>
          <w:lang w:val="lv-LV"/>
        </w:rPr>
        <w:t>Tehniskās specifikācijas 6.1.3.5. punktā noteikts, ka Data Warehouse nodrošina finanšu un kontroles datu apkopošanu, transformāciju un nodošanu grāmatvedības sistēmai, kā arī atskaišu un analītikas nodrošināšanu.</w:t>
      </w:r>
      <w:r w:rsidRPr="001B7AB2">
        <w:rPr>
          <w:lang w:val="lv-LV"/>
        </w:rPr>
        <w:tab/>
      </w:r>
    </w:p>
    <w:p w14:paraId="689D8303" w14:textId="0DDB69D2" w:rsidR="006A7F6E" w:rsidRPr="001B7AB2" w:rsidRDefault="006A7F6E" w:rsidP="006A7F6E">
      <w:pPr>
        <w:ind w:right="-7" w:firstLine="720"/>
        <w:jc w:val="both"/>
        <w:rPr>
          <w:lang w:val="lv-LV"/>
        </w:rPr>
      </w:pPr>
      <w:r w:rsidRPr="001B7AB2">
        <w:rPr>
          <w:lang w:val="lv-LV"/>
        </w:rPr>
        <w:t>Līdz ar to konkrēta ERP sistēma, ar kuru jānodrošina integrācija, šobrīd nav noteikta. Tāpat Tehniskajā specifikācijā nav noteikts, ka ERP sistēma tiks izmantota kā datu avots nodarbināto informācijai vai algu aprēķiniem.</w:t>
      </w:r>
    </w:p>
    <w:p w14:paraId="57E2E8A6" w14:textId="5B30579A" w:rsidR="00486D91" w:rsidRPr="001B7AB2" w:rsidRDefault="006A7F6E" w:rsidP="006A7F6E">
      <w:pPr>
        <w:ind w:right="-7" w:firstLine="720"/>
        <w:jc w:val="both"/>
        <w:rPr>
          <w:lang w:val="lv-LV"/>
        </w:rPr>
      </w:pPr>
      <w:r w:rsidRPr="001B7AB2">
        <w:rPr>
          <w:lang w:val="lv-LV"/>
        </w:rPr>
        <w:t>Integrācijas risinājumam jānodrošina Tehniskajā specifikācijā paredzētā finanšu datu apmaiņa, tostarp līgumsodu, maksājumu un to statusu datu nodošana caur Data Warehouse.</w:t>
      </w:r>
    </w:p>
    <w:p w14:paraId="6B0CD6AF" w14:textId="77777777" w:rsidR="004D7E23" w:rsidRDefault="004D7E23" w:rsidP="004D7E23">
      <w:pPr>
        <w:ind w:right="-7"/>
        <w:jc w:val="both"/>
        <w:rPr>
          <w:b/>
          <w:bCs/>
          <w:lang w:val="lv-LV"/>
        </w:rPr>
      </w:pPr>
    </w:p>
    <w:p w14:paraId="71DEBBDF" w14:textId="77777777" w:rsidR="00351B15" w:rsidRPr="001B7AB2" w:rsidRDefault="00351B15" w:rsidP="004D7E23">
      <w:pPr>
        <w:ind w:right="-7"/>
        <w:jc w:val="both"/>
        <w:rPr>
          <w:b/>
          <w:bCs/>
          <w:lang w:val="lv-LV"/>
        </w:rPr>
      </w:pPr>
    </w:p>
    <w:p w14:paraId="6599EBFC" w14:textId="77BC6F75" w:rsidR="004D7E23" w:rsidRPr="001B7AB2" w:rsidRDefault="004D7E23" w:rsidP="004D7E23">
      <w:pPr>
        <w:ind w:right="-7"/>
        <w:jc w:val="both"/>
        <w:rPr>
          <w:b/>
          <w:bCs/>
          <w:lang w:val="lv-LV"/>
        </w:rPr>
      </w:pPr>
      <w:r w:rsidRPr="001B7AB2">
        <w:rPr>
          <w:b/>
          <w:bCs/>
          <w:lang w:val="lv-LV"/>
        </w:rPr>
        <w:t>2.Jautājums:</w:t>
      </w:r>
    </w:p>
    <w:p w14:paraId="407AED3A" w14:textId="184EB150" w:rsidR="004D7E23" w:rsidRPr="001B7AB2" w:rsidRDefault="006F24FC" w:rsidP="004D7E23">
      <w:pPr>
        <w:ind w:right="-7"/>
        <w:jc w:val="both"/>
        <w:rPr>
          <w:lang w:val="lv-LV"/>
        </w:rPr>
      </w:pPr>
      <w:r w:rsidRPr="001B7AB2">
        <w:rPr>
          <w:lang w:val="lv-LV"/>
        </w:rPr>
        <w:t>Tehniskajā specifikācijas 6.1.5.punktā noteikta prasība nodrošināt risinājuma darbību Android operētājsistēmā (ne vecāku par Android 11), lūgums precizēt, vai Pasūtītājs pieļauj tehnoloģiski alternatīvu risinājumu, piem, web izmantošanu MOB ierīcēs, ja tas arī nodrošina responsīvu dizainu un bezsaistes režīmu noteiktajā apjomā?</w:t>
      </w:r>
    </w:p>
    <w:p w14:paraId="3A4852CD" w14:textId="77777777" w:rsidR="00351B15" w:rsidRPr="001B7AB2" w:rsidRDefault="00351B15" w:rsidP="004D7E23">
      <w:pPr>
        <w:ind w:right="-7"/>
        <w:jc w:val="both"/>
        <w:rPr>
          <w:lang w:val="lv-LV"/>
        </w:rPr>
      </w:pPr>
    </w:p>
    <w:p w14:paraId="46EBA722" w14:textId="77777777" w:rsidR="004D7E23" w:rsidRPr="001B7AB2" w:rsidRDefault="004D7E23" w:rsidP="004D7E23">
      <w:pPr>
        <w:ind w:right="-7"/>
        <w:jc w:val="both"/>
        <w:rPr>
          <w:b/>
          <w:bCs/>
          <w:lang w:val="lv-LV"/>
        </w:rPr>
      </w:pPr>
      <w:r w:rsidRPr="001B7AB2">
        <w:rPr>
          <w:b/>
          <w:bCs/>
          <w:lang w:val="lv-LV"/>
        </w:rPr>
        <w:t>Atbilde:</w:t>
      </w:r>
    </w:p>
    <w:p w14:paraId="72B37FB3" w14:textId="77777777" w:rsidR="00AF17DB" w:rsidRPr="001B7AB2" w:rsidRDefault="00AF17DB" w:rsidP="00AF17DB">
      <w:pPr>
        <w:ind w:right="-7" w:firstLine="720"/>
        <w:jc w:val="both"/>
        <w:rPr>
          <w:lang w:val="lv-LV"/>
        </w:rPr>
      </w:pPr>
      <w:r w:rsidRPr="001B7AB2">
        <w:rPr>
          <w:lang w:val="lv-LV"/>
        </w:rPr>
        <w:t>Nē, web risinājums kā alternatīva mobilajai lietotnei nav pieļaujams.</w:t>
      </w:r>
    </w:p>
    <w:p w14:paraId="345AC0BC" w14:textId="77777777" w:rsidR="00AF17DB" w:rsidRPr="001B7AB2" w:rsidRDefault="00AF17DB" w:rsidP="00AF17DB">
      <w:pPr>
        <w:ind w:right="-7" w:firstLine="720"/>
        <w:jc w:val="both"/>
        <w:rPr>
          <w:lang w:val="lv-LV"/>
        </w:rPr>
      </w:pPr>
      <w:r w:rsidRPr="001B7AB2">
        <w:rPr>
          <w:lang w:val="lv-LV"/>
        </w:rPr>
        <w:t xml:space="preserve">Tehniskās specifikācijas 6.1.5. punktā noteikts, ka Sistēmas mobilajai lietotnei jādarbojas Android operētājsistēmā (versija ne zemāka par Android 11), kā arī jānodrošina darbība tiešsaistē, </w:t>
      </w:r>
      <w:r w:rsidRPr="001B7AB2">
        <w:rPr>
          <w:lang w:val="lv-LV"/>
        </w:rPr>
        <w:lastRenderedPageBreak/>
        <w:t>ierobežota savienojuma vai bezsaistes režīmā un datu sinhronizācija pēc savienojuma atjaunošanas.</w:t>
      </w:r>
    </w:p>
    <w:p w14:paraId="68151E75" w14:textId="77777777" w:rsidR="00AF17DB" w:rsidRPr="001B7AB2" w:rsidRDefault="00AF17DB" w:rsidP="00AF17DB">
      <w:pPr>
        <w:ind w:right="-7" w:firstLine="720"/>
        <w:jc w:val="both"/>
        <w:rPr>
          <w:lang w:val="lv-LV"/>
        </w:rPr>
      </w:pPr>
      <w:r w:rsidRPr="001B7AB2">
        <w:rPr>
          <w:lang w:val="lv-LV"/>
        </w:rPr>
        <w:t>Papildus Tehniskās specifikācijas 7.10. sadaļā QR koda biļešu kontrolei ir noteikta atsevišķa mobilā lietotne, un 7.10.3. punktā prasība QR-5 tieši nosaka, ka jānodrošina Android native lietotne QR kontrolei. Tāpat noteikta App-to-App navigācija, vienota sesija starp lietotnēm un citi ar mobilo lietotni saistīti darbības principi.</w:t>
      </w:r>
    </w:p>
    <w:p w14:paraId="2D07C000" w14:textId="77777777" w:rsidR="00AF17DB" w:rsidRPr="001B7AB2" w:rsidRDefault="00AF17DB" w:rsidP="00AF17DB">
      <w:pPr>
        <w:ind w:right="-7" w:firstLine="720"/>
        <w:jc w:val="both"/>
        <w:rPr>
          <w:lang w:val="lv-LV"/>
        </w:rPr>
      </w:pPr>
      <w:r w:rsidRPr="001B7AB2">
        <w:rPr>
          <w:lang w:val="lv-LV"/>
        </w:rPr>
        <w:t>Līdz ar to minētās prasības nav paredzēts nodrošināt tikai ar web risinājumu. Android native mobilā lietotne ir obligāta.</w:t>
      </w:r>
    </w:p>
    <w:p w14:paraId="177EB35C" w14:textId="77777777" w:rsidR="00AF17DB" w:rsidRPr="001B7AB2" w:rsidRDefault="00AF17DB" w:rsidP="004D7E23">
      <w:pPr>
        <w:ind w:right="-7"/>
        <w:jc w:val="both"/>
        <w:rPr>
          <w:b/>
          <w:bCs/>
          <w:lang w:val="lv-LV"/>
        </w:rPr>
      </w:pPr>
    </w:p>
    <w:p w14:paraId="7A3E4E3F" w14:textId="77777777" w:rsidR="004D7E23" w:rsidRPr="001B7AB2" w:rsidRDefault="004D7E23" w:rsidP="004D7E23">
      <w:pPr>
        <w:ind w:right="-7"/>
        <w:jc w:val="both"/>
        <w:rPr>
          <w:b/>
          <w:bCs/>
          <w:lang w:val="lv-LV"/>
        </w:rPr>
      </w:pPr>
    </w:p>
    <w:p w14:paraId="192E0DE4" w14:textId="5AC5F58B" w:rsidR="004D7E23" w:rsidRPr="001B7AB2" w:rsidRDefault="004D7E23" w:rsidP="004D7E23">
      <w:pPr>
        <w:ind w:right="-7"/>
        <w:jc w:val="both"/>
        <w:rPr>
          <w:b/>
          <w:bCs/>
          <w:lang w:val="lv-LV"/>
        </w:rPr>
      </w:pPr>
      <w:r w:rsidRPr="001B7AB2">
        <w:rPr>
          <w:b/>
          <w:bCs/>
          <w:lang w:val="lv-LV"/>
        </w:rPr>
        <w:t>3.Jautājums:</w:t>
      </w:r>
    </w:p>
    <w:p w14:paraId="69AEA7AB" w14:textId="3EFE982B" w:rsidR="004D7E23" w:rsidRPr="001B7AB2" w:rsidRDefault="00FD14A9" w:rsidP="004D7E23">
      <w:pPr>
        <w:ind w:right="-7"/>
        <w:jc w:val="both"/>
        <w:rPr>
          <w:lang w:val="lv-LV"/>
        </w:rPr>
      </w:pPr>
      <w:r w:rsidRPr="001B7AB2">
        <w:rPr>
          <w:lang w:val="lv-LV"/>
        </w:rPr>
        <w:t>Lūdzam precizēt, vai Tehniskajā specifikācijā ietvertā prasība par konteinerizētu vidi nozīmē obligātu Kubernetes izmantošanu, vai arī piemēram ir pieļaujams risinājums, kas izmanto Docker konteinerus un PostgreSQL datubāzi bez Kubernetes?</w:t>
      </w:r>
    </w:p>
    <w:p w14:paraId="22886132" w14:textId="77777777" w:rsidR="00FD14A9" w:rsidRPr="001B7AB2" w:rsidRDefault="00FD14A9" w:rsidP="004D7E23">
      <w:pPr>
        <w:ind w:right="-7"/>
        <w:jc w:val="both"/>
        <w:rPr>
          <w:lang w:val="lv-LV"/>
        </w:rPr>
      </w:pPr>
    </w:p>
    <w:p w14:paraId="6C632F13" w14:textId="77777777" w:rsidR="004D7E23" w:rsidRPr="001B7AB2" w:rsidRDefault="004D7E23" w:rsidP="004D7E23">
      <w:pPr>
        <w:ind w:right="-7"/>
        <w:jc w:val="both"/>
        <w:rPr>
          <w:b/>
          <w:bCs/>
          <w:lang w:val="lv-LV"/>
        </w:rPr>
      </w:pPr>
      <w:r w:rsidRPr="001B7AB2">
        <w:rPr>
          <w:b/>
          <w:bCs/>
          <w:lang w:val="lv-LV"/>
        </w:rPr>
        <w:t>Atbilde:</w:t>
      </w:r>
    </w:p>
    <w:p w14:paraId="2885883A" w14:textId="03E2853C" w:rsidR="00D70D98" w:rsidRPr="001B7AB2" w:rsidRDefault="00BF4048" w:rsidP="00D70D98">
      <w:pPr>
        <w:ind w:right="-7" w:firstLine="720"/>
        <w:jc w:val="both"/>
        <w:rPr>
          <w:lang w:val="lv-LV"/>
        </w:rPr>
      </w:pPr>
      <w:r w:rsidRPr="001B7AB2">
        <w:rPr>
          <w:lang w:val="lv-LV"/>
        </w:rPr>
        <w:t xml:space="preserve">Skaidrojam, </w:t>
      </w:r>
      <w:r w:rsidR="00D70D98" w:rsidRPr="001B7AB2">
        <w:rPr>
          <w:lang w:val="lv-LV"/>
        </w:rPr>
        <w:t>Tehniskajā specifikācijā konteinerizētai videi ir paredzēta darbība Kubernetes vidē. Jo īpaši 7.10.2.5.4. punktā noteikts, ka risinājumam jāparedz darbība konteinerizētā vidē (Kubernetes).</w:t>
      </w:r>
    </w:p>
    <w:p w14:paraId="7FD627CF" w14:textId="77777777" w:rsidR="00D70D98" w:rsidRPr="001B7AB2" w:rsidRDefault="00D70D98" w:rsidP="00D70D98">
      <w:pPr>
        <w:ind w:right="-7" w:firstLine="720"/>
        <w:jc w:val="both"/>
        <w:rPr>
          <w:lang w:val="lv-LV"/>
        </w:rPr>
      </w:pPr>
      <w:r w:rsidRPr="001B7AB2">
        <w:rPr>
          <w:lang w:val="lv-LV"/>
        </w:rPr>
        <w:t>Līdz ar to risinājums, kas izmanto tikai Docker konteinerus bez Kubernetes, neatbilst noteiktajai prasībai par darbību Kubernetes vidē.</w:t>
      </w:r>
    </w:p>
    <w:p w14:paraId="14B0DDCA" w14:textId="77777777" w:rsidR="00D70D98" w:rsidRPr="001B7AB2" w:rsidRDefault="00D70D98" w:rsidP="00D70D98">
      <w:pPr>
        <w:ind w:right="-7" w:firstLine="720"/>
        <w:jc w:val="both"/>
        <w:rPr>
          <w:lang w:val="lv-LV"/>
        </w:rPr>
      </w:pPr>
      <w:r w:rsidRPr="001B7AB2">
        <w:rPr>
          <w:lang w:val="lv-LV"/>
        </w:rPr>
        <w:t>Vienlaikus Tehniskajā specifikācijā nav noteikts, ka datubāzei obligāti jābūt PostgreSQL – PostgreSQL 6.1.2. punktā ir minēts kā piemērs. Konkrētais tehnoloģiskais risinājums ir Izpildītāja piedāvājuma daļa, ciktāl tas nodrošina visas Tehniskajā specifikācijā noteiktās prasības.</w:t>
      </w:r>
    </w:p>
    <w:p w14:paraId="2C69E890" w14:textId="77777777" w:rsidR="004D7E23" w:rsidRPr="001B7AB2" w:rsidRDefault="004D7E23" w:rsidP="004D7E23">
      <w:pPr>
        <w:ind w:right="-7"/>
        <w:jc w:val="both"/>
        <w:rPr>
          <w:b/>
          <w:bCs/>
          <w:lang w:val="lv-LV"/>
        </w:rPr>
      </w:pPr>
    </w:p>
    <w:p w14:paraId="37A02723" w14:textId="77777777" w:rsidR="004D7E23" w:rsidRPr="001B7AB2" w:rsidRDefault="004D7E23" w:rsidP="004D7E23">
      <w:pPr>
        <w:ind w:right="-7"/>
        <w:jc w:val="both"/>
        <w:rPr>
          <w:b/>
          <w:bCs/>
          <w:lang w:val="lv-LV"/>
        </w:rPr>
      </w:pPr>
    </w:p>
    <w:p w14:paraId="4183F1E6" w14:textId="22B7714B" w:rsidR="004D7E23" w:rsidRPr="001B7AB2" w:rsidRDefault="004D7E23" w:rsidP="004D7E23">
      <w:pPr>
        <w:ind w:right="-7"/>
        <w:jc w:val="both"/>
        <w:rPr>
          <w:b/>
          <w:bCs/>
          <w:lang w:val="lv-LV"/>
        </w:rPr>
      </w:pPr>
      <w:r w:rsidRPr="001B7AB2">
        <w:rPr>
          <w:b/>
          <w:bCs/>
          <w:lang w:val="lv-LV"/>
        </w:rPr>
        <w:t>4.Jautājums:</w:t>
      </w:r>
    </w:p>
    <w:p w14:paraId="7B8F1A70" w14:textId="77777777" w:rsidR="00E05DD3" w:rsidRPr="001B7AB2" w:rsidRDefault="00E05DD3" w:rsidP="00E05DD3">
      <w:pPr>
        <w:jc w:val="both"/>
        <w:rPr>
          <w:lang w:val="lv-LV"/>
        </w:rPr>
      </w:pPr>
      <w:r w:rsidRPr="001B7AB2">
        <w:rPr>
          <w:lang w:val="lv-LV"/>
        </w:rPr>
        <w:t xml:space="preserve">Nolikuma 6.pielikumā Līgumprojekta 3.2.2.punktā noteikts, ka Sistēmas garantija jānodrošina 12 mēnešus no Sistēmas  piegādes un pieņemšanas dienas Izpildītājam jānodrošina bez maksas. </w:t>
      </w:r>
    </w:p>
    <w:p w14:paraId="3AF6E100" w14:textId="11B22DAE" w:rsidR="00E05DD3" w:rsidRPr="001B7AB2" w:rsidRDefault="00E05DD3" w:rsidP="00E05DD3">
      <w:pPr>
        <w:jc w:val="both"/>
        <w:rPr>
          <w:lang w:val="lv-LV"/>
        </w:rPr>
      </w:pPr>
      <w:r w:rsidRPr="001B7AB2">
        <w:rPr>
          <w:lang w:val="lv-LV"/>
        </w:rPr>
        <w:t xml:space="preserve">Garantijas prasības noteiktas Tehniskās specifikācijas 9.2.daļā. </w:t>
      </w:r>
      <w:r w:rsidRPr="001B7AB2">
        <w:rPr>
          <w:lang w:val="lv-LV"/>
        </w:rPr>
        <w:br/>
        <w:t xml:space="preserve">Lūdzu precizēt, vai pēc sistēmas piegādes nākamo 12 mēnešu periodā Izpildītājam nav jānodrošina sistēmas uzturēšanas, pārvaldības un atbalsta darbi, kas noteikti Tehniskās specifikācijas 9.3.daļā? </w:t>
      </w:r>
    </w:p>
    <w:p w14:paraId="26FD7B37" w14:textId="77777777" w:rsidR="004D7E23" w:rsidRPr="001B7AB2" w:rsidRDefault="004D7E23" w:rsidP="004D7E23">
      <w:pPr>
        <w:ind w:right="-7"/>
        <w:jc w:val="both"/>
        <w:rPr>
          <w:lang w:val="lv-LV"/>
        </w:rPr>
      </w:pPr>
    </w:p>
    <w:p w14:paraId="656CAAF2" w14:textId="77777777" w:rsidR="004D7E23" w:rsidRPr="001B7AB2" w:rsidRDefault="004D7E23" w:rsidP="004D7E23">
      <w:pPr>
        <w:ind w:right="-7"/>
        <w:jc w:val="both"/>
        <w:rPr>
          <w:b/>
          <w:bCs/>
          <w:lang w:val="lv-LV"/>
        </w:rPr>
      </w:pPr>
      <w:r w:rsidRPr="001B7AB2">
        <w:rPr>
          <w:b/>
          <w:bCs/>
          <w:lang w:val="lv-LV"/>
        </w:rPr>
        <w:t>Atbilde:</w:t>
      </w:r>
    </w:p>
    <w:p w14:paraId="0DEE483A" w14:textId="77777777" w:rsidR="00514982" w:rsidRPr="001B7AB2" w:rsidRDefault="00514982" w:rsidP="00514982">
      <w:pPr>
        <w:ind w:right="-7" w:firstLine="720"/>
        <w:jc w:val="both"/>
        <w:rPr>
          <w:lang w:val="lv-LV"/>
        </w:rPr>
      </w:pPr>
      <w:r w:rsidRPr="001B7AB2">
        <w:rPr>
          <w:lang w:val="lv-LV"/>
        </w:rPr>
        <w:t>Garantijas periodā Izpildītājam ir jānodrošina Tehniskās specifikācijas 9.2. sadaļā noteiktās garantijas prasības, tai skaitā 9.2.4. punktā paredzētā garantijas uzturēšana (maintenance). Tā ietver korektīvo uzturēšanu (kļūdu novēršanu), preventīvo uzturēšanu (potenciālo problēmu novēršanu), kā arī front-end un back-end komponentu uzturēšanu.</w:t>
      </w:r>
    </w:p>
    <w:p w14:paraId="307F59BC" w14:textId="77777777" w:rsidR="00514982" w:rsidRPr="001B7AB2" w:rsidRDefault="00514982" w:rsidP="00514982">
      <w:pPr>
        <w:ind w:right="-7" w:firstLine="720"/>
        <w:jc w:val="both"/>
        <w:rPr>
          <w:lang w:val="lv-LV"/>
        </w:rPr>
      </w:pPr>
      <w:r w:rsidRPr="001B7AB2">
        <w:rPr>
          <w:lang w:val="lv-LV"/>
        </w:rPr>
        <w:t>Ja garantijas periodā rodas kļūda vai incidents, kas ir saistīts ar Izpildītāja izstrādāto Sistēmu, tas novēršams garantijas ietvaros atbilstoši Tehniskās specifikācijas 9.2. sadaļai.</w:t>
      </w:r>
    </w:p>
    <w:p w14:paraId="0B64AF5F" w14:textId="77777777" w:rsidR="00514982" w:rsidRPr="001B7AB2" w:rsidRDefault="00514982" w:rsidP="00514982">
      <w:pPr>
        <w:ind w:right="-7" w:firstLine="720"/>
        <w:jc w:val="both"/>
        <w:rPr>
          <w:lang w:val="lv-LV"/>
        </w:rPr>
      </w:pPr>
      <w:r w:rsidRPr="001B7AB2">
        <w:rPr>
          <w:lang w:val="lv-LV"/>
        </w:rPr>
        <w:t>Vienlaikus Tehniskās specifikācijas 9.3. sadaļā noteiktā Sistēmas uzturēšana un pārvaldība ir paredzēta atsevišķam uzturēšanas periodam pēc garantijas perioda beigām. Saskaņā ar Tehniskās specifikācijas 3.7. punktu kopējais līguma termiņš ir 48 mēneši, no kuriem 12 mēneši ir Sistēmas garantijas periods un nākamie 24 mēneši – Sistēmas uzturēšana pēc garantijas perioda beigām.</w:t>
      </w:r>
    </w:p>
    <w:p w14:paraId="4ACD200F" w14:textId="77777777" w:rsidR="00514982" w:rsidRDefault="00514982" w:rsidP="00514982">
      <w:pPr>
        <w:ind w:right="-7" w:firstLine="720"/>
        <w:jc w:val="both"/>
        <w:rPr>
          <w:lang w:val="lv-LV"/>
        </w:rPr>
      </w:pPr>
      <w:r w:rsidRPr="001B7AB2">
        <w:rPr>
          <w:lang w:val="lv-LV"/>
        </w:rPr>
        <w:t>Tādējādi garantijas periodā Izpildītājam nav atsevišķi jānodrošina 9.3. sadaļā noteiktais uzturēšanas un pārvaldības pakalpojums, bet ir jānodrošina visas 9.2. sadaļā noteiktās garantijas un garantijas uzturēšanas prasības, tostarp kļūdu un defektu novēršana. Savukārt 9.3. sadaļā noteiktā Sistēmas uzturēšana un pārvaldība tiek nodrošināta pēc garantijas perioda beigām.</w:t>
      </w:r>
    </w:p>
    <w:p w14:paraId="432E05CD" w14:textId="77777777" w:rsidR="00351B15" w:rsidRDefault="00351B15" w:rsidP="00514982">
      <w:pPr>
        <w:ind w:right="-7" w:firstLine="720"/>
        <w:jc w:val="both"/>
        <w:rPr>
          <w:lang w:val="lv-LV"/>
        </w:rPr>
      </w:pPr>
    </w:p>
    <w:p w14:paraId="41D97545" w14:textId="77777777" w:rsidR="00C9306C" w:rsidRDefault="00C9306C" w:rsidP="00514982">
      <w:pPr>
        <w:ind w:right="-7" w:firstLine="720"/>
        <w:jc w:val="both"/>
        <w:rPr>
          <w:lang w:val="lv-LV"/>
        </w:rPr>
      </w:pPr>
    </w:p>
    <w:p w14:paraId="6B673F25" w14:textId="77777777" w:rsidR="00C9306C" w:rsidRDefault="00C9306C" w:rsidP="00514982">
      <w:pPr>
        <w:ind w:right="-7" w:firstLine="720"/>
        <w:jc w:val="both"/>
        <w:rPr>
          <w:lang w:val="lv-LV"/>
        </w:rPr>
      </w:pPr>
    </w:p>
    <w:p w14:paraId="75B89D81" w14:textId="105FD366" w:rsidR="004D7E23" w:rsidRPr="001B7AB2" w:rsidRDefault="004D7E23" w:rsidP="004D7E23">
      <w:pPr>
        <w:ind w:right="-7"/>
        <w:jc w:val="both"/>
        <w:rPr>
          <w:b/>
          <w:bCs/>
          <w:lang w:val="lv-LV"/>
        </w:rPr>
      </w:pPr>
      <w:r w:rsidRPr="001B7AB2">
        <w:rPr>
          <w:b/>
          <w:bCs/>
          <w:lang w:val="lv-LV"/>
        </w:rPr>
        <w:lastRenderedPageBreak/>
        <w:t>5.Jautājums:</w:t>
      </w:r>
    </w:p>
    <w:p w14:paraId="36530FEA" w14:textId="77777777" w:rsidR="004A1662" w:rsidRPr="001B7AB2" w:rsidRDefault="004A1662" w:rsidP="004A1662">
      <w:pPr>
        <w:jc w:val="both"/>
        <w:rPr>
          <w:lang w:val="lv-LV"/>
        </w:rPr>
      </w:pPr>
      <w:r w:rsidRPr="001B7AB2">
        <w:rPr>
          <w:lang w:val="lv-LV"/>
        </w:rPr>
        <w:t xml:space="preserve">Nolikuma 18.punktā norādīts, ka: </w:t>
      </w:r>
      <w:r w:rsidRPr="001B7AB2">
        <w:rPr>
          <w:lang w:val="lv-LV"/>
        </w:rPr>
        <w:br/>
      </w:r>
      <w:r w:rsidRPr="001B7AB2">
        <w:rPr>
          <w:i/>
          <w:iCs/>
          <w:lang w:val="lv-LV"/>
        </w:rPr>
        <w:t>“Pasūtītājs ir tiesīgs papildus no Pretendenta pieprasīt pasūtītāju izziņas (atsauksmes) par visiem pretendenta pieredzes sarakstā norādītajiem pakalpojumiem, kuros tas apliecina pretendenta pieredzi atbilstoši nolikuma 17.1. punktam. ”</w:t>
      </w:r>
    </w:p>
    <w:p w14:paraId="2B964C77" w14:textId="77777777" w:rsidR="004A1662" w:rsidRPr="001B7AB2" w:rsidRDefault="004A1662" w:rsidP="004A1662">
      <w:pPr>
        <w:jc w:val="both"/>
        <w:rPr>
          <w:lang w:val="lv-LV"/>
        </w:rPr>
      </w:pPr>
      <w:r w:rsidRPr="001B7AB2">
        <w:rPr>
          <w:lang w:val="lv-LV"/>
        </w:rPr>
        <w:t>Lūgums precizēt, vai piedāvājumu iesniedzot Pretendentam nav jāpievieno klientu atsauksmes, kas apliecina pretendenta pieredzi atbilstoši nolikuma 17.1.punktam un tās būs nepieciešams iesniegt tikai pēc pasūtītāja pieprasījuma?</w:t>
      </w:r>
    </w:p>
    <w:p w14:paraId="1BBC2CCB" w14:textId="77777777" w:rsidR="004D7E23" w:rsidRPr="001B7AB2" w:rsidRDefault="004D7E23" w:rsidP="004D7E23">
      <w:pPr>
        <w:ind w:right="-7"/>
        <w:jc w:val="both"/>
        <w:rPr>
          <w:lang w:val="lv-LV"/>
        </w:rPr>
      </w:pPr>
    </w:p>
    <w:p w14:paraId="1D0F1FA5" w14:textId="77777777" w:rsidR="004D7E23" w:rsidRPr="001B7AB2" w:rsidRDefault="004D7E23" w:rsidP="004D7E23">
      <w:pPr>
        <w:ind w:right="-7"/>
        <w:jc w:val="both"/>
        <w:rPr>
          <w:b/>
          <w:bCs/>
          <w:lang w:val="lv-LV"/>
        </w:rPr>
      </w:pPr>
      <w:r w:rsidRPr="001B7AB2">
        <w:rPr>
          <w:b/>
          <w:bCs/>
          <w:lang w:val="lv-LV"/>
        </w:rPr>
        <w:t>Atbilde:</w:t>
      </w:r>
    </w:p>
    <w:p w14:paraId="14BE2B3E" w14:textId="14000965" w:rsidR="00F95E35" w:rsidRPr="001B7AB2" w:rsidRDefault="00CD2AC9" w:rsidP="00CD2AC9">
      <w:pPr>
        <w:ind w:right="-7" w:firstLine="720"/>
        <w:jc w:val="both"/>
        <w:rPr>
          <w:lang w:val="lv-LV"/>
        </w:rPr>
      </w:pPr>
      <w:r w:rsidRPr="001B7AB2">
        <w:rPr>
          <w:lang w:val="lv-LV"/>
        </w:rPr>
        <w:t>Skaidrojam, ka</w:t>
      </w:r>
      <w:r w:rsidR="00F95E35" w:rsidRPr="001B7AB2">
        <w:rPr>
          <w:lang w:val="lv-LV"/>
        </w:rPr>
        <w:t xml:space="preserve"> iesniedzot piedāvājumu, Pretendentam nav obligāti jāpievieno klientu atsauksmes, kas apliecina pieredzi atbilstoši Nolikuma 17.1. punktam. Vienlaikus Pretendents šādas atsauksmes var pievienot jau piedāvājuma iesniegšanas brīdī. Saskaņā ar Nolikuma </w:t>
      </w:r>
      <w:r w:rsidR="008C427B" w:rsidRPr="001B7AB2">
        <w:rPr>
          <w:lang w:val="lv-LV"/>
        </w:rPr>
        <w:t xml:space="preserve">18.2.3. </w:t>
      </w:r>
      <w:r w:rsidR="00F95E35" w:rsidRPr="001B7AB2">
        <w:rPr>
          <w:lang w:val="lv-LV"/>
        </w:rPr>
        <w:t>punktu, vērtējot piedāvājumus, Pasūtītājs ir tiesīgs pieprasīt Pretendentam iesniegt pasūtītāju izziņas (atsauksmes) par pretendenta pieredzes sarakstā norādītajiem pakalpojumiem.</w:t>
      </w:r>
    </w:p>
    <w:p w14:paraId="5EF5E258" w14:textId="77777777" w:rsidR="004D7E23" w:rsidRPr="001B7AB2" w:rsidRDefault="004D7E23" w:rsidP="00486D91">
      <w:pPr>
        <w:ind w:right="372"/>
        <w:jc w:val="both"/>
        <w:outlineLvl w:val="0"/>
        <w:rPr>
          <w:lang w:val="lv-LV"/>
        </w:rPr>
      </w:pPr>
    </w:p>
    <w:p w14:paraId="09AE106B" w14:textId="77777777" w:rsidR="004D7E23" w:rsidRPr="001B7AB2" w:rsidRDefault="004D7E23" w:rsidP="00486D91">
      <w:pPr>
        <w:ind w:right="372"/>
        <w:jc w:val="both"/>
        <w:outlineLvl w:val="0"/>
        <w:rPr>
          <w:lang w:val="lv-LV"/>
        </w:rPr>
      </w:pPr>
    </w:p>
    <w:p w14:paraId="324CEFCB" w14:textId="6D395E9B" w:rsidR="00486D91" w:rsidRPr="001B7AB2" w:rsidRDefault="00486D91" w:rsidP="00486D91">
      <w:pPr>
        <w:ind w:right="372"/>
        <w:jc w:val="both"/>
        <w:outlineLvl w:val="0"/>
        <w:rPr>
          <w:lang w:val="lv-LV"/>
        </w:rPr>
      </w:pPr>
      <w:r w:rsidRPr="001B7AB2">
        <w:rPr>
          <w:lang w:val="lv-LV"/>
        </w:rPr>
        <w:t>Iepirkumu komisijas priekšsēdētāja</w:t>
      </w:r>
      <w:r w:rsidRPr="001B7AB2">
        <w:rPr>
          <w:lang w:val="lv-LV"/>
        </w:rPr>
        <w:tab/>
      </w:r>
      <w:r w:rsidRPr="001B7AB2">
        <w:rPr>
          <w:lang w:val="lv-LV"/>
        </w:rPr>
        <w:tab/>
      </w:r>
      <w:r w:rsidRPr="001B7AB2">
        <w:rPr>
          <w:lang w:val="lv-LV"/>
        </w:rPr>
        <w:tab/>
      </w:r>
      <w:r w:rsidRPr="001B7AB2">
        <w:rPr>
          <w:lang w:val="lv-LV"/>
        </w:rPr>
        <w:tab/>
      </w:r>
      <w:r w:rsidRPr="001B7AB2">
        <w:rPr>
          <w:lang w:val="lv-LV"/>
        </w:rPr>
        <w:tab/>
      </w:r>
      <w:r w:rsidRPr="001B7AB2">
        <w:rPr>
          <w:lang w:val="lv-LV"/>
        </w:rPr>
        <w:tab/>
        <w:t>K. Meiberga</w:t>
      </w:r>
    </w:p>
    <w:p w14:paraId="4C9801CE" w14:textId="77777777" w:rsidR="00486D91" w:rsidRPr="001B7AB2" w:rsidRDefault="00486D91" w:rsidP="00486D91">
      <w:pPr>
        <w:jc w:val="center"/>
        <w:rPr>
          <w:lang w:val="lv-LV"/>
        </w:rPr>
      </w:pPr>
    </w:p>
    <w:p w14:paraId="7E8A2B7A" w14:textId="77777777" w:rsidR="00486D91" w:rsidRPr="001B7AB2" w:rsidRDefault="00486D91" w:rsidP="00486D91">
      <w:pPr>
        <w:jc w:val="center"/>
        <w:rPr>
          <w:lang w:val="lv-LV"/>
        </w:rPr>
      </w:pPr>
    </w:p>
    <w:p w14:paraId="15B2D9E3" w14:textId="77777777" w:rsidR="00486D91" w:rsidRPr="001B7AB2" w:rsidRDefault="00486D91" w:rsidP="00486D91">
      <w:pPr>
        <w:jc w:val="center"/>
        <w:rPr>
          <w:lang w:val="lv-LV"/>
        </w:rPr>
      </w:pPr>
    </w:p>
    <w:p w14:paraId="095DA8F8" w14:textId="77777777" w:rsidR="00486D91" w:rsidRPr="001B7AB2" w:rsidRDefault="00486D91" w:rsidP="00486D91">
      <w:pPr>
        <w:jc w:val="center"/>
        <w:rPr>
          <w:lang w:val="lv-LV"/>
        </w:rPr>
      </w:pPr>
    </w:p>
    <w:p w14:paraId="15645AEF" w14:textId="77777777" w:rsidR="001D43D0" w:rsidRPr="001B7AB2" w:rsidRDefault="001D43D0" w:rsidP="001C1098">
      <w:pPr>
        <w:rPr>
          <w:lang w:val="lv-LV"/>
        </w:rPr>
      </w:pPr>
    </w:p>
    <w:p w14:paraId="2EE61468" w14:textId="26660D9A" w:rsidR="00AD6E80" w:rsidRPr="001B7AB2" w:rsidRDefault="00AD6E80" w:rsidP="00611305">
      <w:pPr>
        <w:tabs>
          <w:tab w:val="left" w:pos="1995"/>
        </w:tabs>
        <w:rPr>
          <w:sz w:val="16"/>
          <w:szCs w:val="16"/>
          <w:lang w:val="lv-LV"/>
        </w:rPr>
      </w:pPr>
    </w:p>
    <w:sectPr w:rsidR="00AD6E80" w:rsidRPr="001B7AB2" w:rsidSect="00AD6E80">
      <w:headerReference w:type="even" r:id="rId12"/>
      <w:headerReference w:type="default" r:id="rId13"/>
      <w:footerReference w:type="default" r:id="rId14"/>
      <w:headerReference w:type="first" r:id="rId15"/>
      <w:footerReference w:type="first" r:id="rId16"/>
      <w:pgSz w:w="11900" w:h="16840" w:code="9"/>
      <w:pgMar w:top="1134" w:right="851" w:bottom="1134"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440E8" w14:textId="77777777" w:rsidR="00AE2C67" w:rsidRDefault="00AE2C67">
      <w:r>
        <w:separator/>
      </w:r>
    </w:p>
  </w:endnote>
  <w:endnote w:type="continuationSeparator" w:id="0">
    <w:p w14:paraId="046A71C6" w14:textId="77777777" w:rsidR="00AE2C67" w:rsidRDefault="00AE2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794372"/>
      <w:docPartObj>
        <w:docPartGallery w:val="Page Numbers (Bottom of Page)"/>
        <w:docPartUnique/>
      </w:docPartObj>
    </w:sdtPr>
    <w:sdtEndPr/>
    <w:sdtContent>
      <w:p w14:paraId="16F49A90" w14:textId="3FB115D6" w:rsidR="00AD6E80" w:rsidRDefault="00AD6E80">
        <w:pPr>
          <w:pStyle w:val="Footer"/>
          <w:jc w:val="right"/>
        </w:pPr>
        <w:r>
          <w:fldChar w:fldCharType="begin"/>
        </w:r>
        <w:r>
          <w:instrText>PAGE   \* MERGEFORMAT</w:instrText>
        </w:r>
        <w:r>
          <w:fldChar w:fldCharType="separate"/>
        </w:r>
        <w:r>
          <w:rPr>
            <w:lang w:val="lv-LV"/>
          </w:rPr>
          <w:t>2</w:t>
        </w:r>
        <w:r>
          <w:fldChar w:fldCharType="end"/>
        </w:r>
      </w:p>
    </w:sdtContent>
  </w:sdt>
  <w:p w14:paraId="4664754B" w14:textId="77777777" w:rsidR="00AD6E80" w:rsidRDefault="00AD6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81AE" w14:textId="71848762" w:rsidR="00904B48" w:rsidRDefault="00611305" w:rsidP="00611305">
    <w:pPr>
      <w:pStyle w:val="Footer"/>
      <w:tabs>
        <w:tab w:val="clear" w:pos="4153"/>
        <w:tab w:val="clear" w:pos="8306"/>
        <w:tab w:val="left" w:pos="600"/>
        <w:tab w:val="left" w:pos="2310"/>
      </w:tabs>
      <w:jc w:val="center"/>
    </w:pPr>
    <w:r>
      <w:rPr>
        <w:noProof/>
        <w:lang w:val="lv-LV" w:eastAsia="lv-LV"/>
      </w:rPr>
      <w:drawing>
        <wp:inline distT="0" distB="0" distL="0" distR="0" wp14:anchorId="044ABF4E" wp14:editId="4299BAD3">
          <wp:extent cx="2883414" cy="396241"/>
          <wp:effectExtent l="0" t="0" r="0" b="381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kumentu_veidlapa_FOOTER-02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3414" cy="3962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067E" w14:textId="77777777" w:rsidR="00AE2C67" w:rsidRDefault="00AE2C67">
      <w:r>
        <w:separator/>
      </w:r>
    </w:p>
  </w:footnote>
  <w:footnote w:type="continuationSeparator" w:id="0">
    <w:p w14:paraId="3ADF9F64" w14:textId="77777777" w:rsidR="00AE2C67" w:rsidRDefault="00AE2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D862" w14:textId="77777777" w:rsidR="00756CAE" w:rsidRDefault="00CA73ED">
    <w:pPr>
      <w:pStyle w:val="HeaderFooterA"/>
      <w:tabs>
        <w:tab w:val="clear" w:pos="9360"/>
        <w:tab w:val="right" w:pos="8782"/>
      </w:tabs>
      <w:rPr>
        <w:rFonts w:ascii="Times New Roman" w:eastAsia="Times New Roman" w:hAnsi="Times New Roman"/>
        <w:color w:val="auto"/>
        <w:lang w:bidi="x-none"/>
      </w:rPr>
    </w:pPr>
    <w:r>
      <w:rPr>
        <w:noProof/>
        <w:lang w:val="lv-LV"/>
      </w:rPr>
      <mc:AlternateContent>
        <mc:Choice Requires="wps">
          <w:drawing>
            <wp:inline distT="0" distB="0" distL="0" distR="0" wp14:anchorId="6E8DD364" wp14:editId="51F3936C">
              <wp:extent cx="5575935" cy="2012950"/>
              <wp:effectExtent l="0" t="0" r="0" b="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5935" cy="201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35F340" id="AutoShape 1" o:spid="_x0000_s1026" style="width:439.0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" filled="f" stroked="f">
              <v:path arrowok="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C8A8" w14:textId="77777777" w:rsidR="00756CAE" w:rsidRDefault="00756CAE">
    <w:pPr>
      <w:pStyle w:val="HeaderFooterA"/>
      <w:tabs>
        <w:tab w:val="clear" w:pos="9360"/>
        <w:tab w:val="right" w:pos="8782"/>
      </w:tabs>
      <w:rPr>
        <w:rFonts w:ascii="Times New Roman" w:eastAsia="Times New Roman" w:hAnsi="Times New Roman"/>
        <w:color w:val="auto"/>
        <w:lang w:bidi="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877D" w14:textId="3C1ADCE1" w:rsidR="00756CAE" w:rsidRDefault="00E3203C" w:rsidP="00F631D4">
    <w:pPr>
      <w:pStyle w:val="Header"/>
      <w:tabs>
        <w:tab w:val="left" w:pos="426"/>
        <w:tab w:val="left" w:pos="1418"/>
      </w:tabs>
    </w:pPr>
    <w:r>
      <w:rPr>
        <w:noProof/>
      </w:rPr>
      <w:drawing>
        <wp:inline distT="0" distB="0" distL="0" distR="0" wp14:anchorId="6D986B24" wp14:editId="61EA3D9C">
          <wp:extent cx="5537200" cy="158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kumentu_Pamatveidlapa_ar_FOOTER-01.png"/>
                  <pic:cNvPicPr/>
                </pic:nvPicPr>
                <pic:blipFill>
                  <a:blip r:embed="rId1">
                    <a:extLst>
                      <a:ext uri="{28A0092B-C50C-407E-A947-70E740481C1C}">
                        <a14:useLocalDpi xmlns:a14="http://schemas.microsoft.com/office/drawing/2010/main" val="0"/>
                      </a:ext>
                    </a:extLst>
                  </a:blip>
                  <a:stretch>
                    <a:fillRect/>
                  </a:stretch>
                </pic:blipFill>
                <pic:spPr>
                  <a:xfrm>
                    <a:off x="0" y="0"/>
                    <a:ext cx="5537200" cy="1587500"/>
                  </a:xfrm>
                  <a:prstGeom prst="rect">
                    <a:avLst/>
                  </a:prstGeom>
                </pic:spPr>
              </pic:pic>
            </a:graphicData>
          </a:graphic>
        </wp:inline>
      </w:drawing>
    </w:r>
  </w:p>
  <w:p w14:paraId="2E3C67A7" w14:textId="5A42A3CB" w:rsidR="00C96B4F" w:rsidRPr="00BA1D4B" w:rsidRDefault="00BA1D4B" w:rsidP="00BA1D4B">
    <w:pPr>
      <w:pStyle w:val="Header"/>
      <w:tabs>
        <w:tab w:val="left" w:pos="426"/>
        <w:tab w:val="left" w:pos="1418"/>
      </w:tabs>
      <w:jc w:val="center"/>
      <w:rPr>
        <w:lang w:val="lv-LV"/>
      </w:rPr>
    </w:pPr>
    <w:r w:rsidRPr="00BA1D4B">
      <w:rPr>
        <w:lang w:val="lv-LV"/>
      </w:rPr>
      <w:t>Rīgā</w:t>
    </w:r>
  </w:p>
  <w:p w14:paraId="4992808E" w14:textId="145AB150" w:rsidR="00BA1D4B" w:rsidRPr="00BA1D4B" w:rsidRDefault="00BA1D4B" w:rsidP="00BA1D4B">
    <w:pPr>
      <w:pStyle w:val="Header"/>
      <w:tabs>
        <w:tab w:val="left" w:pos="426"/>
        <w:tab w:val="left" w:pos="1418"/>
      </w:tabs>
      <w:jc w:val="center"/>
      <w:rPr>
        <w:lang w:val="lv-LV"/>
      </w:rPr>
    </w:pPr>
  </w:p>
  <w:p w14:paraId="765108D9" w14:textId="358DE1F5" w:rsidR="00BA1D4B" w:rsidRDefault="00BA1D4B" w:rsidP="00BA1D4B">
    <w:pPr>
      <w:pStyle w:val="Header"/>
      <w:tabs>
        <w:tab w:val="left" w:pos="426"/>
        <w:tab w:val="left" w:pos="1418"/>
      </w:tabs>
      <w:jc w:val="both"/>
    </w:pPr>
    <w:bookmarkStart w:id="1" w:name="docDate"/>
    <w:bookmarkEnd w:id="1"/>
    <w:r>
      <w:t xml:space="preserve"> </w:t>
    </w:r>
    <w:bookmarkStart w:id="2" w:name="docNr"/>
    <w:bookmarkEnd w:id="2"/>
    <w:r w:rsidR="00C9306C">
      <w:t>14.09.2026.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2C618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B41B1E"/>
    <w:multiLevelType w:val="hybridMultilevel"/>
    <w:tmpl w:val="D884D5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6434798">
    <w:abstractNumId w:val="0"/>
  </w:num>
  <w:num w:numId="2" w16cid:durableId="466050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7"/>
    <w:rsid w:val="00004F0D"/>
    <w:rsid w:val="0004286D"/>
    <w:rsid w:val="000525F0"/>
    <w:rsid w:val="00083E27"/>
    <w:rsid w:val="00155FE6"/>
    <w:rsid w:val="00176AEB"/>
    <w:rsid w:val="00180BD7"/>
    <w:rsid w:val="001B000D"/>
    <w:rsid w:val="001B7AB2"/>
    <w:rsid w:val="001C1098"/>
    <w:rsid w:val="001D43D0"/>
    <w:rsid w:val="00233FCE"/>
    <w:rsid w:val="002375CB"/>
    <w:rsid w:val="002E0214"/>
    <w:rsid w:val="002E786C"/>
    <w:rsid w:val="002F0909"/>
    <w:rsid w:val="00325A6F"/>
    <w:rsid w:val="00336C2D"/>
    <w:rsid w:val="00351B15"/>
    <w:rsid w:val="00384C24"/>
    <w:rsid w:val="003877B2"/>
    <w:rsid w:val="003A76FA"/>
    <w:rsid w:val="003A7F9D"/>
    <w:rsid w:val="003C2FBA"/>
    <w:rsid w:val="004124BC"/>
    <w:rsid w:val="00446224"/>
    <w:rsid w:val="00454D63"/>
    <w:rsid w:val="00486D91"/>
    <w:rsid w:val="00495061"/>
    <w:rsid w:val="004A0D6C"/>
    <w:rsid w:val="004A1662"/>
    <w:rsid w:val="004C2F01"/>
    <w:rsid w:val="004C4EA1"/>
    <w:rsid w:val="004D7E23"/>
    <w:rsid w:val="004E78CB"/>
    <w:rsid w:val="004F581B"/>
    <w:rsid w:val="00514982"/>
    <w:rsid w:val="0054525F"/>
    <w:rsid w:val="0056535A"/>
    <w:rsid w:val="005C7AF2"/>
    <w:rsid w:val="005D3F37"/>
    <w:rsid w:val="00611305"/>
    <w:rsid w:val="00613137"/>
    <w:rsid w:val="006339F1"/>
    <w:rsid w:val="00643CE1"/>
    <w:rsid w:val="00674041"/>
    <w:rsid w:val="00681D93"/>
    <w:rsid w:val="0068584C"/>
    <w:rsid w:val="006874A7"/>
    <w:rsid w:val="00697421"/>
    <w:rsid w:val="006A672C"/>
    <w:rsid w:val="006A7F6E"/>
    <w:rsid w:val="006C2C35"/>
    <w:rsid w:val="006F24FC"/>
    <w:rsid w:val="00712459"/>
    <w:rsid w:val="00756CAE"/>
    <w:rsid w:val="007857EA"/>
    <w:rsid w:val="007875D1"/>
    <w:rsid w:val="007A34BE"/>
    <w:rsid w:val="007D62F7"/>
    <w:rsid w:val="007F501D"/>
    <w:rsid w:val="008034ED"/>
    <w:rsid w:val="00832355"/>
    <w:rsid w:val="00843861"/>
    <w:rsid w:val="008533C8"/>
    <w:rsid w:val="008C427B"/>
    <w:rsid w:val="008D7674"/>
    <w:rsid w:val="008E3092"/>
    <w:rsid w:val="008E4C93"/>
    <w:rsid w:val="00901C98"/>
    <w:rsid w:val="00904B48"/>
    <w:rsid w:val="009134FF"/>
    <w:rsid w:val="00913755"/>
    <w:rsid w:val="00931737"/>
    <w:rsid w:val="00A075D3"/>
    <w:rsid w:val="00A3285A"/>
    <w:rsid w:val="00A52673"/>
    <w:rsid w:val="00A55640"/>
    <w:rsid w:val="00A90154"/>
    <w:rsid w:val="00AA0E4F"/>
    <w:rsid w:val="00AB152E"/>
    <w:rsid w:val="00AD6E80"/>
    <w:rsid w:val="00AE2C67"/>
    <w:rsid w:val="00AF17DB"/>
    <w:rsid w:val="00B17037"/>
    <w:rsid w:val="00B55ED7"/>
    <w:rsid w:val="00B67B48"/>
    <w:rsid w:val="00B70747"/>
    <w:rsid w:val="00BA1D4B"/>
    <w:rsid w:val="00BA5D5B"/>
    <w:rsid w:val="00BF4048"/>
    <w:rsid w:val="00C2117D"/>
    <w:rsid w:val="00C30721"/>
    <w:rsid w:val="00C3216E"/>
    <w:rsid w:val="00C84969"/>
    <w:rsid w:val="00C9306C"/>
    <w:rsid w:val="00C950CD"/>
    <w:rsid w:val="00C96B4F"/>
    <w:rsid w:val="00CA73ED"/>
    <w:rsid w:val="00CD2AC9"/>
    <w:rsid w:val="00D26826"/>
    <w:rsid w:val="00D43D83"/>
    <w:rsid w:val="00D46105"/>
    <w:rsid w:val="00D64FE9"/>
    <w:rsid w:val="00D70D98"/>
    <w:rsid w:val="00D81F1C"/>
    <w:rsid w:val="00D86507"/>
    <w:rsid w:val="00DA0C26"/>
    <w:rsid w:val="00DC6352"/>
    <w:rsid w:val="00DF1987"/>
    <w:rsid w:val="00E05DD3"/>
    <w:rsid w:val="00E210B9"/>
    <w:rsid w:val="00E3203C"/>
    <w:rsid w:val="00E418A7"/>
    <w:rsid w:val="00EB089E"/>
    <w:rsid w:val="00F01C15"/>
    <w:rsid w:val="00F213A8"/>
    <w:rsid w:val="00F40F38"/>
    <w:rsid w:val="00F527AA"/>
    <w:rsid w:val="00F631D4"/>
    <w:rsid w:val="00F736B1"/>
    <w:rsid w:val="00F83C9D"/>
    <w:rsid w:val="00F84DED"/>
    <w:rsid w:val="00F90828"/>
    <w:rsid w:val="00F95E35"/>
    <w:rsid w:val="00FA2591"/>
    <w:rsid w:val="00FD14A9"/>
    <w:rsid w:val="00FE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8B71F65"/>
  <w14:defaultImageDpi w14:val="300"/>
  <w15:chartTrackingRefBased/>
  <w15:docId w15:val="{64EA3D88-3321-4560-9F45-24574A30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85A"/>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A">
    <w:name w:val="Header &amp; Footer A"/>
    <w:pPr>
      <w:tabs>
        <w:tab w:val="right" w:pos="9360"/>
      </w:tabs>
    </w:pPr>
    <w:rPr>
      <w:rFonts w:ascii="Helvetica" w:eastAsia="ヒラギノ角ゴ Pro W3" w:hAnsi="Helvetica"/>
      <w:color w:val="000000"/>
      <w:u w:color="000000"/>
      <w:lang w:eastAsia="lv-LV"/>
    </w:rPr>
  </w:style>
  <w:style w:type="paragraph" w:customStyle="1" w:styleId="HeaderFooter">
    <w:name w:val="Header &amp; Footer"/>
    <w:pPr>
      <w:tabs>
        <w:tab w:val="right" w:pos="9360"/>
      </w:tabs>
    </w:pPr>
    <w:rPr>
      <w:rFonts w:ascii="Helvetica" w:eastAsia="ヒラギノ角ゴ Pro W3" w:hAnsi="Helvetica"/>
      <w:color w:val="000000"/>
      <w:lang w:eastAsia="lv-LV"/>
    </w:rPr>
  </w:style>
  <w:style w:type="paragraph" w:customStyle="1" w:styleId="Body">
    <w:name w:val="Body"/>
    <w:pPr>
      <w:spacing w:after="240"/>
    </w:pPr>
    <w:rPr>
      <w:rFonts w:ascii="Helvetica" w:eastAsia="ヒラギノ角ゴ Pro W3" w:hAnsi="Helvetica"/>
      <w:color w:val="000000"/>
      <w:sz w:val="24"/>
      <w:lang w:eastAsia="lv-LV"/>
    </w:rPr>
  </w:style>
  <w:style w:type="paragraph" w:styleId="Header">
    <w:name w:val="header"/>
    <w:basedOn w:val="Normal"/>
    <w:locked/>
    <w:rsid w:val="00756CAE"/>
    <w:pPr>
      <w:tabs>
        <w:tab w:val="center" w:pos="4153"/>
        <w:tab w:val="right" w:pos="8306"/>
      </w:tabs>
    </w:pPr>
  </w:style>
  <w:style w:type="paragraph" w:styleId="Footer">
    <w:name w:val="footer"/>
    <w:basedOn w:val="Normal"/>
    <w:link w:val="FooterChar"/>
    <w:uiPriority w:val="99"/>
    <w:locked/>
    <w:rsid w:val="00756CAE"/>
    <w:pPr>
      <w:tabs>
        <w:tab w:val="center" w:pos="4153"/>
        <w:tab w:val="right" w:pos="8306"/>
      </w:tabs>
    </w:pPr>
  </w:style>
  <w:style w:type="character" w:customStyle="1" w:styleId="FooterChar">
    <w:name w:val="Footer Char"/>
    <w:basedOn w:val="DefaultParagraphFont"/>
    <w:link w:val="Footer"/>
    <w:uiPriority w:val="99"/>
    <w:rsid w:val="00F84DED"/>
    <w:rPr>
      <w:sz w:val="24"/>
      <w:szCs w:val="24"/>
      <w:lang w:val="en-GB" w:eastAsia="en-US"/>
    </w:rPr>
  </w:style>
  <w:style w:type="character" w:styleId="Hyperlink">
    <w:name w:val="Hyperlink"/>
    <w:basedOn w:val="DefaultParagraphFont"/>
    <w:locked/>
    <w:rsid w:val="00486D91"/>
    <w:rPr>
      <w:color w:val="0563C1" w:themeColor="hyperlink"/>
      <w:u w:val="single"/>
    </w:rPr>
  </w:style>
  <w:style w:type="character" w:styleId="UnresolvedMention">
    <w:name w:val="Unresolved Mention"/>
    <w:basedOn w:val="DefaultParagraphFont"/>
    <w:uiPriority w:val="99"/>
    <w:semiHidden/>
    <w:unhideWhenUsed/>
    <w:rsid w:val="00D26826"/>
    <w:rPr>
      <w:color w:val="605E5C"/>
      <w:shd w:val="clear" w:color="auto" w:fill="E1DFDD"/>
    </w:rPr>
  </w:style>
  <w:style w:type="paragraph" w:styleId="ListParagraph">
    <w:name w:val="List Paragraph"/>
    <w:basedOn w:val="Normal"/>
    <w:uiPriority w:val="34"/>
    <w:qFormat/>
    <w:rsid w:val="00E05DD3"/>
    <w:pPr>
      <w:spacing w:after="160" w:line="278" w:lineRule="auto"/>
      <w:ind w:left="720"/>
      <w:contextualSpacing/>
    </w:pPr>
    <w:rPr>
      <w:rFonts w:asciiTheme="minorHAnsi" w:eastAsiaTheme="minorHAnsi" w:hAnsiTheme="minorHAnsi" w:cstheme="minorBidi"/>
      <w:kern w:val="2"/>
      <w:lang w:val="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33502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6" ma:contentTypeDescription="Izveidot jaunu dokumentu." ma:contentTypeScope="" ma:versionID="1263a3cd0361e608fa0d362c0f83202a">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9a7833ae9d2472d833dcbb5efda119ff"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F302C7-45B4-4A52-9D08-EAD3BBB3A90E}">
  <ds:schemaRefs>
    <ds:schemaRef ds:uri="http://schemas.microsoft.com/office/2006/metadata/longProperties"/>
  </ds:schemaRefs>
</ds:datastoreItem>
</file>

<file path=customXml/itemProps2.xml><?xml version="1.0" encoding="utf-8"?>
<ds:datastoreItem xmlns:ds="http://schemas.openxmlformats.org/officeDocument/2006/customXml" ds:itemID="{A2E68B2D-5A9A-4BC7-B342-391C8871E400}">
  <ds:schemaRefs>
    <ds:schemaRef ds:uri="http://schemas.microsoft.com/sharepoint/v3/contenttype/forms"/>
  </ds:schemaRefs>
</ds:datastoreItem>
</file>

<file path=customXml/itemProps3.xml><?xml version="1.0" encoding="utf-8"?>
<ds:datastoreItem xmlns:ds="http://schemas.openxmlformats.org/officeDocument/2006/customXml" ds:itemID="{43ED7F48-A605-48E0-A38A-B5280ADA0E10}">
  <ds:schemaRefs>
    <ds:schemaRef ds:uri="http://schemas.microsoft.com/office/2006/metadata/properties"/>
    <ds:schemaRef ds:uri="http://schemas.microsoft.com/office/infopath/2007/PartnerControls"/>
    <ds:schemaRef ds:uri="d177710c-40cf-4d94-a9f9-6248e9450632"/>
    <ds:schemaRef ds:uri="90e81eab-0ee8-4447-a625-b324b79cd243"/>
  </ds:schemaRefs>
</ds:datastoreItem>
</file>

<file path=customXml/itemProps4.xml><?xml version="1.0" encoding="utf-8"?>
<ds:datastoreItem xmlns:ds="http://schemas.openxmlformats.org/officeDocument/2006/customXml" ds:itemID="{AE5AF770-70CC-BD42-A749-21E25581BA1A}">
  <ds:schemaRefs>
    <ds:schemaRef ds:uri="http://schemas.openxmlformats.org/officeDocument/2006/bibliography"/>
  </ds:schemaRefs>
</ds:datastoreItem>
</file>

<file path=customXml/itemProps5.xml><?xml version="1.0" encoding="utf-8"?>
<ds:datastoreItem xmlns:ds="http://schemas.openxmlformats.org/officeDocument/2006/customXml" ds:itemID="{DBA4F2CA-2B12-4406-AC7F-CD3476F5E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1eab-0ee8-4447-a625-b324b79cd243"/>
    <ds:schemaRef ds:uri="d177710c-40cf-4d94-a9f9-6248e9450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4331</Words>
  <Characters>2470</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Rigas Satiksme</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Alena Kamisarova</cp:lastModifiedBy>
  <cp:revision>3</cp:revision>
  <cp:lastPrinted>2021-09-09T02:05:00Z</cp:lastPrinted>
  <dcterms:created xsi:type="dcterms:W3CDTF">2026-09-14T08:05:00Z</dcterms:created>
  <dcterms:modified xsi:type="dcterms:W3CDTF">2026-09-14T08:06:00Z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JK72EMXWKVUQ-10-969</vt:lpwstr>
  </property>
  <property fmtid="{D5CDD505-2E9C-101B-9397-08002B2CF9AE}" pid="3" name="_dlc_DocIdItemGuid">
    <vt:lpwstr>b413f596-b108-404b-8e0d-f45c45d4f46c</vt:lpwstr>
  </property>
  <property fmtid="{D5CDD505-2E9C-101B-9397-08002B2CF9AE}" pid="4" name="_dlc_DocIdUrl">
    <vt:lpwstr>http://mansrs/ADR/_layouts/DocIdRedir.aspx?ID=JK72EMXWKVUQ-10-969, JK72EMXWKVUQ-10-969</vt:lpwstr>
  </property>
  <property fmtid="{D5CDD505-2E9C-101B-9397-08002B2CF9AE}" pid="5" name="Jānodod arhīvā">
    <vt:lpwstr>0</vt:lpwstr>
  </property>
  <property fmtid="{D5CDD505-2E9C-101B-9397-08002B2CF9AE}" pid="6" name="Piezīmes">
    <vt:lpwstr/>
  </property>
  <property fmtid="{D5CDD505-2E9C-101B-9397-08002B2CF9AE}" pid="7" name="Glabāšanas laiks str-bā">
    <vt:lpwstr>Aktuālā versija</vt:lpwstr>
  </property>
  <property fmtid="{D5CDD505-2E9C-101B-9397-08002B2CF9AE}" pid="8" name="Par glabāšanu atbildīgais (vieta)">
    <vt:lpwstr/>
  </property>
  <property fmtid="{D5CDD505-2E9C-101B-9397-08002B2CF9AE}" pid="9" name="Veids">
    <vt:lpwstr>Veidlapa</vt:lpwstr>
  </property>
  <property fmtid="{D5CDD505-2E9C-101B-9397-08002B2CF9AE}" pid="10" name="Numurs">
    <vt:lpwstr/>
  </property>
  <property fmtid="{D5CDD505-2E9C-101B-9397-08002B2CF9AE}" pid="11" name="Apstiprināts ar INA">
    <vt:lpwstr/>
  </property>
  <property fmtid="{D5CDD505-2E9C-101B-9397-08002B2CF9AE}" pid="12" name="Procedūras Nr:">
    <vt:lpwstr>166</vt:lpwstr>
  </property>
  <property fmtid="{D5CDD505-2E9C-101B-9397-08002B2CF9AE}" pid="13" name="NrProc">
    <vt:lpwstr/>
  </property>
  <property fmtid="{D5CDD505-2E9C-101B-9397-08002B2CF9AE}" pid="14" name="Stājas spēkā">
    <vt:lpwstr/>
  </property>
  <property fmtid="{D5CDD505-2E9C-101B-9397-08002B2CF9AE}" pid="15" name="Grozīts">
    <vt:lpwstr/>
  </property>
  <property fmtid="{D5CDD505-2E9C-101B-9397-08002B2CF9AE}" pid="16" name="ContentTypeId">
    <vt:lpwstr>0x0101007C98C035752B2E4F9BA001D238EDF9B9</vt:lpwstr>
  </property>
  <property fmtid="{D5CDD505-2E9C-101B-9397-08002B2CF9AE}" pid="17" name="MediaServiceImageTags">
    <vt:lpwstr/>
  </property>
</Properties>
</file>