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ED281D" w14:textId="77777777" w:rsidR="009E1E09" w:rsidRDefault="009E1E09" w:rsidP="009E1E09">
      <w:pPr>
        <w:pStyle w:val="TableContents"/>
        <w:rPr>
          <w:i/>
          <w:lang w:val="lv-LV"/>
        </w:rPr>
      </w:pPr>
    </w:p>
    <w:p w14:paraId="4728A70B" w14:textId="77777777" w:rsidR="009E1E09" w:rsidRDefault="009E1E09" w:rsidP="009E1E09">
      <w:pPr>
        <w:pStyle w:val="TableContents"/>
        <w:rPr>
          <w:i/>
          <w:lang w:val="lv-LV"/>
        </w:rPr>
      </w:pPr>
      <w:r>
        <w:rPr>
          <w:i/>
          <w:lang w:val="lv-LV"/>
        </w:rPr>
        <w:t xml:space="preserve">Par iepirkuma procedūras </w:t>
      </w:r>
    </w:p>
    <w:p w14:paraId="7D9D27E9" w14:textId="77777777" w:rsidR="009E1E09" w:rsidRDefault="009E1E09" w:rsidP="009E1E09">
      <w:pPr>
        <w:spacing w:line="256" w:lineRule="auto"/>
        <w:rPr>
          <w:b/>
          <w:bCs/>
          <w:i/>
          <w:color w:val="000000"/>
          <w:lang w:val="lv-LV"/>
        </w:rPr>
      </w:pPr>
      <w:r>
        <w:rPr>
          <w:i/>
          <w:color w:val="000000"/>
          <w:lang w:val="lv-LV"/>
        </w:rPr>
        <w:t>“</w:t>
      </w:r>
      <w:r>
        <w:rPr>
          <w:rFonts w:eastAsiaTheme="minorHAnsi"/>
          <w:bCs/>
          <w:i/>
          <w:lang w:val="lv-LV"/>
        </w:rPr>
        <w:t>Degvielas uzpildes stacijas biroju un sarga ēkas pārbūve Vestienas ielā 35 k-6, Rīgā”</w:t>
      </w:r>
    </w:p>
    <w:p w14:paraId="11110A76" w14:textId="77777777" w:rsidR="009E1E09" w:rsidRDefault="009E1E09" w:rsidP="009E1E09">
      <w:pPr>
        <w:spacing w:line="256" w:lineRule="auto"/>
        <w:rPr>
          <w:rFonts w:eastAsiaTheme="minorHAnsi"/>
          <w:i/>
          <w:lang w:val="lv-LV"/>
        </w:rPr>
      </w:pPr>
      <w:r>
        <w:rPr>
          <w:i/>
          <w:color w:val="000000"/>
          <w:lang w:val="lv-LV"/>
        </w:rPr>
        <w:t xml:space="preserve"> (</w:t>
      </w:r>
      <w:r>
        <w:rPr>
          <w:rFonts w:eastAsiaTheme="minorHAnsi"/>
          <w:i/>
          <w:lang w:val="lv-LV"/>
        </w:rPr>
        <w:t>Identifikācijas Nr. RS/2024/58)</w:t>
      </w:r>
      <w:r>
        <w:rPr>
          <w:i/>
          <w:lang w:val="lv-LV"/>
        </w:rPr>
        <w:t xml:space="preserve"> nolikuma prasībām</w:t>
      </w:r>
    </w:p>
    <w:p w14:paraId="55CB0B3C" w14:textId="77777777" w:rsidR="009E1E09" w:rsidRDefault="009E1E09" w:rsidP="009E1E09">
      <w:pPr>
        <w:jc w:val="both"/>
        <w:rPr>
          <w:lang w:val="lv-LV"/>
        </w:rPr>
      </w:pPr>
    </w:p>
    <w:p w14:paraId="697AE9BE" w14:textId="5F0B1941" w:rsidR="009E1E09" w:rsidRDefault="009E1E09" w:rsidP="009E1E09">
      <w:pPr>
        <w:ind w:firstLine="426"/>
        <w:jc w:val="both"/>
        <w:rPr>
          <w:lang w:val="lv-LV"/>
        </w:rPr>
      </w:pPr>
      <w:r>
        <w:rPr>
          <w:lang w:val="lv-LV"/>
        </w:rPr>
        <w:t>Rīgas pašvaldības sabiedrības ar ierobežotu atbildību „Rīgas satiksme” Iepirkuma komisija (turpmāk – Pasūtītājs) no iespējamā p</w:t>
      </w:r>
      <w:r w:rsidR="00673BE4">
        <w:rPr>
          <w:lang w:val="lv-LV"/>
        </w:rPr>
        <w:t>retendenta</w:t>
      </w:r>
      <w:r>
        <w:rPr>
          <w:lang w:val="lv-LV"/>
        </w:rPr>
        <w:t xml:space="preserve"> ir saņēmusi vēstuli ar lūgumu sniegt skaidrojumu par nolikumā ietvertajām prasībām.</w:t>
      </w:r>
    </w:p>
    <w:p w14:paraId="2B65FBE9" w14:textId="77777777" w:rsidR="009E1E09" w:rsidRDefault="009E1E09" w:rsidP="009E1E09">
      <w:pPr>
        <w:ind w:firstLine="426"/>
        <w:jc w:val="both"/>
        <w:rPr>
          <w:lang w:val="lv-LV"/>
        </w:rPr>
      </w:pPr>
    </w:p>
    <w:p w14:paraId="158537E7" w14:textId="21A335B7" w:rsidR="002915A2" w:rsidRPr="006B7A4B" w:rsidRDefault="009E1E09" w:rsidP="002915A2">
      <w:pPr>
        <w:jc w:val="both"/>
        <w:rPr>
          <w:i/>
          <w:iCs/>
          <w:u w:val="single"/>
          <w:lang w:val="lv-LV"/>
        </w:rPr>
      </w:pPr>
      <w:r w:rsidRPr="003D480C">
        <w:rPr>
          <w:b/>
          <w:bCs/>
          <w:i/>
          <w:iCs/>
          <w:lang w:val="lv-LV"/>
        </w:rPr>
        <w:t>1.</w:t>
      </w:r>
      <w:r w:rsidRPr="006B7A4B">
        <w:rPr>
          <w:b/>
          <w:bCs/>
          <w:i/>
          <w:iCs/>
          <w:lang w:val="lv-LV"/>
        </w:rPr>
        <w:t>jautājums</w:t>
      </w:r>
      <w:r w:rsidRPr="006B7A4B">
        <w:rPr>
          <w:i/>
          <w:iCs/>
          <w:lang w:val="lv-LV"/>
        </w:rPr>
        <w:t>:</w:t>
      </w:r>
      <w:r w:rsidRPr="006B7A4B">
        <w:rPr>
          <w:lang w:val="lv-LV"/>
        </w:rPr>
        <w:t xml:space="preserve"> </w:t>
      </w:r>
      <w:r w:rsidR="002915A2" w:rsidRPr="006B7A4B">
        <w:rPr>
          <w:i/>
          <w:iCs/>
          <w:u w:val="single"/>
          <w:lang w:val="lv-LV"/>
        </w:rPr>
        <w:t>Nolik</w:t>
      </w:r>
      <w:r w:rsidR="006B7A4B">
        <w:rPr>
          <w:i/>
          <w:iCs/>
          <w:u w:val="single"/>
          <w:lang w:val="lv-LV"/>
        </w:rPr>
        <w:t>u</w:t>
      </w:r>
      <w:r w:rsidR="002915A2" w:rsidRPr="006B7A4B">
        <w:rPr>
          <w:i/>
          <w:iCs/>
          <w:u w:val="single"/>
          <w:lang w:val="lv-LV"/>
        </w:rPr>
        <w:t>mā 25.1.3.5. ir prasība par atkritumu apsaimniekošanu:</w:t>
      </w:r>
    </w:p>
    <w:p w14:paraId="32BE4B1F" w14:textId="77777777" w:rsidR="002915A2" w:rsidRPr="006B7A4B" w:rsidRDefault="002915A2" w:rsidP="002915A2">
      <w:pPr>
        <w:jc w:val="both"/>
        <w:rPr>
          <w:i/>
          <w:iCs/>
          <w:lang w:val="lv-LV"/>
        </w:rPr>
      </w:pPr>
      <w:r w:rsidRPr="006B7A4B">
        <w:rPr>
          <w:i/>
          <w:iCs/>
          <w:lang w:val="lv-LV"/>
        </w:rPr>
        <w:t>25.1.3.5.           Atkritumu apsaimniekošanas prasības. Jānorāda būvgružu atbērtnes vieta un jāiesniedz uzņēmuma, kas veiks būvgružu apsaimniekošanu apliecinājums, ka minētajai atbērtnei ir tiesības apsaimniekot būvgružus, tai skaitā apsaimniekot bīstamos atkritumus.</w:t>
      </w:r>
    </w:p>
    <w:p w14:paraId="7AC14E1F" w14:textId="77777777" w:rsidR="002915A2" w:rsidRPr="006B7A4B" w:rsidRDefault="002915A2" w:rsidP="002915A2">
      <w:pPr>
        <w:jc w:val="both"/>
        <w:rPr>
          <w:i/>
          <w:iCs/>
          <w:lang w:val="lv-LV"/>
        </w:rPr>
      </w:pPr>
      <w:r w:rsidRPr="006B7A4B">
        <w:rPr>
          <w:i/>
          <w:iCs/>
          <w:lang w:val="lv-LV"/>
        </w:rPr>
        <w:t>Vai būtu iespējams precizēt, par kādu bīstamo atkritumu apsaimniekošanu iet runa, saistībā ar šo iepirkumu? Vai tie ir konkrēti, kurus varat uzskaitīt?</w:t>
      </w:r>
    </w:p>
    <w:p w14:paraId="64DF02E1" w14:textId="77777777" w:rsidR="002915A2" w:rsidRPr="003D480C" w:rsidRDefault="002915A2" w:rsidP="002915A2">
      <w:pPr>
        <w:rPr>
          <w:rFonts w:ascii="Arial" w:hAnsi="Arial" w:cs="Arial"/>
          <w:sz w:val="20"/>
          <w:szCs w:val="20"/>
          <w:lang w:val="lv-LV"/>
        </w:rPr>
      </w:pPr>
    </w:p>
    <w:p w14:paraId="58CE519A" w14:textId="181C8E87" w:rsidR="009E1E09" w:rsidRPr="00426506" w:rsidRDefault="009E1E09" w:rsidP="00426506">
      <w:pPr>
        <w:pStyle w:val="Default"/>
        <w:spacing w:after="19"/>
        <w:jc w:val="both"/>
        <w:rPr>
          <w:strike/>
          <w:lang w:eastAsia="lv-LV"/>
        </w:rPr>
      </w:pPr>
      <w:r>
        <w:rPr>
          <w:b/>
          <w:bCs/>
        </w:rPr>
        <w:t xml:space="preserve">Atbilde: </w:t>
      </w:r>
      <w:r w:rsidR="00DC3DFB" w:rsidRPr="00DC3DFB">
        <w:t>Ņemot vērā</w:t>
      </w:r>
      <w:r w:rsidR="00DC3DFB">
        <w:t xml:space="preserve">, ka </w:t>
      </w:r>
      <w:r w:rsidR="008A2FE7">
        <w:t>iepirkumā paredzētie darbi jāveic teri</w:t>
      </w:r>
      <w:r w:rsidR="00426506">
        <w:t xml:space="preserve">torijā, kur atrodas </w:t>
      </w:r>
      <w:r w:rsidR="008A2FE7" w:rsidRPr="009D6298">
        <w:rPr>
          <w:bCs/>
        </w:rPr>
        <w:t>degvielas uzpildes stacija</w:t>
      </w:r>
      <w:r w:rsidR="00426506">
        <w:rPr>
          <w:bCs/>
        </w:rPr>
        <w:t xml:space="preserve">, kā iespējamie bīstamie atkritumi </w:t>
      </w:r>
      <w:r w:rsidR="00E0435C">
        <w:rPr>
          <w:bCs/>
        </w:rPr>
        <w:t xml:space="preserve">objektā, cita starpā, var būt </w:t>
      </w:r>
      <w:r w:rsidR="004A028C">
        <w:t>atkritumi, kas satur naftu vai ir ar to piesārn̦</w:t>
      </w:r>
      <w:r w:rsidR="00E0435C">
        <w:t xml:space="preserve">oti. </w:t>
      </w:r>
    </w:p>
    <w:p w14:paraId="16C47929" w14:textId="0A68E460" w:rsidR="001C1098" w:rsidRDefault="001C1098" w:rsidP="001C1098">
      <w:pPr>
        <w:rPr>
          <w:lang w:val="lv-LV"/>
        </w:rPr>
      </w:pPr>
    </w:p>
    <w:p w14:paraId="7DB242A7" w14:textId="746E1866" w:rsidR="00163F3B" w:rsidRPr="00994009" w:rsidRDefault="00163F3B" w:rsidP="00772E4D">
      <w:pPr>
        <w:spacing w:after="120"/>
        <w:jc w:val="both"/>
        <w:rPr>
          <w:i/>
          <w:iCs/>
          <w:lang w:val="lv-LV"/>
        </w:rPr>
      </w:pPr>
      <w:r w:rsidRPr="00772E4D">
        <w:rPr>
          <w:b/>
          <w:bCs/>
          <w:i/>
          <w:iCs/>
        </w:rPr>
        <w:t>2.jautājums</w:t>
      </w:r>
      <w:r w:rsidRPr="00772E4D">
        <w:rPr>
          <w:i/>
          <w:iCs/>
        </w:rPr>
        <w:t xml:space="preserve">: </w:t>
      </w:r>
      <w:r w:rsidR="00772E4D" w:rsidRPr="00772E4D">
        <w:rPr>
          <w:i/>
          <w:iCs/>
        </w:rPr>
        <w:t xml:space="preserve"> </w:t>
      </w:r>
      <w:r w:rsidRPr="00772E4D">
        <w:rPr>
          <w:i/>
          <w:iCs/>
        </w:rPr>
        <w:t xml:space="preserve">9. </w:t>
      </w:r>
      <w:r w:rsidRPr="00994009">
        <w:rPr>
          <w:i/>
          <w:iCs/>
          <w:lang w:val="lv-LV"/>
        </w:rPr>
        <w:t>pielikumā “Tehniskā specifikācija degvielas uzpildes stacijas barjerām” ir minēti veicamie darbi:</w:t>
      </w:r>
    </w:p>
    <w:tbl>
      <w:tblPr>
        <w:tblStyle w:val="TableGrid7"/>
        <w:tblW w:w="9351" w:type="dxa"/>
        <w:tblLook w:val="04A0" w:firstRow="1" w:lastRow="0" w:firstColumn="1" w:lastColumn="0" w:noHBand="0" w:noVBand="1"/>
      </w:tblPr>
      <w:tblGrid>
        <w:gridCol w:w="9351"/>
      </w:tblGrid>
      <w:tr w:rsidR="00163F3B" w:rsidRPr="00772E4D" w14:paraId="235941CD" w14:textId="77777777" w:rsidTr="00764FB2">
        <w:tc>
          <w:tcPr>
            <w:tcW w:w="9351" w:type="dxa"/>
          </w:tcPr>
          <w:p w14:paraId="3AB3EB5E" w14:textId="77777777" w:rsidR="00163F3B" w:rsidRPr="00772E4D" w:rsidRDefault="00163F3B" w:rsidP="00764FB2">
            <w:pPr>
              <w:jc w:val="both"/>
              <w:rPr>
                <w:rFonts w:ascii="Times New Roman" w:hAnsi="Times New Roman" w:cs="Times New Roman"/>
                <w:i/>
                <w:iCs/>
                <w:lang w:val="lv-LV"/>
              </w:rPr>
            </w:pPr>
            <w:r w:rsidRPr="00772E4D">
              <w:rPr>
                <w:rFonts w:ascii="Times New Roman" w:hAnsi="Times New Roman" w:cs="Times New Roman"/>
                <w:i/>
                <w:iCs/>
                <w:lang w:val="lv-LV"/>
              </w:rPr>
              <w:t>Veicamie darbi</w:t>
            </w:r>
          </w:p>
        </w:tc>
      </w:tr>
      <w:tr w:rsidR="00163F3B" w:rsidRPr="00772E4D" w14:paraId="7EB14ADA" w14:textId="77777777" w:rsidTr="00764FB2">
        <w:tc>
          <w:tcPr>
            <w:tcW w:w="9351" w:type="dxa"/>
          </w:tcPr>
          <w:p w14:paraId="323E2858" w14:textId="77777777" w:rsidR="00163F3B" w:rsidRPr="00B90DAD" w:rsidRDefault="00163F3B" w:rsidP="00764FB2">
            <w:pPr>
              <w:jc w:val="both"/>
              <w:rPr>
                <w:rFonts w:ascii="Times New Roman" w:hAnsi="Times New Roman" w:cs="Times New Roman"/>
                <w:i/>
                <w:iCs/>
                <w:lang w:val="lv-LV"/>
              </w:rPr>
            </w:pPr>
            <w:r w:rsidRPr="00B90DAD">
              <w:rPr>
                <w:rFonts w:ascii="Times New Roman" w:hAnsi="Times New Roman" w:cs="Times New Roman"/>
                <w:i/>
                <w:iCs/>
                <w:lang w:val="lv-LV"/>
              </w:rPr>
              <w:t>Jāparedz jauno barjeru montāžu un pieslēgšanu (tai skaitā visu nepieciešamo, jauno,                    komunikāciju izveide (starp barjerām), jauna pamata izveidi.</w:t>
            </w:r>
          </w:p>
          <w:p w14:paraId="159E8DC4" w14:textId="77777777" w:rsidR="00163F3B" w:rsidRPr="00B90DAD" w:rsidRDefault="00163F3B" w:rsidP="00764FB2">
            <w:pPr>
              <w:rPr>
                <w:rFonts w:ascii="Times New Roman" w:hAnsi="Times New Roman" w:cs="Times New Roman"/>
                <w:i/>
                <w:iCs/>
                <w:lang w:val="lv-LV"/>
              </w:rPr>
            </w:pPr>
          </w:p>
        </w:tc>
      </w:tr>
      <w:tr w:rsidR="00163F3B" w:rsidRPr="00772E4D" w14:paraId="53B3E1C5" w14:textId="77777777" w:rsidTr="00764FB2">
        <w:tc>
          <w:tcPr>
            <w:tcW w:w="9351" w:type="dxa"/>
          </w:tcPr>
          <w:p w14:paraId="7291854D" w14:textId="77777777" w:rsidR="00163F3B" w:rsidRPr="00B90DAD" w:rsidRDefault="00163F3B" w:rsidP="00764FB2">
            <w:pPr>
              <w:rPr>
                <w:rFonts w:ascii="Times New Roman" w:hAnsi="Times New Roman" w:cs="Times New Roman"/>
                <w:i/>
                <w:iCs/>
                <w:lang w:val="lv-LV"/>
              </w:rPr>
            </w:pPr>
            <w:r w:rsidRPr="00B90DAD">
              <w:rPr>
                <w:rFonts w:ascii="Times New Roman" w:hAnsi="Times New Roman" w:cs="Times New Roman"/>
                <w:i/>
                <w:iCs/>
                <w:lang w:val="lv-LV"/>
              </w:rPr>
              <w:t>Programmēšanas darbus, kā arī salāgošanu ar esošo drošības sistēmu.</w:t>
            </w:r>
          </w:p>
        </w:tc>
      </w:tr>
      <w:tr w:rsidR="00163F3B" w:rsidRPr="00772E4D" w14:paraId="26A62275" w14:textId="77777777" w:rsidTr="00764FB2">
        <w:tc>
          <w:tcPr>
            <w:tcW w:w="9351" w:type="dxa"/>
          </w:tcPr>
          <w:p w14:paraId="36E913B7" w14:textId="77777777" w:rsidR="00163F3B" w:rsidRPr="00B90DAD" w:rsidRDefault="00163F3B" w:rsidP="00764FB2">
            <w:pPr>
              <w:rPr>
                <w:rFonts w:ascii="Times New Roman" w:hAnsi="Times New Roman" w:cs="Times New Roman"/>
                <w:i/>
                <w:iCs/>
                <w:lang w:val="lv-LV"/>
              </w:rPr>
            </w:pPr>
            <w:r w:rsidRPr="00B90DAD">
              <w:rPr>
                <w:rFonts w:ascii="Times New Roman" w:hAnsi="Times New Roman" w:cs="Times New Roman"/>
                <w:i/>
                <w:iCs/>
                <w:lang w:val="lv-LV"/>
              </w:rPr>
              <w:t xml:space="preserve">Tehniskā personāla apmācība </w:t>
            </w:r>
          </w:p>
        </w:tc>
      </w:tr>
    </w:tbl>
    <w:p w14:paraId="4E84A736" w14:textId="77777777" w:rsidR="00163F3B" w:rsidRPr="00772E4D" w:rsidRDefault="00163F3B" w:rsidP="00163F3B">
      <w:pPr>
        <w:rPr>
          <w:i/>
          <w:iCs/>
        </w:rPr>
      </w:pPr>
    </w:p>
    <w:p w14:paraId="520FB21C" w14:textId="77777777" w:rsidR="00163F3B" w:rsidRPr="00994009" w:rsidRDefault="00163F3B" w:rsidP="00163F3B">
      <w:pPr>
        <w:jc w:val="both"/>
        <w:rPr>
          <w:i/>
          <w:iCs/>
          <w:lang w:val="lv-LV"/>
        </w:rPr>
      </w:pPr>
      <w:r w:rsidRPr="00994009">
        <w:rPr>
          <w:i/>
          <w:iCs/>
          <w:lang w:val="lv-LV"/>
        </w:rPr>
        <w:t xml:space="preserve">Augstāk minētie darbi nav iekļauti tāmē (5. pielikumā). Kā arī Būvprojektā nav projekts par barjeru komunikāciju pieslēgumiem un projekts barjeru balstu pamatu izbūvei. </w:t>
      </w:r>
    </w:p>
    <w:p w14:paraId="3F30C0CD" w14:textId="77777777" w:rsidR="00163F3B" w:rsidRPr="00994009" w:rsidRDefault="00163F3B" w:rsidP="00163F3B">
      <w:pPr>
        <w:jc w:val="both"/>
        <w:rPr>
          <w:i/>
          <w:iCs/>
          <w:lang w:val="lv-LV"/>
        </w:rPr>
      </w:pPr>
      <w:r w:rsidRPr="00994009">
        <w:rPr>
          <w:i/>
          <w:iCs/>
          <w:lang w:val="lv-LV"/>
        </w:rPr>
        <w:t>Konteineru izvietojuma shēmā ir norādītas barjeru izvietojuma kordinātes. Ar šo informāciju nepietiek, lai korekti veiktu aprēķinus.</w:t>
      </w:r>
    </w:p>
    <w:p w14:paraId="4C615023" w14:textId="77777777" w:rsidR="00163F3B" w:rsidRPr="00772E4D" w:rsidRDefault="00163F3B" w:rsidP="00163F3B">
      <w:pPr>
        <w:rPr>
          <w:i/>
          <w:iCs/>
        </w:rPr>
      </w:pPr>
    </w:p>
    <w:p w14:paraId="4C4C3C7C" w14:textId="77777777" w:rsidR="00163F3B" w:rsidRPr="005C5E6C" w:rsidRDefault="00163F3B" w:rsidP="00163F3B">
      <w:pPr>
        <w:rPr>
          <w:sz w:val="22"/>
          <w:szCs w:val="22"/>
        </w:rPr>
      </w:pPr>
      <w:r w:rsidRPr="00FA5D7C">
        <w:rPr>
          <w:noProof/>
        </w:rPr>
        <w:drawing>
          <wp:inline distT="0" distB="0" distL="0" distR="0" wp14:anchorId="480CDBF4" wp14:editId="305EE879">
            <wp:extent cx="1057275" cy="1473903"/>
            <wp:effectExtent l="0" t="0" r="0" b="0"/>
            <wp:docPr id="1397835225" name="Picture 1" descr="A blueprint of a build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97835225" name="Picture 1" descr="A blueprint of a building&#10;&#10;Description automatically generated"/>
                    <pic:cNvPicPr/>
                  </pic:nvPicPr>
                  <pic:blipFill>
                    <a:blip r:embed="rId12"/>
                    <a:stretch>
                      <a:fillRect/>
                    </a:stretch>
                  </pic:blipFill>
                  <pic:spPr>
                    <a:xfrm>
                      <a:off x="0" y="0"/>
                      <a:ext cx="1084406" cy="1511726"/>
                    </a:xfrm>
                    <a:prstGeom prst="rect">
                      <a:avLst/>
                    </a:prstGeom>
                  </pic:spPr>
                </pic:pic>
              </a:graphicData>
            </a:graphic>
          </wp:inline>
        </w:drawing>
      </w:r>
    </w:p>
    <w:p w14:paraId="23B93EDC" w14:textId="77777777" w:rsidR="00163F3B" w:rsidRDefault="00163F3B" w:rsidP="00163F3B">
      <w:pPr>
        <w:rPr>
          <w:sz w:val="22"/>
          <w:szCs w:val="22"/>
        </w:rPr>
      </w:pPr>
    </w:p>
    <w:p w14:paraId="14AD4149" w14:textId="77777777" w:rsidR="00163F3B" w:rsidRDefault="00163F3B" w:rsidP="00163F3B">
      <w:pPr>
        <w:rPr>
          <w:i/>
          <w:iCs/>
        </w:rPr>
      </w:pPr>
    </w:p>
    <w:p w14:paraId="1AB254C8" w14:textId="3C766163" w:rsidR="00163F3B" w:rsidRPr="00772E4D" w:rsidRDefault="00163F3B" w:rsidP="00772E4D">
      <w:pPr>
        <w:pBdr>
          <w:top w:val="nil"/>
          <w:left w:val="nil"/>
          <w:bottom w:val="nil"/>
          <w:right w:val="nil"/>
          <w:between w:val="nil"/>
          <w:bar w:val="nil"/>
        </w:pBdr>
        <w:spacing w:before="100" w:after="100"/>
        <w:jc w:val="both"/>
        <w:rPr>
          <w:i/>
          <w:iCs/>
          <w:lang w:val="lv-LV"/>
        </w:rPr>
      </w:pPr>
      <w:r w:rsidRPr="00772E4D">
        <w:rPr>
          <w:i/>
          <w:iCs/>
          <w:lang w:val="lv-LV"/>
        </w:rPr>
        <w:t>Lūdzam pievienot pie dokumentācijas tehnisko projektu barjeru komunikāciju pieslēgumiem un projektu barjeru balstu pamatiem.</w:t>
      </w:r>
      <w:r w:rsidR="00772E4D" w:rsidRPr="00772E4D">
        <w:rPr>
          <w:i/>
          <w:iCs/>
          <w:lang w:val="lv-LV"/>
        </w:rPr>
        <w:t xml:space="preserve"> </w:t>
      </w:r>
      <w:r w:rsidRPr="00772E4D">
        <w:rPr>
          <w:i/>
          <w:iCs/>
          <w:lang w:val="lv-LV"/>
        </w:rPr>
        <w:t>Lūdzam iekļaut barjeru pieslēgumu darbus un apjomus pielikumā Nr.5 (Tāme).</w:t>
      </w:r>
    </w:p>
    <w:p w14:paraId="466B4D94" w14:textId="77777777" w:rsidR="00163F3B" w:rsidRDefault="00163F3B" w:rsidP="00163F3B">
      <w:pPr>
        <w:rPr>
          <w:sz w:val="22"/>
          <w:szCs w:val="22"/>
        </w:rPr>
      </w:pPr>
    </w:p>
    <w:p w14:paraId="1D8C0733" w14:textId="428CA6BF" w:rsidR="00163F3B" w:rsidRPr="00772E4D" w:rsidRDefault="00772E4D" w:rsidP="00772E4D">
      <w:pPr>
        <w:jc w:val="both"/>
        <w:rPr>
          <w:sz w:val="22"/>
          <w:szCs w:val="22"/>
          <w:lang w:val="lv-LV"/>
        </w:rPr>
      </w:pPr>
      <w:r w:rsidRPr="00772E4D">
        <w:rPr>
          <w:b/>
          <w:bCs/>
          <w:lang w:val="lv-LV"/>
        </w:rPr>
        <w:t>Atbilde</w:t>
      </w:r>
      <w:r w:rsidRPr="00772E4D">
        <w:rPr>
          <w:lang w:val="lv-LV"/>
        </w:rPr>
        <w:t xml:space="preserve">: </w:t>
      </w:r>
      <w:r w:rsidR="00163F3B" w:rsidRPr="00772E4D">
        <w:rPr>
          <w:lang w:val="lv-LV"/>
        </w:rPr>
        <w:t>Lokālajā tām</w:t>
      </w:r>
      <w:r w:rsidR="00994009">
        <w:rPr>
          <w:lang w:val="lv-LV"/>
        </w:rPr>
        <w:t>ē</w:t>
      </w:r>
      <w:r w:rsidR="00163F3B" w:rsidRPr="00772E4D">
        <w:rPr>
          <w:lang w:val="lv-LV"/>
        </w:rPr>
        <w:t xml:space="preserve"> Nr.12 </w:t>
      </w:r>
      <w:r w:rsidR="00163F3B" w:rsidRPr="00A47A25">
        <w:rPr>
          <w:i/>
          <w:iCs/>
          <w:lang w:val="lv-LV"/>
        </w:rPr>
        <w:t>Elektronisko sakaru inženiertīkli</w:t>
      </w:r>
      <w:r w:rsidR="00163F3B" w:rsidRPr="00772E4D">
        <w:rPr>
          <w:lang w:val="lv-LV"/>
        </w:rPr>
        <w:t xml:space="preserve"> </w:t>
      </w:r>
      <w:r w:rsidR="007413C6">
        <w:rPr>
          <w:lang w:val="lv-LV"/>
        </w:rPr>
        <w:t>74.</w:t>
      </w:r>
      <w:r w:rsidR="00163F3B" w:rsidRPr="00772E4D">
        <w:rPr>
          <w:lang w:val="lv-LV"/>
        </w:rPr>
        <w:t>pozīcijā</w:t>
      </w:r>
      <w:r w:rsidR="007413C6">
        <w:rPr>
          <w:lang w:val="lv-LV"/>
        </w:rPr>
        <w:t xml:space="preserve"> u</w:t>
      </w:r>
      <w:r w:rsidR="00163F3B" w:rsidRPr="00772E4D">
        <w:rPr>
          <w:lang w:val="lv-LV"/>
        </w:rPr>
        <w:t>n 75</w:t>
      </w:r>
      <w:r w:rsidR="007413C6">
        <w:rPr>
          <w:lang w:val="lv-LV"/>
        </w:rPr>
        <w:t>.pozīcijā</w:t>
      </w:r>
      <w:r w:rsidR="00163F3B" w:rsidRPr="00772E4D">
        <w:rPr>
          <w:lang w:val="lv-LV"/>
        </w:rPr>
        <w:t xml:space="preserve"> ir paredzēta barjeru uzstādīšana. Šo pozīciju izmaksās iekļaujamas arī citas izmaksas, kas </w:t>
      </w:r>
      <w:r w:rsidR="0006263F">
        <w:rPr>
          <w:lang w:val="lv-LV"/>
        </w:rPr>
        <w:t>nepieciešamas</w:t>
      </w:r>
      <w:r w:rsidR="00163F3B" w:rsidRPr="00772E4D">
        <w:rPr>
          <w:lang w:val="lv-LV"/>
        </w:rPr>
        <w:t xml:space="preserve"> šo darbu izpildei, t.sk., pieslēgšana, pamata izveide (barjeru ražotāja dati), programmēšana, salāgošana ar esošo drošības sistēmu, tehniskā personāla apmācība un attiecīgo ELT un EST inženiertīklu izbūve no degvielas uzpildes stacijas biroju ēkas līdz barjerām, saskaņā ar shēmu. </w:t>
      </w:r>
      <w:r w:rsidR="005471A9">
        <w:rPr>
          <w:lang w:val="lv-LV"/>
        </w:rPr>
        <w:t>Minētajās</w:t>
      </w:r>
      <w:r w:rsidR="00163F3B" w:rsidRPr="00772E4D">
        <w:rPr>
          <w:lang w:val="lv-LV"/>
        </w:rPr>
        <w:t xml:space="preserve"> pozīcij</w:t>
      </w:r>
      <w:r w:rsidR="00F11F23">
        <w:rPr>
          <w:lang w:val="lv-LV"/>
        </w:rPr>
        <w:t>ās</w:t>
      </w:r>
      <w:r w:rsidR="00163F3B" w:rsidRPr="00772E4D">
        <w:rPr>
          <w:lang w:val="lv-LV"/>
        </w:rPr>
        <w:t xml:space="preserve"> jāparedz visas izmaksas, kas norādītas </w:t>
      </w:r>
      <w:r w:rsidR="00B90DAD">
        <w:rPr>
          <w:lang w:val="lv-LV"/>
        </w:rPr>
        <w:t>Tehnisk</w:t>
      </w:r>
      <w:r w:rsidR="0061377A">
        <w:rPr>
          <w:lang w:val="lv-LV"/>
        </w:rPr>
        <w:t>ajā</w:t>
      </w:r>
      <w:r w:rsidR="00B90DAD">
        <w:rPr>
          <w:lang w:val="lv-LV"/>
        </w:rPr>
        <w:t xml:space="preserve"> specifikācij</w:t>
      </w:r>
      <w:r w:rsidR="0061377A">
        <w:rPr>
          <w:lang w:val="lv-LV"/>
        </w:rPr>
        <w:t>ā</w:t>
      </w:r>
      <w:r w:rsidR="00B90DAD">
        <w:rPr>
          <w:lang w:val="lv-LV"/>
        </w:rPr>
        <w:t xml:space="preserve"> </w:t>
      </w:r>
      <w:r w:rsidR="00A3564C">
        <w:rPr>
          <w:lang w:val="lv-LV"/>
        </w:rPr>
        <w:t>d</w:t>
      </w:r>
      <w:r w:rsidR="005471A9">
        <w:rPr>
          <w:lang w:val="lv-LV"/>
        </w:rPr>
        <w:t xml:space="preserve">egvielas uzpildes stacijas </w:t>
      </w:r>
      <w:r w:rsidR="00163F3B" w:rsidRPr="00772E4D">
        <w:rPr>
          <w:lang w:val="lv-LV"/>
        </w:rPr>
        <w:t>barjer</w:t>
      </w:r>
      <w:r w:rsidR="0061377A">
        <w:rPr>
          <w:lang w:val="lv-LV"/>
        </w:rPr>
        <w:t xml:space="preserve">ām (nolikuma 9.pielikums). </w:t>
      </w:r>
      <w:r w:rsidR="00C21B7A">
        <w:rPr>
          <w:lang w:val="lv-LV"/>
        </w:rPr>
        <w:t>Papildus norādām, ka n</w:t>
      </w:r>
      <w:r w:rsidR="00163F3B" w:rsidRPr="00772E4D">
        <w:rPr>
          <w:lang w:val="lv-LV"/>
        </w:rPr>
        <w:t>epieciešamības gadījumā būvprojekta risinājumi tiks precizēti autoruzraudzības kārtībā.</w:t>
      </w:r>
    </w:p>
    <w:p w14:paraId="1FFD009A" w14:textId="77777777" w:rsidR="00163F3B" w:rsidRPr="00F24C23" w:rsidRDefault="00163F3B" w:rsidP="00163F3B">
      <w:pPr>
        <w:rPr>
          <w:sz w:val="22"/>
          <w:szCs w:val="22"/>
        </w:rPr>
      </w:pPr>
    </w:p>
    <w:p w14:paraId="148CF686" w14:textId="77777777" w:rsidR="00163F3B" w:rsidRDefault="00163F3B" w:rsidP="001C1098">
      <w:pPr>
        <w:rPr>
          <w:lang w:val="lv-LV"/>
        </w:rPr>
      </w:pPr>
    </w:p>
    <w:p w14:paraId="4F199B9D" w14:textId="718B5E93" w:rsidR="00E0435C" w:rsidRDefault="00E0435C" w:rsidP="001C1098">
      <w:pPr>
        <w:rPr>
          <w:lang w:val="lv-LV"/>
        </w:rPr>
      </w:pPr>
      <w:r>
        <w:rPr>
          <w:lang w:val="lv-LV"/>
        </w:rPr>
        <w:t>Iepirkumu komisijas priekšsēdētāja                                                                                     I.Novika</w:t>
      </w:r>
    </w:p>
    <w:p w14:paraId="750DFF7A" w14:textId="7B85F819" w:rsidR="001C1098" w:rsidRDefault="001C1098" w:rsidP="001C1098">
      <w:pPr>
        <w:rPr>
          <w:lang w:val="lv-LV"/>
        </w:rPr>
      </w:pPr>
    </w:p>
    <w:p w14:paraId="0F05B63F" w14:textId="77777777" w:rsidR="00E0435C" w:rsidRDefault="00E0435C" w:rsidP="001C1098">
      <w:pPr>
        <w:rPr>
          <w:lang w:val="lv-LV"/>
        </w:rPr>
      </w:pPr>
    </w:p>
    <w:p w14:paraId="079FC3BD" w14:textId="77777777" w:rsidR="00E0435C" w:rsidRDefault="00E0435C" w:rsidP="001C1098">
      <w:pPr>
        <w:rPr>
          <w:lang w:val="lv-LV"/>
        </w:rPr>
      </w:pPr>
    </w:p>
    <w:p w14:paraId="426D947C" w14:textId="77777777" w:rsidR="00C21B7A" w:rsidRDefault="00C21B7A" w:rsidP="001C1098">
      <w:pPr>
        <w:rPr>
          <w:lang w:val="lv-LV"/>
        </w:rPr>
      </w:pPr>
    </w:p>
    <w:p w14:paraId="1C96A4FB" w14:textId="77777777" w:rsidR="00C21B7A" w:rsidRDefault="00C21B7A" w:rsidP="001C1098">
      <w:pPr>
        <w:rPr>
          <w:lang w:val="lv-LV"/>
        </w:rPr>
      </w:pPr>
    </w:p>
    <w:p w14:paraId="7C20681D" w14:textId="77777777" w:rsidR="00C21B7A" w:rsidRDefault="00C21B7A" w:rsidP="001C1098">
      <w:pPr>
        <w:rPr>
          <w:lang w:val="lv-LV"/>
        </w:rPr>
      </w:pPr>
    </w:p>
    <w:p w14:paraId="213E338E" w14:textId="6A4C929E" w:rsidR="00AD6E80" w:rsidRPr="00AD6E80" w:rsidRDefault="00AD6E80" w:rsidP="00AD6E80">
      <w:pPr>
        <w:rPr>
          <w:rFonts w:ascii="Times New Roman Bold" w:hAnsi="Times New Roman Bold"/>
          <w:sz w:val="16"/>
          <w:szCs w:val="16"/>
          <w:lang w:val="lv-LV"/>
        </w:rPr>
      </w:pPr>
    </w:p>
    <w:p w14:paraId="2EE61468" w14:textId="26660D9A" w:rsidR="00AD6E80" w:rsidRPr="00AD6E80" w:rsidRDefault="00AD6E80" w:rsidP="00611305">
      <w:pPr>
        <w:tabs>
          <w:tab w:val="left" w:pos="1995"/>
        </w:tabs>
        <w:rPr>
          <w:rFonts w:ascii="Times New Roman Bold" w:hAnsi="Times New Roman Bold"/>
          <w:sz w:val="16"/>
          <w:szCs w:val="16"/>
          <w:lang w:val="lv-LV"/>
        </w:rPr>
      </w:pPr>
    </w:p>
    <w:sectPr w:rsidR="00AD6E80" w:rsidRPr="00AD6E80" w:rsidSect="00AD6E80">
      <w:headerReference w:type="even" r:id="rId13"/>
      <w:headerReference w:type="default" r:id="rId14"/>
      <w:footerReference w:type="default" r:id="rId15"/>
      <w:headerReference w:type="first" r:id="rId16"/>
      <w:footerReference w:type="first" r:id="rId17"/>
      <w:pgSz w:w="11900" w:h="16840" w:code="9"/>
      <w:pgMar w:top="1134" w:right="851"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57CBA03" w14:textId="77777777" w:rsidR="00895F10" w:rsidRDefault="00895F10">
      <w:r>
        <w:separator/>
      </w:r>
    </w:p>
  </w:endnote>
  <w:endnote w:type="continuationSeparator" w:id="0">
    <w:p w14:paraId="30F214A1" w14:textId="77777777" w:rsidR="00895F10" w:rsidRDefault="00895F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00"/>
    <w:family w:val="auto"/>
    <w:pitch w:val="variable"/>
    <w:sig w:usb0="E00002FF" w:usb1="5000785B" w:usb2="00000000" w:usb3="00000000" w:csb0="0000019F" w:csb1="00000000"/>
  </w:font>
  <w:font w:name="ヒラギノ角ゴ Pro W3">
    <w:charset w:val="80"/>
    <w:family w:val="swiss"/>
    <w:pitch w:val="variable"/>
    <w:sig w:usb0="E00002FF" w:usb1="7AC7FFFF" w:usb2="00000012" w:usb3="00000000" w:csb0="0002000D" w:csb1="00000000"/>
  </w:font>
  <w:font w:name="SimSun">
    <w:altName w:val="宋体"/>
    <w:panose1 w:val="02010600030101010101"/>
    <w:charset w:val="86"/>
    <w:family w:val="auto"/>
    <w:pitch w:val="variable"/>
    <w:sig w:usb0="00000203" w:usb1="288F0000" w:usb2="00000016" w:usb3="00000000" w:csb0="00040001" w:csb1="00000000"/>
  </w:font>
  <w:font w:name="Lucida Sans">
    <w:panose1 w:val="020B0602030504020204"/>
    <w:charset w:val="00"/>
    <w:family w:val="swiss"/>
    <w:pitch w:val="variable"/>
    <w:sig w:usb0="00000003" w:usb1="00000000" w:usb2="00000000" w:usb3="00000000" w:csb0="00000001"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Times New Roman Bold">
    <w:panose1 w:val="02020803070505020304"/>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4"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B61FF9" w14:textId="77777777" w:rsidR="00895F10" w:rsidRDefault="00895F10">
      <w:r>
        <w:separator/>
      </w:r>
    </w:p>
  </w:footnote>
  <w:footnote w:type="continuationSeparator" w:id="0">
    <w:p w14:paraId="1F523B16" w14:textId="77777777" w:rsidR="00895F10" w:rsidRDefault="00895F1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5DFD36B1"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165BFEB2" w:rsidR="00BA1D4B" w:rsidRDefault="00BA1D4B" w:rsidP="00BA1D4B">
    <w:pPr>
      <w:pStyle w:val="Header"/>
      <w:tabs>
        <w:tab w:val="left" w:pos="426"/>
        <w:tab w:val="left" w:pos="1418"/>
      </w:tabs>
      <w:jc w:val="both"/>
    </w:pPr>
    <w:r>
      <w:t>25.09.2024</w:t>
    </w:r>
    <w:r w:rsidR="00673BE4">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2C07B3"/>
    <w:multiLevelType w:val="hybridMultilevel"/>
    <w:tmpl w:val="07BCFC8A"/>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6DFC3D04"/>
    <w:multiLevelType w:val="hybridMultilevel"/>
    <w:tmpl w:val="BD3411E4"/>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num w:numId="1" w16cid:durableId="1388720862">
    <w:abstractNumId w:val="0"/>
  </w:num>
  <w:num w:numId="2" w16cid:durableId="1918440240">
    <w:abstractNumId w:val="2"/>
  </w:num>
  <w:num w:numId="3" w16cid:durableId="93128486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37F19"/>
    <w:rsid w:val="0004286D"/>
    <w:rsid w:val="000525F0"/>
    <w:rsid w:val="0006263F"/>
    <w:rsid w:val="00083E27"/>
    <w:rsid w:val="00163F3B"/>
    <w:rsid w:val="00176AEB"/>
    <w:rsid w:val="001B000D"/>
    <w:rsid w:val="001C1098"/>
    <w:rsid w:val="001D43D0"/>
    <w:rsid w:val="00233FCE"/>
    <w:rsid w:val="002915A2"/>
    <w:rsid w:val="002C6950"/>
    <w:rsid w:val="002E0214"/>
    <w:rsid w:val="002E786C"/>
    <w:rsid w:val="00325A6F"/>
    <w:rsid w:val="00384C24"/>
    <w:rsid w:val="003877B2"/>
    <w:rsid w:val="003A76FA"/>
    <w:rsid w:val="003C2FBA"/>
    <w:rsid w:val="003C7524"/>
    <w:rsid w:val="003D480C"/>
    <w:rsid w:val="004124BC"/>
    <w:rsid w:val="00426506"/>
    <w:rsid w:val="00446224"/>
    <w:rsid w:val="00454D63"/>
    <w:rsid w:val="00491E45"/>
    <w:rsid w:val="00495061"/>
    <w:rsid w:val="004A028C"/>
    <w:rsid w:val="004A0D6C"/>
    <w:rsid w:val="004C2F01"/>
    <w:rsid w:val="004C4EA1"/>
    <w:rsid w:val="004F581B"/>
    <w:rsid w:val="0054525F"/>
    <w:rsid w:val="005471A9"/>
    <w:rsid w:val="0059774B"/>
    <w:rsid w:val="005D3F37"/>
    <w:rsid w:val="00611305"/>
    <w:rsid w:val="0061377A"/>
    <w:rsid w:val="006339F1"/>
    <w:rsid w:val="00673BE4"/>
    <w:rsid w:val="00681D93"/>
    <w:rsid w:val="006874A7"/>
    <w:rsid w:val="00697421"/>
    <w:rsid w:val="006A57AF"/>
    <w:rsid w:val="006A672C"/>
    <w:rsid w:val="006B7A4B"/>
    <w:rsid w:val="00712459"/>
    <w:rsid w:val="007413C6"/>
    <w:rsid w:val="00756CAE"/>
    <w:rsid w:val="00772E4D"/>
    <w:rsid w:val="007857EA"/>
    <w:rsid w:val="007875D1"/>
    <w:rsid w:val="007A34BE"/>
    <w:rsid w:val="007D62F7"/>
    <w:rsid w:val="008034ED"/>
    <w:rsid w:val="00820A8E"/>
    <w:rsid w:val="00832355"/>
    <w:rsid w:val="008533C8"/>
    <w:rsid w:val="00895F10"/>
    <w:rsid w:val="008A2FE7"/>
    <w:rsid w:val="008E3092"/>
    <w:rsid w:val="008E4C93"/>
    <w:rsid w:val="00901C98"/>
    <w:rsid w:val="00904B48"/>
    <w:rsid w:val="00907EE9"/>
    <w:rsid w:val="009134FF"/>
    <w:rsid w:val="00931737"/>
    <w:rsid w:val="00994009"/>
    <w:rsid w:val="009E1E09"/>
    <w:rsid w:val="00A075D3"/>
    <w:rsid w:val="00A3285A"/>
    <w:rsid w:val="00A3564C"/>
    <w:rsid w:val="00A47A25"/>
    <w:rsid w:val="00A52673"/>
    <w:rsid w:val="00A55640"/>
    <w:rsid w:val="00A615B2"/>
    <w:rsid w:val="00A90154"/>
    <w:rsid w:val="00AA0E4F"/>
    <w:rsid w:val="00AB152E"/>
    <w:rsid w:val="00AD6E80"/>
    <w:rsid w:val="00B17037"/>
    <w:rsid w:val="00B67B48"/>
    <w:rsid w:val="00B90DAD"/>
    <w:rsid w:val="00BA1D4B"/>
    <w:rsid w:val="00BA3F9D"/>
    <w:rsid w:val="00C2117D"/>
    <w:rsid w:val="00C21B7A"/>
    <w:rsid w:val="00C84969"/>
    <w:rsid w:val="00C950CD"/>
    <w:rsid w:val="00C96B4F"/>
    <w:rsid w:val="00CA73ED"/>
    <w:rsid w:val="00D43D83"/>
    <w:rsid w:val="00D81F1C"/>
    <w:rsid w:val="00D86507"/>
    <w:rsid w:val="00DA0C26"/>
    <w:rsid w:val="00DA5F91"/>
    <w:rsid w:val="00DC3DFB"/>
    <w:rsid w:val="00DC6352"/>
    <w:rsid w:val="00DE32B2"/>
    <w:rsid w:val="00E0435C"/>
    <w:rsid w:val="00E3203C"/>
    <w:rsid w:val="00EB089E"/>
    <w:rsid w:val="00F01C15"/>
    <w:rsid w:val="00F11F23"/>
    <w:rsid w:val="00F213A8"/>
    <w:rsid w:val="00F527AA"/>
    <w:rsid w:val="00F631D4"/>
    <w:rsid w:val="00F64CD2"/>
    <w:rsid w:val="00F730B5"/>
    <w:rsid w:val="00F83C9D"/>
    <w:rsid w:val="00F84DED"/>
    <w:rsid w:val="00FE001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basedOn w:val="DefaultParagraphFont"/>
    <w:locked/>
    <w:rsid w:val="003C7524"/>
    <w:rPr>
      <w:color w:val="0563C1" w:themeColor="hyperlink"/>
      <w:u w:val="single"/>
    </w:rPr>
  </w:style>
  <w:style w:type="character" w:styleId="UnresolvedMention">
    <w:name w:val="Unresolved Mention"/>
    <w:basedOn w:val="DefaultParagraphFont"/>
    <w:uiPriority w:val="99"/>
    <w:semiHidden/>
    <w:unhideWhenUsed/>
    <w:rsid w:val="003C7524"/>
    <w:rPr>
      <w:color w:val="605E5C"/>
      <w:shd w:val="clear" w:color="auto" w:fill="E1DFDD"/>
    </w:rPr>
  </w:style>
  <w:style w:type="paragraph" w:customStyle="1" w:styleId="TableContents">
    <w:name w:val="Table Contents"/>
    <w:basedOn w:val="Normal"/>
    <w:rsid w:val="00F730B5"/>
    <w:pPr>
      <w:widowControl w:val="0"/>
      <w:suppressLineNumbers/>
      <w:suppressAutoHyphens/>
    </w:pPr>
    <w:rPr>
      <w:rFonts w:eastAsia="SimSun" w:cs="Lucida Sans"/>
      <w:kern w:val="2"/>
      <w:lang w:val="en" w:eastAsia="zh-CN" w:bidi="hi-IN"/>
    </w:rPr>
  </w:style>
  <w:style w:type="paragraph" w:styleId="ListParagraph">
    <w:name w:val="List Paragraph"/>
    <w:aliases w:val="Virsraksti,Syle 1,Normal bullet 2,Bullet list,Strip,H&amp;P List Paragraph,2,Saistīto dokumentu saraksts,Numurets,PPS_Bullet,Colorful List - Accent 12,Bullets,Numbered List,Paragraph,Bullet point 1,list paragraph,Párrafo de lista,Dot pt,lp"/>
    <w:basedOn w:val="Normal"/>
    <w:link w:val="ListParagraphChar"/>
    <w:uiPriority w:val="34"/>
    <w:qFormat/>
    <w:rsid w:val="00F730B5"/>
    <w:pPr>
      <w:spacing w:after="160" w:line="259" w:lineRule="auto"/>
      <w:ind w:left="720"/>
      <w:contextualSpacing/>
    </w:pPr>
    <w:rPr>
      <w:rFonts w:asciiTheme="minorHAnsi" w:eastAsiaTheme="minorHAnsi" w:hAnsiTheme="minorHAnsi" w:cstheme="minorBidi"/>
      <w:kern w:val="2"/>
      <w:sz w:val="22"/>
      <w:szCs w:val="22"/>
      <w:lang w:val="lv-LV"/>
      <w14:ligatures w14:val="standardContextual"/>
    </w:rPr>
  </w:style>
  <w:style w:type="paragraph" w:styleId="CommentText">
    <w:name w:val="annotation text"/>
    <w:basedOn w:val="Normal"/>
    <w:link w:val="CommentTextChar"/>
    <w:unhideWhenUsed/>
    <w:locked/>
    <w:rsid w:val="009E1E09"/>
    <w:rPr>
      <w:sz w:val="20"/>
      <w:szCs w:val="20"/>
    </w:rPr>
  </w:style>
  <w:style w:type="character" w:customStyle="1" w:styleId="CommentTextChar">
    <w:name w:val="Comment Text Char"/>
    <w:basedOn w:val="DefaultParagraphFont"/>
    <w:link w:val="CommentText"/>
    <w:rsid w:val="009E1E09"/>
    <w:rPr>
      <w:lang w:val="en-GB" w:eastAsia="en-US"/>
    </w:rPr>
  </w:style>
  <w:style w:type="paragraph" w:customStyle="1" w:styleId="Default">
    <w:name w:val="Default"/>
    <w:rsid w:val="009E1E09"/>
    <w:pPr>
      <w:autoSpaceDE w:val="0"/>
      <w:autoSpaceDN w:val="0"/>
      <w:adjustRightInd w:val="0"/>
    </w:pPr>
    <w:rPr>
      <w:color w:val="000000"/>
      <w:sz w:val="24"/>
      <w:szCs w:val="24"/>
      <w:lang w:val="lv-LV"/>
    </w:rPr>
  </w:style>
  <w:style w:type="character" w:styleId="CommentReference">
    <w:name w:val="annotation reference"/>
    <w:basedOn w:val="DefaultParagraphFont"/>
    <w:unhideWhenUsed/>
    <w:locked/>
    <w:rsid w:val="009E1E09"/>
    <w:rPr>
      <w:sz w:val="16"/>
      <w:szCs w:val="16"/>
    </w:rPr>
  </w:style>
  <w:style w:type="character" w:customStyle="1" w:styleId="ListParagraphChar">
    <w:name w:val="List Paragraph Char"/>
    <w:aliases w:val="Virsraksti Char,Syle 1 Char,Normal bullet 2 Char,Bullet list Char,Strip Char,H&amp;P List Paragraph Char,2 Char,Saistīto dokumentu saraksts Char,Numurets Char,PPS_Bullet Char,Colorful List - Accent 12 Char,Bullets Char,Numbered List Char"/>
    <w:link w:val="ListParagraph"/>
    <w:uiPriority w:val="34"/>
    <w:qFormat/>
    <w:rsid w:val="00163F3B"/>
    <w:rPr>
      <w:rFonts w:asciiTheme="minorHAnsi" w:eastAsiaTheme="minorHAnsi" w:hAnsiTheme="minorHAnsi" w:cstheme="minorBidi"/>
      <w:kern w:val="2"/>
      <w:sz w:val="22"/>
      <w:szCs w:val="22"/>
      <w:lang w:val="lv-LV" w:eastAsia="en-US"/>
      <w14:ligatures w14:val="standardContextual"/>
    </w:rPr>
  </w:style>
  <w:style w:type="table" w:customStyle="1" w:styleId="TableGrid7">
    <w:name w:val="Table Grid7"/>
    <w:basedOn w:val="TableNormal"/>
    <w:next w:val="TableGrid"/>
    <w:uiPriority w:val="39"/>
    <w:rsid w:val="00163F3B"/>
    <w:rPr>
      <w:rFonts w:asciiTheme="minorHAnsi" w:eastAsiaTheme="minorHAnsi" w:hAnsiTheme="minorHAnsi" w:cstheme="minorBidi"/>
      <w:kern w:val="2"/>
      <w:sz w:val="22"/>
      <w:szCs w:val="22"/>
      <w:lang w:eastAsia="en-US"/>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locked/>
    <w:rsid w:val="00163F3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91087378">
      <w:bodyDiv w:val="1"/>
      <w:marLeft w:val="0"/>
      <w:marRight w:val="0"/>
      <w:marTop w:val="0"/>
      <w:marBottom w:val="0"/>
      <w:divBdr>
        <w:top w:val="none" w:sz="0" w:space="0" w:color="auto"/>
        <w:left w:val="none" w:sz="0" w:space="0" w:color="auto"/>
        <w:bottom w:val="none" w:sz="0" w:space="0" w:color="auto"/>
        <w:right w:val="none" w:sz="0" w:space="0" w:color="auto"/>
      </w:divBdr>
    </w:div>
    <w:div w:id="1333491447">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475372980">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1.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oter" Target="footer2.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footnotes" Target="foot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2.xml"/></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LongProperties xmlns="http://schemas.microsoft.com/office/2006/metadata/longProperti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C78B404C-0969-4679-B9B9-16818521D03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1840</Words>
  <Characters>1050</Characters>
  <Application>Microsoft Office Word</Application>
  <DocSecurity>0</DocSecurity>
  <Lines>8</Lines>
  <Paragraphs>5</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
      <vt:lpstr/>
    </vt:vector>
  </TitlesOfParts>
  <Company>Rigas Satiksme</Company>
  <LinksUpToDate>false</LinksUpToDate>
  <CharactersWithSpaces>2885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cp:lastModifiedBy>Alena Kamisarova</cp:lastModifiedBy>
  <cp:revision>2</cp:revision>
  <cp:lastPrinted>2021-09-09T02:05:00Z</cp:lastPrinted>
  <dcterms:created xsi:type="dcterms:W3CDTF">2024-09-25T05:54:00Z</dcterms:created>
  <dcterms:modified xsi:type="dcterms:W3CDTF">2024-09-25T05:54:00Z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ies>
</file>