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4EAC" w14:textId="77777777" w:rsidR="00DB7FDF" w:rsidRDefault="00DB7FDF" w:rsidP="00B74FDD">
      <w:pPr>
        <w:pStyle w:val="Default"/>
        <w:tabs>
          <w:tab w:val="left" w:pos="5387"/>
        </w:tabs>
        <w:ind w:right="4103"/>
        <w:jc w:val="both"/>
        <w:rPr>
          <w:iCs/>
        </w:rPr>
      </w:pPr>
    </w:p>
    <w:p w14:paraId="5BDD3E68" w14:textId="3ED84571" w:rsidR="00B74FDD" w:rsidRPr="00FA4639" w:rsidRDefault="00B74FDD" w:rsidP="00B74FDD">
      <w:pPr>
        <w:pStyle w:val="Default"/>
        <w:tabs>
          <w:tab w:val="left" w:pos="5387"/>
        </w:tabs>
        <w:ind w:right="4103"/>
        <w:jc w:val="both"/>
        <w:rPr>
          <w:i/>
        </w:rPr>
      </w:pPr>
      <w:r w:rsidRPr="00FA4639">
        <w:rPr>
          <w:i/>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5D35E9D0" w14:textId="77777777" w:rsidR="00FC4032" w:rsidRPr="00FC4032" w:rsidRDefault="00FC4032" w:rsidP="00FC4032">
      <w:pPr>
        <w:ind w:right="-8"/>
        <w:jc w:val="both"/>
        <w:rPr>
          <w:b/>
          <w:bCs/>
        </w:rPr>
      </w:pPr>
    </w:p>
    <w:p w14:paraId="367D9B31" w14:textId="77777777" w:rsidR="001D02B6" w:rsidRDefault="001D02B6" w:rsidP="00957C68">
      <w:pPr>
        <w:ind w:right="-8"/>
        <w:jc w:val="both"/>
        <w:rPr>
          <w:b/>
          <w:bCs/>
        </w:rPr>
      </w:pPr>
    </w:p>
    <w:p w14:paraId="52B01716" w14:textId="77777777" w:rsidR="00455482" w:rsidRPr="00E55E5A" w:rsidRDefault="00455482" w:rsidP="00455482">
      <w:pPr>
        <w:ind w:right="-8"/>
        <w:jc w:val="both"/>
        <w:rPr>
          <w:b/>
          <w:bCs/>
        </w:rPr>
      </w:pPr>
      <w:r>
        <w:rPr>
          <w:b/>
          <w:bCs/>
        </w:rPr>
        <w:t>1.j</w:t>
      </w:r>
      <w:r w:rsidRPr="00E55E5A">
        <w:rPr>
          <w:b/>
          <w:bCs/>
        </w:rPr>
        <w:t>autājums</w:t>
      </w:r>
    </w:p>
    <w:p w14:paraId="64651DA9" w14:textId="77777777" w:rsidR="00FC4032" w:rsidRPr="00FC4032" w:rsidRDefault="00FC4032" w:rsidP="00FC4032">
      <w:pPr>
        <w:ind w:right="-8"/>
        <w:jc w:val="both"/>
      </w:pPr>
      <w:r w:rsidRPr="00FC4032">
        <w:t xml:space="preserve">Vēlamies uzdot jautājumus un sniegt savas rekomendācijas par atklāta konkursa “Autobusu piegāde” Identifikācijas Nr.: RS/2026/17. </w:t>
      </w:r>
    </w:p>
    <w:p w14:paraId="162FB6C3" w14:textId="77777777" w:rsidR="00FC4032" w:rsidRPr="00FC4032" w:rsidRDefault="00FC4032" w:rsidP="00FC4032">
      <w:pPr>
        <w:ind w:right="-8"/>
        <w:jc w:val="both"/>
      </w:pPr>
      <w:r w:rsidRPr="00FC4032">
        <w:t xml:space="preserve">Ņemot vērā, ka sistēmas ir identiskas, tad šie jautājumi attiecas uz: </w:t>
      </w:r>
    </w:p>
    <w:p w14:paraId="3F830C90" w14:textId="77777777" w:rsidR="00FC4032" w:rsidRPr="00FC4032" w:rsidRDefault="00FC4032" w:rsidP="00FC4032">
      <w:pPr>
        <w:numPr>
          <w:ilvl w:val="0"/>
          <w:numId w:val="33"/>
        </w:numPr>
        <w:ind w:right="-8"/>
        <w:jc w:val="both"/>
      </w:pPr>
      <w:r w:rsidRPr="00FC4032">
        <w:t xml:space="preserve">18m elektroautobusiem; </w:t>
      </w:r>
    </w:p>
    <w:p w14:paraId="2185D338" w14:textId="77777777" w:rsidR="00FC4032" w:rsidRPr="00FC4032" w:rsidRDefault="00FC4032" w:rsidP="00FC4032">
      <w:pPr>
        <w:numPr>
          <w:ilvl w:val="0"/>
          <w:numId w:val="33"/>
        </w:numPr>
        <w:ind w:right="-8"/>
        <w:jc w:val="both"/>
      </w:pPr>
      <w:r w:rsidRPr="00FC4032">
        <w:t xml:space="preserve">18m dīzeļu autobusiem. </w:t>
      </w:r>
    </w:p>
    <w:p w14:paraId="04985E45" w14:textId="77777777" w:rsidR="00FC4032" w:rsidRDefault="00FC4032" w:rsidP="00C6748D">
      <w:pPr>
        <w:ind w:right="-8"/>
        <w:jc w:val="both"/>
      </w:pPr>
    </w:p>
    <w:p w14:paraId="2D01A092" w14:textId="0A373FD4" w:rsidR="00C6748D" w:rsidRPr="00C6748D" w:rsidRDefault="00C6748D" w:rsidP="00C6748D">
      <w:pPr>
        <w:ind w:right="-8"/>
        <w:jc w:val="both"/>
      </w:pPr>
      <w:r w:rsidRPr="00C6748D">
        <w:t xml:space="preserve">Jautājums. Rosinājums. </w:t>
      </w:r>
    </w:p>
    <w:p w14:paraId="3279D735" w14:textId="77777777" w:rsidR="00C6748D" w:rsidRPr="00C6748D" w:rsidRDefault="00C6748D" w:rsidP="00C6748D">
      <w:pPr>
        <w:ind w:right="-8"/>
        <w:jc w:val="both"/>
      </w:pPr>
      <w:r w:rsidRPr="00C6748D">
        <w:t xml:space="preserve">Vai Pasūtītājs pieļautu precizēt tehnisko specifikāciju punktā 9.2.3 (Audio atskaņošanas sistēma (Piegādātājs nodrošina)), nosakot, ka salona skaļruņu sistēmai un ārējo skaļruņu sistēmai jābūt aprīkotām ar atsevišķiem audio pastiprinātājiem, nevis vienu kopīgu pastiprinātāju? </w:t>
      </w:r>
    </w:p>
    <w:p w14:paraId="0741E1C0" w14:textId="77777777" w:rsidR="00C6748D" w:rsidRPr="00C6748D" w:rsidRDefault="00C6748D" w:rsidP="00C6748D">
      <w:pPr>
        <w:ind w:right="-8"/>
        <w:jc w:val="both"/>
      </w:pPr>
      <w:r w:rsidRPr="00C6748D">
        <w:rPr>
          <w:i/>
          <w:iCs/>
        </w:rPr>
        <w:t xml:space="preserve">Pamatojums </w:t>
      </w:r>
    </w:p>
    <w:p w14:paraId="057E3FE5" w14:textId="77777777" w:rsidR="00C6748D" w:rsidRPr="00C6748D" w:rsidRDefault="00C6748D" w:rsidP="00C6748D">
      <w:pPr>
        <w:ind w:right="-8"/>
        <w:jc w:val="both"/>
      </w:pPr>
      <w:r w:rsidRPr="00C6748D">
        <w:t xml:space="preserve">Praksē viena audio pastiprinātāja izmantošana gan salona, gan ārējo skaļruņu apkalpošanai bieži prasa papildu audio signāla komutāciju, izmantojot relejus vai citas pārslēgšanas ierīces. Tas palielina sistēmas sarežģītību, samazina tās uzticamību un rada papildu riskus ekspluatācijas laikā. </w:t>
      </w:r>
    </w:p>
    <w:p w14:paraId="5765F00F" w14:textId="77777777" w:rsidR="00C6748D" w:rsidRPr="00C6748D" w:rsidRDefault="00C6748D" w:rsidP="00C6748D">
      <w:pPr>
        <w:ind w:right="-8"/>
        <w:jc w:val="both"/>
      </w:pPr>
      <w:r w:rsidRPr="00C6748D">
        <w:t xml:space="preserve">Savukārt atsevišķi audio pastiprinātāji salona un ārējo skaļruņu sistēmām nodrošina: </w:t>
      </w:r>
    </w:p>
    <w:p w14:paraId="7CB74E4E" w14:textId="77777777" w:rsidR="00C6748D" w:rsidRPr="00C6748D" w:rsidRDefault="00C6748D" w:rsidP="00C6748D">
      <w:pPr>
        <w:numPr>
          <w:ilvl w:val="0"/>
          <w:numId w:val="28"/>
        </w:numPr>
        <w:ind w:right="-8"/>
        <w:jc w:val="both"/>
      </w:pPr>
      <w:r w:rsidRPr="00C6748D">
        <w:t xml:space="preserve">augstāku sistēmas darbības drošumu un uzticamību; </w:t>
      </w:r>
    </w:p>
    <w:p w14:paraId="1F4404E4" w14:textId="77777777" w:rsidR="00C6748D" w:rsidRPr="00C6748D" w:rsidRDefault="00C6748D" w:rsidP="00C6748D">
      <w:pPr>
        <w:numPr>
          <w:ilvl w:val="0"/>
          <w:numId w:val="28"/>
        </w:numPr>
        <w:ind w:right="-8"/>
        <w:jc w:val="both"/>
      </w:pPr>
      <w:r w:rsidRPr="00C6748D">
        <w:t xml:space="preserve">iespēju neatkarīgi regulēt skaņas līmeni salonā un ārpus transportlīdzekļa; </w:t>
      </w:r>
    </w:p>
    <w:p w14:paraId="0F7C70BA" w14:textId="77777777" w:rsidR="00C6748D" w:rsidRPr="00C6748D" w:rsidRDefault="00C6748D" w:rsidP="00C6748D">
      <w:pPr>
        <w:numPr>
          <w:ilvl w:val="0"/>
          <w:numId w:val="28"/>
        </w:numPr>
        <w:ind w:right="-8"/>
        <w:jc w:val="both"/>
      </w:pPr>
      <w:r w:rsidRPr="00C6748D">
        <w:t xml:space="preserve">vienkāršāku diagnostiku un apkopi; </w:t>
      </w:r>
    </w:p>
    <w:p w14:paraId="33FD5781" w14:textId="77777777" w:rsidR="00C6748D" w:rsidRPr="00C6748D" w:rsidRDefault="00C6748D" w:rsidP="00C6748D">
      <w:pPr>
        <w:numPr>
          <w:ilvl w:val="0"/>
          <w:numId w:val="28"/>
        </w:numPr>
        <w:ind w:right="-8"/>
        <w:jc w:val="both"/>
      </w:pPr>
      <w:r w:rsidRPr="00C6748D">
        <w:t xml:space="preserve">mazāku papildu komutācijas elementu skaitu un līdz ar to zemāku bojājumu risku. </w:t>
      </w:r>
    </w:p>
    <w:p w14:paraId="1912B1BA" w14:textId="77777777" w:rsidR="00C6748D" w:rsidRPr="00C6748D" w:rsidRDefault="00C6748D" w:rsidP="00C6748D">
      <w:pPr>
        <w:ind w:right="-8"/>
        <w:jc w:val="both"/>
      </w:pPr>
    </w:p>
    <w:p w14:paraId="077AE8E9" w14:textId="7D38F971" w:rsidR="0031334D" w:rsidRDefault="00C6748D" w:rsidP="00C6748D">
      <w:pPr>
        <w:ind w:right="-8"/>
        <w:jc w:val="both"/>
        <w:rPr>
          <w:b/>
          <w:bCs/>
        </w:rPr>
      </w:pPr>
      <w:r w:rsidRPr="00C6748D">
        <w:t>Šāds risinājums tiek plaši izmantots profesionālās pasažieru informēšanas sistēmās un nodrošina stabilāku sistēmas darbību ilgtermiņā.</w:t>
      </w:r>
    </w:p>
    <w:p w14:paraId="242C357C" w14:textId="77777777" w:rsidR="00265817" w:rsidRPr="00265817" w:rsidRDefault="00265817" w:rsidP="00265817">
      <w:pPr>
        <w:ind w:right="-8"/>
        <w:jc w:val="both"/>
        <w:rPr>
          <w:b/>
          <w:bCs/>
        </w:rPr>
      </w:pPr>
    </w:p>
    <w:p w14:paraId="4F0CA240" w14:textId="77777777" w:rsidR="00265817" w:rsidRPr="00265817" w:rsidRDefault="00265817" w:rsidP="00265817">
      <w:pPr>
        <w:ind w:right="-8"/>
        <w:jc w:val="both"/>
        <w:rPr>
          <w:b/>
          <w:bCs/>
        </w:rPr>
      </w:pPr>
      <w:r w:rsidRPr="00265817">
        <w:rPr>
          <w:b/>
          <w:bCs/>
        </w:rPr>
        <w:t xml:space="preserve"> </w:t>
      </w:r>
      <w:r w:rsidRPr="00265817">
        <w:rPr>
          <w:b/>
          <w:bCs/>
          <w:i/>
          <w:iCs/>
        </w:rPr>
        <w:t xml:space="preserve">Rekomendācija </w:t>
      </w:r>
    </w:p>
    <w:p w14:paraId="32B940AD" w14:textId="77777777" w:rsidR="00265817" w:rsidRPr="00265817" w:rsidRDefault="00265817" w:rsidP="00265817">
      <w:pPr>
        <w:ind w:right="-8"/>
        <w:jc w:val="both"/>
      </w:pPr>
      <w:r w:rsidRPr="00265817">
        <w:t xml:space="preserve">Rosinam papildināt tehnisko specifikāciju ar prasību: </w:t>
      </w:r>
    </w:p>
    <w:p w14:paraId="7E7E348C" w14:textId="07F2F502" w:rsidR="00C6748D" w:rsidRDefault="00265817" w:rsidP="00265817">
      <w:pPr>
        <w:ind w:right="-8"/>
        <w:jc w:val="both"/>
        <w:rPr>
          <w:i/>
          <w:iCs/>
        </w:rPr>
      </w:pPr>
      <w:r w:rsidRPr="00265817">
        <w:rPr>
          <w:i/>
          <w:iCs/>
        </w:rPr>
        <w:t>"Salona skaļruņu sistēmai un ārējo skaļruņu sistēmai jābūt aprīkotām ar atsevišķiem audio pastiprinātājiem. Abām sistēmām jādarbojas neatkarīgi, nodrošinot audio signāla atskaņošanu bez nepieciešamības izmantot papildu relejus vai citas mehāniskas audio signāla komutācijas ierīces."</w:t>
      </w:r>
    </w:p>
    <w:p w14:paraId="1A90BE03" w14:textId="77777777" w:rsidR="0045426A" w:rsidRDefault="0045426A" w:rsidP="00265817">
      <w:pPr>
        <w:ind w:right="-8"/>
        <w:jc w:val="both"/>
        <w:rPr>
          <w:i/>
          <w:iCs/>
        </w:rPr>
      </w:pPr>
    </w:p>
    <w:p w14:paraId="5E66F21A" w14:textId="77777777" w:rsidR="0045426A" w:rsidRDefault="0045426A" w:rsidP="00265817">
      <w:pPr>
        <w:ind w:right="-8"/>
        <w:jc w:val="both"/>
        <w:rPr>
          <w:i/>
          <w:iCs/>
        </w:rPr>
      </w:pPr>
    </w:p>
    <w:p w14:paraId="1CF6454F" w14:textId="77777777" w:rsidR="0045426A" w:rsidRDefault="0045426A" w:rsidP="00265817">
      <w:pPr>
        <w:ind w:right="-8"/>
        <w:jc w:val="both"/>
        <w:rPr>
          <w:i/>
          <w:iCs/>
        </w:rPr>
      </w:pPr>
    </w:p>
    <w:p w14:paraId="25A0A727" w14:textId="77777777" w:rsidR="0045426A" w:rsidRPr="00265817" w:rsidRDefault="0045426A" w:rsidP="00265817">
      <w:pPr>
        <w:ind w:right="-8"/>
        <w:jc w:val="both"/>
        <w:rPr>
          <w:i/>
          <w:iCs/>
        </w:rPr>
      </w:pPr>
    </w:p>
    <w:p w14:paraId="7612F8EE" w14:textId="0815648C" w:rsidR="00C6748D" w:rsidRPr="00E55E5A" w:rsidRDefault="00C6748D" w:rsidP="00C6748D">
      <w:pPr>
        <w:ind w:right="-8"/>
        <w:jc w:val="both"/>
        <w:rPr>
          <w:b/>
          <w:bCs/>
        </w:rPr>
      </w:pPr>
      <w:r>
        <w:rPr>
          <w:b/>
          <w:bCs/>
        </w:rPr>
        <w:lastRenderedPageBreak/>
        <w:t>2.j</w:t>
      </w:r>
      <w:r w:rsidRPr="00E55E5A">
        <w:rPr>
          <w:b/>
          <w:bCs/>
        </w:rPr>
        <w:t>autājums</w:t>
      </w:r>
    </w:p>
    <w:p w14:paraId="4D75020B" w14:textId="77777777" w:rsidR="00265817" w:rsidRPr="00265817" w:rsidRDefault="00265817" w:rsidP="00265817">
      <w:pPr>
        <w:ind w:right="-8" w:firstLine="720"/>
        <w:jc w:val="both"/>
      </w:pPr>
      <w:r w:rsidRPr="00265817">
        <w:t xml:space="preserve">Jautājums. Rekomendācija </w:t>
      </w:r>
    </w:p>
    <w:p w14:paraId="493E6821" w14:textId="1CDC5197" w:rsidR="00C6748D" w:rsidRPr="00265817" w:rsidRDefault="00265817" w:rsidP="00265817">
      <w:pPr>
        <w:ind w:right="-8" w:firstLine="720"/>
        <w:jc w:val="both"/>
      </w:pPr>
      <w:r w:rsidRPr="00265817">
        <w:t>Vai Pasūtītājs pieļautu precizēt tehnisko specifikāciju punktā 9.3. (Pasažieru skaitīšanas sistēma (APC)), paredzot, ka pie katras APC sensora uzstādīšanas vietas tiek nodrošināts PoE (Power over Ethernet) Ethernet pieslēgums, kā arī durvju stāvokļa signāls (Door Open/Close)?</w:t>
      </w:r>
    </w:p>
    <w:p w14:paraId="6AD27E6B" w14:textId="77777777" w:rsidR="00265817" w:rsidRPr="00265817" w:rsidRDefault="00265817" w:rsidP="00265817">
      <w:pPr>
        <w:ind w:right="-8" w:firstLine="720"/>
        <w:jc w:val="both"/>
      </w:pPr>
      <w:r w:rsidRPr="00265817">
        <w:rPr>
          <w:i/>
          <w:iCs/>
        </w:rPr>
        <w:t xml:space="preserve">Pamatojums </w:t>
      </w:r>
    </w:p>
    <w:p w14:paraId="2848C496" w14:textId="77777777" w:rsidR="00265817" w:rsidRPr="00265817" w:rsidRDefault="00265817" w:rsidP="00265817">
      <w:pPr>
        <w:ind w:right="-8" w:firstLine="720"/>
        <w:jc w:val="both"/>
      </w:pPr>
      <w:r w:rsidRPr="00265817">
        <w:t xml:space="preserve">Mūsdienu APC (Automatic Passenger Counting) sistēmas arvien biežāk izmanto PoE (IEEE 802.3af/at) tehnoloģiju, kas nodrošina gan datu pārraidi, gan barošanu pa vienu Ethernet kabeli. Šāds risinājums samazina elektroinstalācijas apjomu, vienkāršo montāžu un palielina sistēmas uzticamību. </w:t>
      </w:r>
    </w:p>
    <w:p w14:paraId="0AAA6FC2" w14:textId="77777777" w:rsidR="00265817" w:rsidRPr="00265817" w:rsidRDefault="00265817" w:rsidP="00265817">
      <w:pPr>
        <w:ind w:right="-8" w:firstLine="720"/>
        <w:jc w:val="both"/>
      </w:pPr>
      <w:r w:rsidRPr="00265817">
        <w:t xml:space="preserve">Papildus tam vairāki APC ražotāji izmanto durvju stāvokļa signālu, lai aktivizētu pasažieru skaitīšanu tikai laikā, kad konkrētās durvis ir atvērtas. Kad durvis ir aizvērtas, sensori neveic mērījumus, kas: </w:t>
      </w:r>
    </w:p>
    <w:p w14:paraId="478E20F8" w14:textId="77777777" w:rsidR="00265817" w:rsidRPr="00265817" w:rsidRDefault="00265817" w:rsidP="00265817">
      <w:pPr>
        <w:numPr>
          <w:ilvl w:val="0"/>
          <w:numId w:val="29"/>
        </w:numPr>
        <w:ind w:right="-8"/>
        <w:jc w:val="both"/>
      </w:pPr>
      <w:r w:rsidRPr="00265817">
        <w:t xml:space="preserve">samazina nevajadzīgu datu apstrādi; </w:t>
      </w:r>
    </w:p>
    <w:p w14:paraId="3293AC7A" w14:textId="77777777" w:rsidR="00265817" w:rsidRPr="00265817" w:rsidRDefault="00265817" w:rsidP="00265817">
      <w:pPr>
        <w:numPr>
          <w:ilvl w:val="0"/>
          <w:numId w:val="29"/>
        </w:numPr>
        <w:ind w:right="-8"/>
        <w:jc w:val="both"/>
      </w:pPr>
      <w:r w:rsidRPr="00265817">
        <w:t xml:space="preserve">uzlabo pasažieru skaitīšanas precizitāti; </w:t>
      </w:r>
    </w:p>
    <w:p w14:paraId="664C8AC0" w14:textId="77777777" w:rsidR="00265817" w:rsidRPr="00265817" w:rsidRDefault="00265817" w:rsidP="00265817">
      <w:pPr>
        <w:numPr>
          <w:ilvl w:val="0"/>
          <w:numId w:val="29"/>
        </w:numPr>
        <w:ind w:right="-8"/>
        <w:jc w:val="both"/>
      </w:pPr>
      <w:r w:rsidRPr="00265817">
        <w:t xml:space="preserve">samazina kļūdainu skaitījumu iespējamību transportlīdzekļa kustības laikā. </w:t>
      </w:r>
    </w:p>
    <w:p w14:paraId="2173DE10" w14:textId="77777777" w:rsidR="00265817" w:rsidRPr="00265817" w:rsidRDefault="00265817" w:rsidP="00265817">
      <w:pPr>
        <w:ind w:right="-8" w:firstLine="720"/>
        <w:jc w:val="both"/>
      </w:pPr>
    </w:p>
    <w:p w14:paraId="751ADE61" w14:textId="77777777" w:rsidR="00265817" w:rsidRPr="00265817" w:rsidRDefault="00265817" w:rsidP="00265817">
      <w:pPr>
        <w:ind w:right="-8" w:firstLine="720"/>
        <w:jc w:val="both"/>
      </w:pPr>
      <w:r w:rsidRPr="00265817">
        <w:t xml:space="preserve">Lai izvairītos no papildu kabeļu vilkšanas un vienkāršotu APC sistēmas uzstādīšanu, ir ieteicams durvju stāvokļa signālu nodrošināt pie katras APC sensora uzstādīšanas vietas. </w:t>
      </w:r>
    </w:p>
    <w:p w14:paraId="22D235E3" w14:textId="77777777" w:rsidR="00265817" w:rsidRPr="00265817" w:rsidRDefault="00265817" w:rsidP="00265817">
      <w:pPr>
        <w:ind w:right="-8" w:firstLine="720"/>
        <w:jc w:val="both"/>
      </w:pPr>
      <w:r w:rsidRPr="00265817">
        <w:rPr>
          <w:i/>
          <w:iCs/>
        </w:rPr>
        <w:t xml:space="preserve">Rekomendācija </w:t>
      </w:r>
    </w:p>
    <w:p w14:paraId="756A08AC" w14:textId="77777777" w:rsidR="00265817" w:rsidRPr="00265817" w:rsidRDefault="00265817" w:rsidP="00265817">
      <w:pPr>
        <w:ind w:right="-8" w:firstLine="720"/>
        <w:jc w:val="both"/>
      </w:pPr>
      <w:r w:rsidRPr="00265817">
        <w:t xml:space="preserve">Papildināt tehnisko specifikāciju, nosakot: </w:t>
      </w:r>
    </w:p>
    <w:p w14:paraId="4AC7FE39" w14:textId="7FDBAC10" w:rsidR="00265817" w:rsidRPr="00265817" w:rsidRDefault="00265817" w:rsidP="00265817">
      <w:pPr>
        <w:ind w:right="-8" w:firstLine="720"/>
        <w:jc w:val="both"/>
      </w:pPr>
      <w:r w:rsidRPr="00265817">
        <w:rPr>
          <w:i/>
          <w:iCs/>
        </w:rPr>
        <w:t>"Pie katras APC sensora uzstādīšanas vietas jānodrošina Ethernet pieslēgums ar PoE (Power over Ethernet) barošanu vai līdzvērtīgu risinājumu, kas nodrošina datu pārraidi un sensora barošanu pa vienu kabeli. Papildus pie katras APC sensora uzstādīšanas vietas jānodrošina konkrēto durvju atvēršanas/aizvēršanas (Door Open/Close) signāls, lai APC sistēma varētu aktivizēt pasažieru skaitīšanu tikai durvju atvēršanas laikā."</w:t>
      </w:r>
    </w:p>
    <w:p w14:paraId="512BBF75" w14:textId="77777777" w:rsidR="00C6748D" w:rsidRDefault="00C6748D" w:rsidP="00FA4639">
      <w:pPr>
        <w:ind w:right="-8"/>
        <w:jc w:val="both"/>
        <w:rPr>
          <w:b/>
          <w:bCs/>
        </w:rPr>
      </w:pPr>
    </w:p>
    <w:p w14:paraId="165CBA55" w14:textId="379DF9D6" w:rsidR="00C6748D" w:rsidRPr="00E55E5A" w:rsidRDefault="00C6748D" w:rsidP="00C6748D">
      <w:pPr>
        <w:ind w:right="-8"/>
        <w:jc w:val="both"/>
        <w:rPr>
          <w:b/>
          <w:bCs/>
        </w:rPr>
      </w:pPr>
      <w:r>
        <w:rPr>
          <w:b/>
          <w:bCs/>
        </w:rPr>
        <w:t>3.j</w:t>
      </w:r>
      <w:r w:rsidRPr="00E55E5A">
        <w:rPr>
          <w:b/>
          <w:bCs/>
        </w:rPr>
        <w:t>autājums</w:t>
      </w:r>
    </w:p>
    <w:p w14:paraId="42E2DD09" w14:textId="77777777" w:rsidR="00023ED3" w:rsidRPr="00023ED3" w:rsidRDefault="00023ED3" w:rsidP="00023ED3">
      <w:pPr>
        <w:ind w:right="-8" w:firstLine="720"/>
        <w:jc w:val="both"/>
      </w:pPr>
      <w:r w:rsidRPr="00023ED3">
        <w:t xml:space="preserve">Jautājums. Rekomendācija. </w:t>
      </w:r>
    </w:p>
    <w:p w14:paraId="144688B3" w14:textId="77777777" w:rsidR="00023ED3" w:rsidRPr="00023ED3" w:rsidRDefault="00023ED3" w:rsidP="00023ED3">
      <w:pPr>
        <w:ind w:right="-8" w:firstLine="720"/>
        <w:jc w:val="both"/>
      </w:pPr>
      <w:r w:rsidRPr="00023ED3">
        <w:t xml:space="preserve">Vai Pasūtītājs apsvērtu iespēju papildināt tehnisko specifikāciju punktā 9.2.1.1. (Ārējo LED informācijas paneļu prasības) (6) Integrācija un datu apmaiņa), nosakot, ka transportlīdzekļa sistēmu savstarpējai datu apmaiņai jāatbalsta ITxPT (Information Technology for Public Transport) specifikācija? </w:t>
      </w:r>
    </w:p>
    <w:p w14:paraId="70F6FA1D" w14:textId="77777777" w:rsidR="00023ED3" w:rsidRPr="00023ED3" w:rsidRDefault="00023ED3" w:rsidP="00023ED3">
      <w:pPr>
        <w:ind w:right="-8" w:firstLine="720"/>
        <w:jc w:val="both"/>
      </w:pPr>
      <w:r w:rsidRPr="00023ED3">
        <w:rPr>
          <w:i/>
          <w:iCs/>
        </w:rPr>
        <w:t xml:space="preserve">Pamatojums </w:t>
      </w:r>
    </w:p>
    <w:p w14:paraId="4DE6287D" w14:textId="77777777" w:rsidR="00023ED3" w:rsidRPr="00023ED3" w:rsidRDefault="00023ED3" w:rsidP="00023ED3">
      <w:pPr>
        <w:ind w:right="-8" w:firstLine="720"/>
        <w:jc w:val="both"/>
      </w:pPr>
      <w:r w:rsidRPr="00023ED3">
        <w:t xml:space="preserve">Pašreizējā specifikācija nosaka, ka datu apmaiņai jāizmanto atvērti, dokumentēti un publiski pieejami komunikācijas protokoli, tomēr netiek noteikts konkrēts nozarē plaši izmantots standarts. Rezultātā var tikt piedāvāti dažādi risinājumi, kas formāli atbilst prasībām, bet praksē ievērojami atšķiras savstarpējās savietojamības ziņā. </w:t>
      </w:r>
    </w:p>
    <w:p w14:paraId="11AC2A4A" w14:textId="77777777" w:rsidR="00023ED3" w:rsidRPr="00023ED3" w:rsidRDefault="00023ED3" w:rsidP="00023ED3">
      <w:pPr>
        <w:ind w:right="-8" w:firstLine="720"/>
        <w:jc w:val="both"/>
      </w:pPr>
      <w:r w:rsidRPr="00023ED3">
        <w:t xml:space="preserve">ITxPT ir Eiropā plaši izmantota atvērta specifikācija sabiedriskā transporta informācijas tehnoloģiju sistēmām. Tā nosaka vienotus principus dažādu ražotāju iekārtu integrācijai, datu apmaiņai un savietojamībai. ITxPT izmanto starptautiski atzītus atvērtos standartus un komunikācijas protokolus (piemēram, Ethernet, IP, HTTP, MQTT u.c.), tādējādi nodrošinot elastīgu un nākotnē vieglāk paplašināmu sistēmas arhitektūru. </w:t>
      </w:r>
    </w:p>
    <w:p w14:paraId="6DE6E233" w14:textId="77777777" w:rsidR="00023ED3" w:rsidRPr="00023ED3" w:rsidRDefault="00023ED3" w:rsidP="00023ED3">
      <w:pPr>
        <w:ind w:right="-8" w:firstLine="720"/>
        <w:jc w:val="both"/>
      </w:pPr>
      <w:r w:rsidRPr="00023ED3">
        <w:t xml:space="preserve">Jo īpaši MQTT (Message Queuing Telemetry Transport) ir viens no pasaulē visplašāk izmantotajiem atvērtajiem "publish/subscribe" komunikācijas protokoliem IoT un transporta nozarē. Tas ir viegls, efektīvs un ražotāju neatkarīgs protokols, kas nodrošina drošu un uzticamu datu apmaiņu starp transportlīdzekļasistēmām un tiek plaši izmantots arī ITxPT arhitektūrā. MQTT izmantošana būtiski atvieglo dažādu ražotāju iekārtu savietojamību un integrāciju. </w:t>
      </w:r>
    </w:p>
    <w:p w14:paraId="4D80B211" w14:textId="77777777" w:rsidR="00023ED3" w:rsidRPr="00023ED3" w:rsidRDefault="00023ED3" w:rsidP="00023ED3">
      <w:pPr>
        <w:ind w:right="-8" w:firstLine="720"/>
        <w:jc w:val="both"/>
      </w:pPr>
      <w:r w:rsidRPr="00023ED3">
        <w:t xml:space="preserve">ITxPT prasību iekļaušana veicinātu: </w:t>
      </w:r>
    </w:p>
    <w:p w14:paraId="5D3C139C" w14:textId="77777777" w:rsidR="00023ED3" w:rsidRPr="00023ED3" w:rsidRDefault="00023ED3" w:rsidP="00023ED3">
      <w:pPr>
        <w:numPr>
          <w:ilvl w:val="0"/>
          <w:numId w:val="30"/>
        </w:numPr>
        <w:ind w:right="-8"/>
        <w:jc w:val="both"/>
      </w:pPr>
      <w:r w:rsidRPr="00023ED3">
        <w:t xml:space="preserve">augstāku dažādu ražotāju iekārtu savietojamību; </w:t>
      </w:r>
    </w:p>
    <w:p w14:paraId="64C934EA" w14:textId="77777777" w:rsidR="00023ED3" w:rsidRPr="00023ED3" w:rsidRDefault="00023ED3" w:rsidP="00023ED3">
      <w:pPr>
        <w:numPr>
          <w:ilvl w:val="0"/>
          <w:numId w:val="30"/>
        </w:numPr>
        <w:ind w:right="-8"/>
        <w:jc w:val="both"/>
      </w:pPr>
      <w:r w:rsidRPr="00023ED3">
        <w:t xml:space="preserve">vienkāršāku integrāciju ar esošajām un nākotnes pasažieru informēšanas sistēmām; </w:t>
      </w:r>
    </w:p>
    <w:p w14:paraId="15FFEEC5" w14:textId="77777777" w:rsidR="00023ED3" w:rsidRPr="00023ED3" w:rsidRDefault="00023ED3" w:rsidP="00023ED3">
      <w:pPr>
        <w:numPr>
          <w:ilvl w:val="0"/>
          <w:numId w:val="30"/>
        </w:numPr>
        <w:ind w:right="-8"/>
        <w:jc w:val="both"/>
      </w:pPr>
      <w:r w:rsidRPr="00023ED3">
        <w:t xml:space="preserve">mazāku atkarību no individuāliem piegādātāju risinājumiem; </w:t>
      </w:r>
    </w:p>
    <w:p w14:paraId="1677B56A" w14:textId="77777777" w:rsidR="00023ED3" w:rsidRPr="00023ED3" w:rsidRDefault="00023ED3" w:rsidP="00023ED3">
      <w:pPr>
        <w:numPr>
          <w:ilvl w:val="0"/>
          <w:numId w:val="30"/>
        </w:numPr>
        <w:ind w:right="-8"/>
        <w:jc w:val="both"/>
      </w:pPr>
      <w:r w:rsidRPr="00023ED3">
        <w:lastRenderedPageBreak/>
        <w:t xml:space="preserve">zemākas uzturēšanas un integrācijas izmaksas transportlīdzekļa ekspluatācijas laikā. </w:t>
      </w:r>
    </w:p>
    <w:p w14:paraId="09775FAE" w14:textId="77777777" w:rsidR="00023ED3" w:rsidRPr="00023ED3" w:rsidRDefault="00023ED3" w:rsidP="00023ED3">
      <w:pPr>
        <w:ind w:right="-8" w:firstLine="720"/>
        <w:jc w:val="both"/>
      </w:pPr>
    </w:p>
    <w:p w14:paraId="439E4438" w14:textId="77777777" w:rsidR="00023ED3" w:rsidRPr="00023ED3" w:rsidRDefault="00023ED3" w:rsidP="00023ED3">
      <w:pPr>
        <w:ind w:right="-8" w:firstLine="720"/>
        <w:jc w:val="both"/>
      </w:pPr>
      <w:r w:rsidRPr="00023ED3">
        <w:rPr>
          <w:i/>
          <w:iCs/>
        </w:rPr>
        <w:t xml:space="preserve">Rekomendācija </w:t>
      </w:r>
    </w:p>
    <w:p w14:paraId="29ABE00D" w14:textId="77777777" w:rsidR="00023ED3" w:rsidRPr="00023ED3" w:rsidRDefault="00023ED3" w:rsidP="00023ED3">
      <w:pPr>
        <w:ind w:right="-8" w:firstLine="720"/>
        <w:jc w:val="both"/>
      </w:pPr>
      <w:r w:rsidRPr="00023ED3">
        <w:t xml:space="preserve">Papildināt tehnisko specifikāciju ar prasību: </w:t>
      </w:r>
    </w:p>
    <w:p w14:paraId="7E6505A6" w14:textId="41BF260B" w:rsidR="00C6748D" w:rsidRDefault="00023ED3" w:rsidP="00023ED3">
      <w:pPr>
        <w:ind w:right="-8" w:firstLine="720"/>
        <w:jc w:val="both"/>
      </w:pPr>
      <w:r w:rsidRPr="00023ED3">
        <w:rPr>
          <w:i/>
          <w:iCs/>
        </w:rPr>
        <w:t>"Transportlīdzekļa sistēmu savstarpējai datu apmaiņai jāatbalsta ITxPT (Information Technology for Public Transport) specifikācija vai cits līdzvērtīgs starptautiski atzīts atvērts standarts, kas nodrošina dažādu ražotāju iekārtu savietojamību un integrāciju. Sistēmā izmantotajiem komunikācijas protokoliem jābūt atvērtiem, publiski dokumentētiem, no piegādātāja neatkarīgiem un bez ekskluzīvām licencēm. Ja attiecīgajai funkcionalitātei tas ir piemērojams, ieteicams izmantot plaši izplatītus atvērtos komunikācijas protokolus, piemēram, MQTT (Message Queuing Telemetry Transport), kas nodrošina standartizētu, uzticamu un nākotnē viegli paplašināmu integrāciju ar mūsdienīgām pasažieru informēšanas sistēmām (PIS)."</w:t>
      </w:r>
    </w:p>
    <w:p w14:paraId="1315E484" w14:textId="77777777" w:rsidR="00023ED3" w:rsidRPr="00023ED3" w:rsidRDefault="00023ED3" w:rsidP="00023ED3">
      <w:pPr>
        <w:ind w:right="-8" w:firstLine="720"/>
        <w:jc w:val="both"/>
      </w:pPr>
    </w:p>
    <w:p w14:paraId="3C78FB61" w14:textId="35348855" w:rsidR="00C6748D" w:rsidRPr="00E55E5A" w:rsidRDefault="00C6748D" w:rsidP="00C6748D">
      <w:pPr>
        <w:ind w:right="-8"/>
        <w:jc w:val="both"/>
        <w:rPr>
          <w:b/>
          <w:bCs/>
        </w:rPr>
      </w:pPr>
      <w:r>
        <w:rPr>
          <w:b/>
          <w:bCs/>
        </w:rPr>
        <w:t>4.j</w:t>
      </w:r>
      <w:r w:rsidRPr="00E55E5A">
        <w:rPr>
          <w:b/>
          <w:bCs/>
        </w:rPr>
        <w:t>autājums</w:t>
      </w:r>
    </w:p>
    <w:p w14:paraId="0F460CFC" w14:textId="77777777" w:rsidR="00023ED3" w:rsidRPr="00023ED3" w:rsidRDefault="00023ED3" w:rsidP="00023ED3">
      <w:pPr>
        <w:ind w:right="-8" w:firstLine="720"/>
        <w:jc w:val="both"/>
      </w:pPr>
      <w:r w:rsidRPr="00023ED3">
        <w:t xml:space="preserve">Jautājums. Rekomendācija. </w:t>
      </w:r>
    </w:p>
    <w:p w14:paraId="0D6CE6BB" w14:textId="77777777" w:rsidR="00023ED3" w:rsidRPr="00023ED3" w:rsidRDefault="00023ED3" w:rsidP="00023ED3">
      <w:pPr>
        <w:ind w:right="-8" w:firstLine="720"/>
        <w:jc w:val="both"/>
      </w:pPr>
      <w:r w:rsidRPr="00023ED3">
        <w:t xml:space="preserve">Vai Pasūtītājs apsvērtu iespēju pārskatīt prasību punktā 9.2.1.1. (Ārējo LED informācijas paneļu prasības) (5) Darbības vide par LED paneļu aizsardzības klasi (IP35), to svītrojot no tehniskās specifikācijas vai samazinot prasību līdz IP30? </w:t>
      </w:r>
    </w:p>
    <w:p w14:paraId="25DC5CD7" w14:textId="77777777" w:rsidR="00023ED3" w:rsidRPr="00023ED3" w:rsidRDefault="00023ED3" w:rsidP="00023ED3">
      <w:pPr>
        <w:ind w:right="-8" w:firstLine="720"/>
        <w:jc w:val="both"/>
      </w:pPr>
      <w:r w:rsidRPr="00023ED3">
        <w:rPr>
          <w:i/>
          <w:iCs/>
        </w:rPr>
        <w:t xml:space="preserve">Pamatojums </w:t>
      </w:r>
    </w:p>
    <w:p w14:paraId="11E273D5" w14:textId="77777777" w:rsidR="00023ED3" w:rsidRPr="00023ED3" w:rsidRDefault="00023ED3" w:rsidP="00023ED3">
      <w:pPr>
        <w:ind w:right="-8" w:firstLine="720"/>
        <w:jc w:val="both"/>
      </w:pPr>
      <w:r w:rsidRPr="00023ED3">
        <w:t xml:space="preserve">LED maršruta un informācijas paneļi tiek uzstādīti transportlīdzekļa konstrukcijā un nav tieši pakļauti ārējās vides iedarbībai. Šādos pielietojumos aizsardzību pret lietu, putekļiem un citiem apkārtējās vides faktoriem galvenokārt nodrošina pats transportlīdzekļa korpuss, nevis LED paneļa korpuss. </w:t>
      </w:r>
    </w:p>
    <w:p w14:paraId="3782700C" w14:textId="77777777" w:rsidR="00023ED3" w:rsidRPr="00023ED3" w:rsidRDefault="00023ED3" w:rsidP="00023ED3">
      <w:pPr>
        <w:ind w:right="-8" w:firstLine="720"/>
        <w:jc w:val="both"/>
      </w:pPr>
      <w:r w:rsidRPr="00023ED3">
        <w:t xml:space="preserve">Prasība par minimālo IP35 aizsardzības klasi nav raksturīga autobusu maršruta displeju ražotāju tehniskajām specifikācijām un praksē netiek plaši izmantota. Savukārt transportlīdzekļu elektronikas kvalitāti un drošību daudz būtiskāk raksturo atbilstība transportlīdzekļu sertifikācijas prasībām. </w:t>
      </w:r>
    </w:p>
    <w:p w14:paraId="221142A5" w14:textId="77777777" w:rsidR="00023ED3" w:rsidRPr="00023ED3" w:rsidRDefault="00023ED3" w:rsidP="00023ED3">
      <w:pPr>
        <w:ind w:right="-8" w:firstLine="720"/>
        <w:jc w:val="both"/>
      </w:pPr>
      <w:r w:rsidRPr="00023ED3">
        <w:t xml:space="preserve">Lai nodrošinātu, ka piedāvātās iekārtas ir piemērotas ilgstošai ekspluatācijai sabiedriskajā transportā, ieteicams noteikt prasību par atbilstību šādiem standartiem: </w:t>
      </w:r>
    </w:p>
    <w:p w14:paraId="0B3675F5" w14:textId="77777777" w:rsidR="00023ED3" w:rsidRPr="00023ED3" w:rsidRDefault="00023ED3" w:rsidP="00023ED3">
      <w:pPr>
        <w:numPr>
          <w:ilvl w:val="0"/>
          <w:numId w:val="31"/>
        </w:numPr>
        <w:ind w:right="-8"/>
        <w:jc w:val="both"/>
      </w:pPr>
      <w:r w:rsidRPr="00023ED3">
        <w:t xml:space="preserve">UNECE R10 (ECE-R10) – elektromagnētiskā savietojamība (EMC) un elektromagnētiskās traucējumnoturības prasības transportlīdzekļu elektronikai; </w:t>
      </w:r>
    </w:p>
    <w:p w14:paraId="4357EC74" w14:textId="77777777" w:rsidR="00023ED3" w:rsidRPr="00023ED3" w:rsidRDefault="00023ED3" w:rsidP="00023ED3">
      <w:pPr>
        <w:numPr>
          <w:ilvl w:val="0"/>
          <w:numId w:val="31"/>
        </w:numPr>
        <w:ind w:right="-8"/>
        <w:jc w:val="both"/>
      </w:pPr>
      <w:r w:rsidRPr="00023ED3">
        <w:t xml:space="preserve">UNECE R118 (ECE-R118) – transportlīdzekļu salonā izmantoto materiālu ugunsdrošības prasības; </w:t>
      </w:r>
    </w:p>
    <w:p w14:paraId="1F16FDAD" w14:textId="77777777" w:rsidR="00023ED3" w:rsidRPr="00023ED3" w:rsidRDefault="00023ED3" w:rsidP="00023ED3">
      <w:pPr>
        <w:numPr>
          <w:ilvl w:val="0"/>
          <w:numId w:val="31"/>
        </w:numPr>
        <w:ind w:right="-8"/>
        <w:jc w:val="both"/>
      </w:pPr>
      <w:r w:rsidRPr="00023ED3">
        <w:t xml:space="preserve">ECE sertifikācija vai ekvivalenta tipa apstiprinājuma dokumentācija, kas apliecina, ka iekārta ir paredzēta izmantošanai transportlīdzekļos. </w:t>
      </w:r>
    </w:p>
    <w:p w14:paraId="500EA007" w14:textId="77777777" w:rsidR="00023ED3" w:rsidRPr="00023ED3" w:rsidRDefault="00023ED3" w:rsidP="00023ED3">
      <w:pPr>
        <w:ind w:right="-8" w:firstLine="720"/>
        <w:jc w:val="both"/>
      </w:pPr>
    </w:p>
    <w:p w14:paraId="08508BB6" w14:textId="5C1DFFA3" w:rsidR="00C6748D" w:rsidRDefault="00023ED3" w:rsidP="00023ED3">
      <w:pPr>
        <w:ind w:right="-8" w:firstLine="720"/>
        <w:jc w:val="both"/>
      </w:pPr>
      <w:r w:rsidRPr="00023ED3">
        <w:t>Šādas prasības daudz precīzāk raksturo iekārtas piemērotību ekspluatācijai autobusā nekā paaugstināta IP aizsardzības klase.</w:t>
      </w:r>
    </w:p>
    <w:p w14:paraId="688DA1A1" w14:textId="77777777" w:rsidR="00FC5822" w:rsidRPr="00FC5822" w:rsidRDefault="00FC5822" w:rsidP="00FC5822">
      <w:pPr>
        <w:ind w:right="-8" w:firstLine="720"/>
        <w:jc w:val="both"/>
      </w:pPr>
      <w:r w:rsidRPr="00FC5822">
        <w:rPr>
          <w:i/>
          <w:iCs/>
        </w:rPr>
        <w:t xml:space="preserve">Rekomendācija </w:t>
      </w:r>
    </w:p>
    <w:p w14:paraId="1C7E95E7" w14:textId="77777777" w:rsidR="00FC5822" w:rsidRPr="00FC5822" w:rsidRDefault="00FC5822" w:rsidP="00FC5822">
      <w:pPr>
        <w:ind w:right="-8" w:firstLine="720"/>
        <w:jc w:val="both"/>
      </w:pPr>
      <w:r w:rsidRPr="00FC5822">
        <w:t xml:space="preserve">Iesakām tehnisko specifikāciju papildināt šādi: </w:t>
      </w:r>
    </w:p>
    <w:p w14:paraId="3F496E6C" w14:textId="77777777" w:rsidR="00FC5822" w:rsidRPr="00FC5822" w:rsidRDefault="00FC5822" w:rsidP="00FC5822">
      <w:pPr>
        <w:ind w:right="-8" w:firstLine="720"/>
        <w:jc w:val="both"/>
      </w:pPr>
      <w:r w:rsidRPr="00FC5822">
        <w:t xml:space="preserve">"LED paneļiem un to vadības iekārtām jābūt paredzētām ekspluatācijai transportlīdzekļos un jāatbilst vismaz UNECE R10 (ECE-R10) prasībām. Ja LED paneļu konstrukcijā tiek izmantoti salona apdares materiāli, tiem jāatbilst UNECE R118 (ECE-R118) prasībām. Piegādātājam pēc Pasūtītāja pieprasījuma jāiesniedz attiecīgie ECE sertifikāti vai cita līdzvērtīga tipa apstiprinājuma dokumentācija, kas apliecina atbilstību minētajām prasībām." </w:t>
      </w:r>
    </w:p>
    <w:p w14:paraId="56E154EE" w14:textId="7F1E0537" w:rsidR="00023ED3" w:rsidRDefault="00FC5822" w:rsidP="00FC5822">
      <w:pPr>
        <w:ind w:right="-8" w:firstLine="720"/>
        <w:jc w:val="both"/>
      </w:pPr>
      <w:r w:rsidRPr="00FC5822">
        <w:t>Vienlaikus iesakām svītrot prasību par minimālo IP35 aizsardzības klasi vai samazināt to līdz IP30, jo šī prasība nav noteicošais kritērijs transportlīdzeklī uzstādāmu LED paneļu drošai un uzticamai ekspluatācijai.</w:t>
      </w:r>
    </w:p>
    <w:p w14:paraId="4532CDBA" w14:textId="77777777" w:rsidR="00FA4639" w:rsidRDefault="00FA4639" w:rsidP="00FC5822">
      <w:pPr>
        <w:ind w:right="-8" w:firstLine="720"/>
        <w:jc w:val="both"/>
      </w:pPr>
    </w:p>
    <w:p w14:paraId="4CD360BD" w14:textId="77777777" w:rsidR="00FA4639" w:rsidRDefault="00FA4639" w:rsidP="00FC5822">
      <w:pPr>
        <w:ind w:right="-8" w:firstLine="720"/>
        <w:jc w:val="both"/>
      </w:pPr>
    </w:p>
    <w:p w14:paraId="17C0A1AA" w14:textId="77777777" w:rsidR="00FA4639" w:rsidRDefault="00FA4639" w:rsidP="00FC5822">
      <w:pPr>
        <w:ind w:right="-8" w:firstLine="720"/>
        <w:jc w:val="both"/>
      </w:pPr>
    </w:p>
    <w:p w14:paraId="1E8CB3AB" w14:textId="77777777" w:rsidR="00FA4639" w:rsidRDefault="00FA4639" w:rsidP="00FC5822">
      <w:pPr>
        <w:ind w:right="-8" w:firstLine="720"/>
        <w:jc w:val="both"/>
      </w:pPr>
    </w:p>
    <w:p w14:paraId="2B7113CB" w14:textId="4478E05F" w:rsidR="00C6748D" w:rsidRPr="00E55E5A" w:rsidRDefault="00C6748D" w:rsidP="00C6748D">
      <w:pPr>
        <w:ind w:right="-8"/>
        <w:jc w:val="both"/>
        <w:rPr>
          <w:b/>
          <w:bCs/>
        </w:rPr>
      </w:pPr>
      <w:r>
        <w:rPr>
          <w:b/>
          <w:bCs/>
        </w:rPr>
        <w:lastRenderedPageBreak/>
        <w:t>5.j</w:t>
      </w:r>
      <w:r w:rsidRPr="00E55E5A">
        <w:rPr>
          <w:b/>
          <w:bCs/>
        </w:rPr>
        <w:t>autājums</w:t>
      </w:r>
    </w:p>
    <w:p w14:paraId="149DC3B5" w14:textId="77777777" w:rsidR="00FC5822" w:rsidRPr="00FC5822" w:rsidRDefault="00FC5822" w:rsidP="00FC5822">
      <w:pPr>
        <w:ind w:right="-8" w:firstLine="720"/>
        <w:jc w:val="both"/>
      </w:pPr>
      <w:r w:rsidRPr="00FC5822">
        <w:t xml:space="preserve">Jautājums. Rekomendācija. </w:t>
      </w:r>
    </w:p>
    <w:p w14:paraId="0369A55D" w14:textId="77777777" w:rsidR="00FC5822" w:rsidRPr="00FC5822" w:rsidRDefault="00FC5822" w:rsidP="00FC5822">
      <w:pPr>
        <w:ind w:right="-8" w:firstLine="720"/>
        <w:jc w:val="both"/>
      </w:pPr>
      <w:r w:rsidRPr="00FC5822">
        <w:t xml:space="preserve">Vai Pasūtītājs pieļautu punktā 9.2.1.1. (Ārējo LED informācijas paneļu prasības) (3) Izmēri un izšķirtspēja) papildu indikatora attēlošanas laukuma izmēru 250 × 600 mm, ja tiek nodrošināta augstāka attēlošanas izšķirtspēja nekā noteikts tehniskajā specifikācijā? </w:t>
      </w:r>
    </w:p>
    <w:p w14:paraId="06F99384" w14:textId="77777777" w:rsidR="00FC5822" w:rsidRPr="00FC5822" w:rsidRDefault="00FC5822" w:rsidP="00FC5822">
      <w:pPr>
        <w:ind w:right="-8" w:firstLine="720"/>
        <w:jc w:val="both"/>
      </w:pPr>
      <w:r w:rsidRPr="00FC5822">
        <w:rPr>
          <w:i/>
          <w:iCs/>
        </w:rPr>
        <w:t xml:space="preserve">Pamatojums </w:t>
      </w:r>
    </w:p>
    <w:p w14:paraId="2F9CE14E" w14:textId="77777777" w:rsidR="00FC5822" w:rsidRPr="00FC5822" w:rsidRDefault="00FC5822" w:rsidP="00FC5822">
      <w:pPr>
        <w:ind w:right="-8" w:firstLine="720"/>
        <w:jc w:val="both"/>
      </w:pPr>
      <w:r w:rsidRPr="00FC5822">
        <w:t xml:space="preserve">Tehniskajā specifikācijā noteiktais papildu indikatora izmērs ir aptuveni 300 × 600 mm ar minimālo izšķirtspēju 30 × 60 pikseļi. </w:t>
      </w:r>
    </w:p>
    <w:p w14:paraId="307C4993" w14:textId="77777777" w:rsidR="00FC5822" w:rsidRPr="00FC5822" w:rsidRDefault="00FC5822" w:rsidP="00FC5822">
      <w:pPr>
        <w:ind w:right="-8" w:firstLine="720"/>
        <w:jc w:val="both"/>
      </w:pPr>
      <w:r w:rsidRPr="00FC5822">
        <w:t xml:space="preserve">Mēs varam piedāvāt LED indikatoru ar attēlošanas laukumu 250 × 600 mm un izšķirtspēju 32 × 80 pikseļi. Lai gan displejs ir par aptuveni 50 mm zemāks, tam ir būtiski lielāka horizontālā un kopējā izšķirtspēja, kas nodrošina asāku un kvalitatīvāku informācijas attēlojumu. </w:t>
      </w:r>
    </w:p>
    <w:p w14:paraId="2B1F56E2" w14:textId="77777777" w:rsidR="00FC5822" w:rsidRPr="00FC5822" w:rsidRDefault="00FC5822" w:rsidP="00FC5822">
      <w:pPr>
        <w:ind w:right="-8" w:firstLine="720"/>
        <w:jc w:val="both"/>
      </w:pPr>
      <w:r w:rsidRPr="00FC5822">
        <w:t xml:space="preserve">Ņemot vērā, ka šis indikators parasti tiek aplūkots no neliela attāluma transportlīdzekļa salonā, augstāka pikseļu izšķirtspēja uzlabo teksta un grafisko simbolu salasāmību, samazina rakstzīmju robainību un nodrošina pasažieriem komfortablāku informācijas uztveri. </w:t>
      </w:r>
    </w:p>
    <w:p w14:paraId="6C54E4B4" w14:textId="77777777" w:rsidR="00FC5822" w:rsidRPr="00FC5822" w:rsidRDefault="00FC5822" w:rsidP="00FC5822">
      <w:pPr>
        <w:ind w:right="-8" w:firstLine="720"/>
        <w:jc w:val="both"/>
      </w:pPr>
      <w:r w:rsidRPr="00FC5822">
        <w:rPr>
          <w:i/>
          <w:iCs/>
        </w:rPr>
        <w:t xml:space="preserve">Rekomendācija </w:t>
      </w:r>
    </w:p>
    <w:p w14:paraId="0FD6CDF9" w14:textId="77777777" w:rsidR="00FC5822" w:rsidRPr="00FC5822" w:rsidRDefault="00FC5822" w:rsidP="00FC5822">
      <w:pPr>
        <w:ind w:right="-8" w:firstLine="720"/>
        <w:jc w:val="both"/>
      </w:pPr>
      <w:r w:rsidRPr="00FC5822">
        <w:t xml:space="preserve">Iesakām tehnisko specifikāciju papildināt ar iespēju piedāvāt ekvivalentu risinājumu: </w:t>
      </w:r>
    </w:p>
    <w:p w14:paraId="3EA8713F" w14:textId="77777777" w:rsidR="00FC5822" w:rsidRPr="00FC5822" w:rsidRDefault="00FC5822" w:rsidP="00FC5822">
      <w:pPr>
        <w:ind w:right="-8" w:firstLine="720"/>
        <w:jc w:val="both"/>
      </w:pPr>
      <w:r w:rsidRPr="00FC5822">
        <w:t xml:space="preserve">"Ir pieļaujams papildu indikators ar attēlošanas laukumu, kas atšķiras no norādītajiem izmēriem, ja tiek nodrošināta ne zemāka funkcionalitāte, labāka vai līdzvērtīga informācijas salasāmība un izšķirtspēja, kas nav zemāka par tehniskajā specifikācijā noteikto." </w:t>
      </w:r>
    </w:p>
    <w:p w14:paraId="2C112ED6" w14:textId="50465529" w:rsidR="00C6748D" w:rsidRDefault="00FC5822" w:rsidP="00FC5822">
      <w:pPr>
        <w:ind w:right="-8" w:firstLine="720"/>
        <w:jc w:val="both"/>
      </w:pPr>
      <w:r w:rsidRPr="00FC5822">
        <w:t>Tas ļautu piedāvāt modernākus augstas</w:t>
      </w:r>
      <w:r>
        <w:t xml:space="preserve"> </w:t>
      </w:r>
      <w:r w:rsidRPr="00FC5822">
        <w:t>izšķirtspējas LED displejus, vienlaikus pilnībā saglabājot prasīto funkcionalitāti un pasažieru informācijas kvalitāti.</w:t>
      </w:r>
    </w:p>
    <w:p w14:paraId="59C0B7E9" w14:textId="77777777" w:rsidR="00FC5822" w:rsidRPr="00FC5822" w:rsidRDefault="00FC5822" w:rsidP="00FC5822">
      <w:pPr>
        <w:ind w:right="-8" w:firstLine="720"/>
        <w:jc w:val="both"/>
      </w:pPr>
    </w:p>
    <w:p w14:paraId="59F6D08F" w14:textId="01157C85" w:rsidR="00FC5822" w:rsidRDefault="00FC5822" w:rsidP="00FC5822">
      <w:pPr>
        <w:ind w:right="-8"/>
        <w:jc w:val="both"/>
        <w:rPr>
          <w:b/>
          <w:bCs/>
        </w:rPr>
      </w:pPr>
      <w:r>
        <w:rPr>
          <w:b/>
          <w:bCs/>
        </w:rPr>
        <w:t>6.j</w:t>
      </w:r>
      <w:r w:rsidRPr="00E55E5A">
        <w:rPr>
          <w:b/>
          <w:bCs/>
        </w:rPr>
        <w:t>autājums</w:t>
      </w:r>
    </w:p>
    <w:p w14:paraId="1766EFD9" w14:textId="77777777" w:rsidR="00FC5822" w:rsidRPr="00FC5822" w:rsidRDefault="00FC5822" w:rsidP="00FC5822">
      <w:pPr>
        <w:ind w:right="-8"/>
        <w:jc w:val="both"/>
      </w:pPr>
      <w:r w:rsidRPr="00FC5822">
        <w:t xml:space="preserve">Jautājums. Rekomendācija. </w:t>
      </w:r>
    </w:p>
    <w:p w14:paraId="6497B45D" w14:textId="77777777" w:rsidR="00604649" w:rsidRPr="00604649" w:rsidRDefault="00FC5822" w:rsidP="00604649">
      <w:pPr>
        <w:ind w:right="-8"/>
        <w:jc w:val="both"/>
      </w:pPr>
      <w:r w:rsidRPr="00FC5822">
        <w:t>Vai Pasūtītājs apsvērtu iespēju punktā 9.2.1.1. (Ārējo LED informācijas paneļu prasības) (3) Izmēri un izšķirtspēja) precizēt tehniskās specifikācijas prasību par sānu maršruta paneli, nosakot, ka norādītie izmēri ir aptuveni un pieļaujams arī sānu panelis ar attēlošanas laukumu aptuveni 160 × 900 mm, ja tiek</w:t>
      </w:r>
      <w:r w:rsidR="00604649" w:rsidRPr="00604649">
        <w:t xml:space="preserve">nodrošināta ne zemāka funkcionalitāte, augstāka vai līdzvērtīga izšķirtspēja un ne zemāka informācijas salasāmība? </w:t>
      </w:r>
    </w:p>
    <w:p w14:paraId="2AEF3D5C" w14:textId="77777777" w:rsidR="00604649" w:rsidRPr="00604649" w:rsidRDefault="00604649" w:rsidP="00604649">
      <w:pPr>
        <w:ind w:right="-8"/>
        <w:jc w:val="both"/>
      </w:pPr>
      <w:r w:rsidRPr="00604649">
        <w:rPr>
          <w:i/>
          <w:iCs/>
        </w:rPr>
        <w:t xml:space="preserve">Pamatojums </w:t>
      </w:r>
    </w:p>
    <w:p w14:paraId="3711C9A4" w14:textId="77777777" w:rsidR="00604649" w:rsidRPr="00604649" w:rsidRDefault="00604649" w:rsidP="00604649">
      <w:pPr>
        <w:ind w:right="-8"/>
        <w:jc w:val="both"/>
      </w:pPr>
      <w:r w:rsidRPr="00604649">
        <w:t xml:space="preserve">Tehniskajā specifikācijā sānu maršruta panelim ir noteikts attēlošanas laukums aptuveni 220 × 950 mm ar minimālo izšķirtspēju 22 × 95 pikseļi. </w:t>
      </w:r>
    </w:p>
    <w:p w14:paraId="40715C8A" w14:textId="77777777" w:rsidR="00604649" w:rsidRPr="00604649" w:rsidRDefault="00604649" w:rsidP="00604649">
      <w:pPr>
        <w:ind w:right="-8"/>
        <w:jc w:val="both"/>
      </w:pPr>
      <w:r w:rsidRPr="00604649">
        <w:t xml:space="preserve">Praksē sānu maršruta paneļi tiek skatīti no ievērojami mazāka attāluma nekā priekšējie maršruta paneļi. Tādēļ sānu displejam būtiskāka ir attēla kvalitāte, pikseļu blīvums un rakstzīmju salasāmība, nevis maksimāli liels attēlošanas laukums. </w:t>
      </w:r>
    </w:p>
    <w:p w14:paraId="57F7EA4E" w14:textId="77777777" w:rsidR="00604649" w:rsidRPr="00604649" w:rsidRDefault="00604649" w:rsidP="00604649">
      <w:pPr>
        <w:ind w:right="-8"/>
        <w:jc w:val="both"/>
      </w:pPr>
      <w:r w:rsidRPr="00604649">
        <w:t xml:space="preserve">Mūsdienu LED tehnoloģijas ļauj izmantot kompaktākus displejus ar augstāku izšķirtspēju, nodrošinot: </w:t>
      </w:r>
    </w:p>
    <w:p w14:paraId="5CE499CF" w14:textId="77777777" w:rsidR="00604649" w:rsidRPr="00604649" w:rsidRDefault="00604649" w:rsidP="00604649">
      <w:pPr>
        <w:numPr>
          <w:ilvl w:val="0"/>
          <w:numId w:val="32"/>
        </w:numPr>
        <w:ind w:right="-8"/>
        <w:jc w:val="both"/>
      </w:pPr>
      <w:r w:rsidRPr="00604649">
        <w:t xml:space="preserve">asākas un vieglāk salasāmas rakstzīmes; </w:t>
      </w:r>
    </w:p>
    <w:p w14:paraId="48ED947B" w14:textId="77777777" w:rsidR="00604649" w:rsidRPr="00604649" w:rsidRDefault="00604649" w:rsidP="00604649">
      <w:pPr>
        <w:numPr>
          <w:ilvl w:val="0"/>
          <w:numId w:val="32"/>
        </w:numPr>
        <w:ind w:right="-8"/>
        <w:jc w:val="both"/>
      </w:pPr>
      <w:r w:rsidRPr="00604649">
        <w:t xml:space="preserve">kvalitatīvāku piktogrammu un grafisko elementu attēlojumu; </w:t>
      </w:r>
    </w:p>
    <w:p w14:paraId="5D661D4E" w14:textId="77777777" w:rsidR="00604649" w:rsidRPr="00604649" w:rsidRDefault="00604649" w:rsidP="00604649">
      <w:pPr>
        <w:numPr>
          <w:ilvl w:val="0"/>
          <w:numId w:val="32"/>
        </w:numPr>
        <w:ind w:right="-8"/>
        <w:jc w:val="both"/>
      </w:pPr>
      <w:r w:rsidRPr="00604649">
        <w:t xml:space="preserve">labāku salasāmību no neliela attāluma; </w:t>
      </w:r>
    </w:p>
    <w:p w14:paraId="317F2562" w14:textId="77777777" w:rsidR="00604649" w:rsidRPr="00604649" w:rsidRDefault="00604649" w:rsidP="00604649">
      <w:pPr>
        <w:numPr>
          <w:ilvl w:val="0"/>
          <w:numId w:val="32"/>
        </w:numPr>
        <w:ind w:right="-8"/>
        <w:jc w:val="both"/>
      </w:pPr>
      <w:r w:rsidRPr="00604649">
        <w:t xml:space="preserve">elastīgāku teksta izvietojumu. </w:t>
      </w:r>
    </w:p>
    <w:p w14:paraId="75C9F797" w14:textId="77777777" w:rsidR="00604649" w:rsidRPr="00604649" w:rsidRDefault="00604649" w:rsidP="00604649">
      <w:pPr>
        <w:ind w:right="-8"/>
        <w:jc w:val="both"/>
      </w:pPr>
    </w:p>
    <w:p w14:paraId="602C57A3" w14:textId="77777777" w:rsidR="00604649" w:rsidRPr="00604649" w:rsidRDefault="00604649" w:rsidP="00604649">
      <w:pPr>
        <w:ind w:right="-8"/>
        <w:jc w:val="both"/>
      </w:pPr>
      <w:r w:rsidRPr="00604649">
        <w:t xml:space="preserve">Papildus jāņem vērā, ka autobusu virsbūvju konstrukcija bieži ierobežo sānu displeju uzstādīšanas vietu. Logu izmēri, virsbūves statņi, durvju mehānismi un citi konstrukcijas elementi nereti apgrūtina lielu displeju uzstādīšanu. Tāpēc praksē daudzi autobusu un LED paneļu ražotāji izmanto nedaudz kompaktākus sānu displejus ar augstāku izšķirtspēju, kas nodrošina vienkāršāku integrāciju transportlīdzekļa konstrukcijā, vienlaikus saglabājot vai pat uzlabojot pasažieriem sniegtās informācijas kvalitāti. </w:t>
      </w:r>
    </w:p>
    <w:p w14:paraId="202AE4C1" w14:textId="77777777" w:rsidR="00604649" w:rsidRPr="00604649" w:rsidRDefault="00604649" w:rsidP="00604649">
      <w:pPr>
        <w:ind w:right="-8"/>
        <w:jc w:val="both"/>
      </w:pPr>
      <w:r w:rsidRPr="00604649">
        <w:t xml:space="preserve">Tāpat nozares praksē sānu maršruta paneļos bieži tiek izmantoti divi informācijas attēlošanas režīmi: </w:t>
      </w:r>
    </w:p>
    <w:p w14:paraId="2896801B" w14:textId="77777777" w:rsidR="00604649" w:rsidRPr="00604649" w:rsidRDefault="00604649" w:rsidP="00604649">
      <w:pPr>
        <w:ind w:right="-8"/>
        <w:jc w:val="both"/>
      </w:pPr>
      <w:r w:rsidRPr="00604649">
        <w:t xml:space="preserve">divu rindu attēlojums, kur katras rindas rakstzīmju augstums ir aptuveni 80 mm; </w:t>
      </w:r>
    </w:p>
    <w:p w14:paraId="30BD43EE" w14:textId="77777777" w:rsidR="00604649" w:rsidRPr="00604649" w:rsidRDefault="00604649" w:rsidP="00604649">
      <w:pPr>
        <w:ind w:right="-8"/>
        <w:jc w:val="both"/>
      </w:pPr>
      <w:r w:rsidRPr="00604649">
        <w:t xml:space="preserve">vienas rindas vai slīdoša teksta attēlojums, kur rakstzīmju augstums sasniedz aptuveni 160 mm. </w:t>
      </w:r>
    </w:p>
    <w:p w14:paraId="42C4B578" w14:textId="67E3DD2C" w:rsidR="00FC5822" w:rsidRDefault="00604649" w:rsidP="00604649">
      <w:pPr>
        <w:ind w:right="-8"/>
        <w:jc w:val="both"/>
      </w:pPr>
      <w:r w:rsidRPr="00604649">
        <w:lastRenderedPageBreak/>
        <w:t>Abi risinājumi nodrošina labu salasāmību un tiek plaši izmantoti sabiedriskā transporta pasažieru informēšanas sistēmās.</w:t>
      </w:r>
    </w:p>
    <w:p w14:paraId="18539D5F" w14:textId="77777777" w:rsidR="00604649" w:rsidRPr="00604649" w:rsidRDefault="00604649" w:rsidP="00604649">
      <w:pPr>
        <w:ind w:right="-8"/>
        <w:jc w:val="both"/>
      </w:pPr>
      <w:r w:rsidRPr="00604649">
        <w:rPr>
          <w:i/>
          <w:iCs/>
        </w:rPr>
        <w:t xml:space="preserve">Rekomendācija </w:t>
      </w:r>
    </w:p>
    <w:p w14:paraId="5AC8FADD" w14:textId="77777777" w:rsidR="00604649" w:rsidRPr="00604649" w:rsidRDefault="00604649" w:rsidP="00604649">
      <w:pPr>
        <w:ind w:right="-8"/>
        <w:jc w:val="both"/>
      </w:pPr>
      <w:r w:rsidRPr="00604649">
        <w:t xml:space="preserve">Iesakām precizēt tehnisko specifikāciju šādā redakcijā: </w:t>
      </w:r>
    </w:p>
    <w:p w14:paraId="6B4CC759" w14:textId="77777777" w:rsidR="00604649" w:rsidRPr="00604649" w:rsidRDefault="00604649" w:rsidP="00604649">
      <w:pPr>
        <w:ind w:right="-8"/>
        <w:jc w:val="both"/>
      </w:pPr>
      <w:r w:rsidRPr="00604649">
        <w:t xml:space="preserve">"Sānu panelis – attēlošanas laukums aptuveni 220 × 950 mm. Norādītie izmēri ir uzskatāmi par aptuveniem. Pieļaujams arī sānu panelis ar attēlošanas laukumu aptuveni 160 × 900 mm vai citu līdzvērtīgu izmēru, ja tiek nodrošināta ne zemāka funkcionalitāte, līdzvērtīga vai augstāka izšķirtspēja un ne zemāka informācijas salasāmība. </w:t>
      </w:r>
    </w:p>
    <w:p w14:paraId="3CC35E6F" w14:textId="7D152068" w:rsidR="00FC5822" w:rsidRPr="00FC5822" w:rsidRDefault="00604649" w:rsidP="00FC5822">
      <w:pPr>
        <w:ind w:right="-8"/>
        <w:jc w:val="both"/>
      </w:pPr>
      <w:r w:rsidRPr="00604649">
        <w:t>Sānu panelim jānodrošina iespēja attēlot informāciju vienā vai divās rindās. Divu rindu attēlojumā pieļaujams rakstzīmju augstums aptuveni 80 mm katrā rindā, savukārt vienas rindas vai slīdoša teksta attēlojumā – rakstzīmju augstums aptuveni 160 mm, nodrošinot skaidru un salasāmu informācijas attēlojumu pasažieriem."</w:t>
      </w:r>
    </w:p>
    <w:p w14:paraId="5E4E015F" w14:textId="77777777" w:rsidR="00FC5822" w:rsidRPr="00231932" w:rsidRDefault="00FC5822" w:rsidP="00FC5822">
      <w:pPr>
        <w:ind w:firstLine="720"/>
        <w:jc w:val="both"/>
      </w:pPr>
    </w:p>
    <w:p w14:paraId="7F2DE99B" w14:textId="066D6C69" w:rsidR="00FC5822" w:rsidRDefault="00FC5822" w:rsidP="00FC5822">
      <w:pPr>
        <w:ind w:right="-8"/>
        <w:jc w:val="both"/>
        <w:rPr>
          <w:b/>
          <w:bCs/>
        </w:rPr>
      </w:pPr>
      <w:r>
        <w:rPr>
          <w:b/>
          <w:bCs/>
        </w:rPr>
        <w:t>7.j</w:t>
      </w:r>
      <w:r w:rsidRPr="00E55E5A">
        <w:rPr>
          <w:b/>
          <w:bCs/>
        </w:rPr>
        <w:t>autājums</w:t>
      </w:r>
    </w:p>
    <w:p w14:paraId="7970506A" w14:textId="77777777" w:rsidR="00604649" w:rsidRDefault="00604649" w:rsidP="00604649">
      <w:pPr>
        <w:ind w:right="-8"/>
        <w:jc w:val="both"/>
      </w:pPr>
      <w:r w:rsidRPr="00604649">
        <w:t xml:space="preserve">Jautājums. Rekomendācija. </w:t>
      </w:r>
    </w:p>
    <w:p w14:paraId="29B8E842" w14:textId="77777777" w:rsidR="00604649" w:rsidRPr="00604649" w:rsidRDefault="00604649" w:rsidP="00604649">
      <w:pPr>
        <w:ind w:right="-8"/>
        <w:jc w:val="both"/>
      </w:pPr>
      <w:r w:rsidRPr="00604649">
        <w:t xml:space="preserve">Tehniskās specifikācijas 9.2.1.1. Ārējo LED informācijas paneļu prasības punktā aizmugurējam maršruta panelim ir norādīta prasība: </w:t>
      </w:r>
    </w:p>
    <w:p w14:paraId="35B2E9CB" w14:textId="77777777" w:rsidR="00604649" w:rsidRPr="00604649" w:rsidRDefault="00604649" w:rsidP="00604649">
      <w:pPr>
        <w:ind w:right="-8"/>
        <w:jc w:val="both"/>
      </w:pPr>
      <w:r w:rsidRPr="00604649">
        <w:t xml:space="preserve">"Aizmugurējais panelis – attēlošanas laukums aptuveni 140 × 280 mm, izšķirtspēja ne mazāka kā 14 × 280 pikseļi." </w:t>
      </w:r>
    </w:p>
    <w:p w14:paraId="2BBFE4F8" w14:textId="77777777" w:rsidR="00604649" w:rsidRPr="00604649" w:rsidRDefault="00604649" w:rsidP="00604649">
      <w:pPr>
        <w:ind w:right="-8"/>
        <w:jc w:val="both"/>
      </w:pPr>
      <w:r w:rsidRPr="00604649">
        <w:t xml:space="preserve">Vai Pasūtītājs varētu precizēt, vai šajā prasībā nav ieviesusies drukas kļūda attiecībā uz norādīto izšķirtspēju? </w:t>
      </w:r>
    </w:p>
    <w:p w14:paraId="7BBFB7DC" w14:textId="77777777" w:rsidR="00604649" w:rsidRPr="00604649" w:rsidRDefault="00604649" w:rsidP="00604649">
      <w:pPr>
        <w:ind w:right="-8"/>
        <w:jc w:val="both"/>
      </w:pPr>
      <w:r w:rsidRPr="00604649">
        <w:rPr>
          <w:i/>
          <w:iCs/>
        </w:rPr>
        <w:t xml:space="preserve">Pamatojums </w:t>
      </w:r>
    </w:p>
    <w:p w14:paraId="04FD74DA" w14:textId="77777777" w:rsidR="00604649" w:rsidRPr="00604649" w:rsidRDefault="00604649" w:rsidP="00604649">
      <w:pPr>
        <w:ind w:right="-8"/>
        <w:jc w:val="both"/>
      </w:pPr>
      <w:r w:rsidRPr="00604649">
        <w:t xml:space="preserve">Pie attēlošanas laukuma aptuveni 140 × 280 mm nav tehniski iespējams izvietot 280 pikseļus horizontālā virzienā, jo tas nozīmētu aptuveni 1 mm pikseļa soli, kas neatbilst autobusu LED maršruta displeju tehnoloģijai un nav raksturīgs šāda tipa iekārtām. </w:t>
      </w:r>
    </w:p>
    <w:p w14:paraId="0A78817A" w14:textId="77777777" w:rsidR="00604649" w:rsidRPr="00604649" w:rsidRDefault="00604649" w:rsidP="00604649">
      <w:pPr>
        <w:ind w:right="-8"/>
        <w:jc w:val="both"/>
      </w:pPr>
      <w:r w:rsidRPr="00604649">
        <w:t xml:space="preserve">Praksē autobusu aizmugurējie maršruta displeji ar šādu attēlošanas laukumu parasti tiek izgatavoti ar izšķirtspēju 14 × 28, 16 × 32, 20 × 40 vai citu līdzīgu izšķirtspēju, atkarībā no izmantotā LED pikseļa soļa. </w:t>
      </w:r>
    </w:p>
    <w:p w14:paraId="4C0BD43A" w14:textId="77777777" w:rsidR="00604649" w:rsidRPr="00604649" w:rsidRDefault="00604649" w:rsidP="00604649">
      <w:pPr>
        <w:ind w:right="-8"/>
        <w:jc w:val="both"/>
      </w:pPr>
      <w:r w:rsidRPr="00604649">
        <w:t xml:space="preserve">Ņemot vērā iepriekš minēto, pastāv iespēja, ka prasībā ir ieviesusies drukas kļūda un "14 × 280 pikseļi" vietā bija paredzēts, piemēram, 14 × 28 pikseļi vai cita līdzīga izšķirtspēja. </w:t>
      </w:r>
    </w:p>
    <w:p w14:paraId="7CD983AB" w14:textId="77777777" w:rsidR="00604649" w:rsidRPr="00604649" w:rsidRDefault="00604649" w:rsidP="00604649">
      <w:pPr>
        <w:ind w:right="-8"/>
        <w:jc w:val="both"/>
      </w:pPr>
      <w:r w:rsidRPr="00604649">
        <w:rPr>
          <w:i/>
          <w:iCs/>
        </w:rPr>
        <w:t xml:space="preserve">Rekomendācija </w:t>
      </w:r>
    </w:p>
    <w:p w14:paraId="5D3DDE56" w14:textId="3F9D25B7" w:rsidR="00604649" w:rsidRPr="00604649" w:rsidRDefault="00604649" w:rsidP="00604649">
      <w:pPr>
        <w:ind w:right="-8"/>
        <w:jc w:val="both"/>
      </w:pPr>
      <w:r w:rsidRPr="00604649">
        <w:t>Lūdzam Pasūtītāju pārskatīt un precizēt aizmugurējā maršruta paneļa minimālās izšķirtspējas prasību, lai tā atbilstu tehniski realizējamiem un nozarē izmantotiem LED displeju risinājumiem.</w:t>
      </w:r>
    </w:p>
    <w:p w14:paraId="1F67DC5E" w14:textId="77777777" w:rsidR="00FC5822" w:rsidRPr="00FC5822" w:rsidRDefault="00FC5822" w:rsidP="00FC5822">
      <w:pPr>
        <w:ind w:right="-8"/>
        <w:jc w:val="both"/>
      </w:pPr>
    </w:p>
    <w:p w14:paraId="6E7DBBC4" w14:textId="77777777" w:rsidR="00FC5822" w:rsidRDefault="00FC5822" w:rsidP="00FC5822">
      <w:pPr>
        <w:ind w:right="-8"/>
        <w:jc w:val="both"/>
        <w:rPr>
          <w:b/>
          <w:bCs/>
        </w:rPr>
      </w:pPr>
      <w:r w:rsidRPr="00F816A7">
        <w:rPr>
          <w:b/>
          <w:bCs/>
        </w:rPr>
        <w:t>Atbilde:</w:t>
      </w:r>
    </w:p>
    <w:p w14:paraId="3BD3A5F4" w14:textId="7615F44D" w:rsidR="00787B73" w:rsidRDefault="00787B73" w:rsidP="00787B73">
      <w:pPr>
        <w:ind w:right="-8" w:firstLine="720"/>
        <w:jc w:val="both"/>
      </w:pPr>
      <w:r w:rsidRPr="00C079CF">
        <w:t xml:space="preserve">Pasūtītājs informē, ka </w:t>
      </w:r>
      <w:r w:rsidR="00AB3D36">
        <w:t xml:space="preserve">ir izvērtējis jautājumus un priekšlikumus </w:t>
      </w:r>
      <w:r w:rsidR="005E3338">
        <w:t>un veicis tehniskās specifikācijas precizējumus</w:t>
      </w:r>
      <w:r w:rsidR="005F525B">
        <w:t xml:space="preserve"> iepirkuma procedūras iepirkuma priekšmeta 1. un 2. daļā.</w:t>
      </w:r>
    </w:p>
    <w:p w14:paraId="419264EC" w14:textId="4975D96F" w:rsidR="00787B73" w:rsidRPr="00C079CF" w:rsidRDefault="00787B73" w:rsidP="00787B73">
      <w:pPr>
        <w:ind w:right="-8" w:firstLine="720"/>
        <w:jc w:val="both"/>
      </w:pPr>
      <w:r w:rsidRPr="00C079CF">
        <w:t>Lūdzam skatīt iepirkuma procedūras nolikuma 2026.gada 2</w:t>
      </w:r>
      <w:r>
        <w:t>3</w:t>
      </w:r>
      <w:r w:rsidRPr="00C079CF">
        <w:t xml:space="preserve">.jūlija grozījumus, kas publicēti </w:t>
      </w:r>
      <w:hyperlink r:id="rId12" w:history="1">
        <w:r w:rsidRPr="002F443B">
          <w:rPr>
            <w:rStyle w:val="Hyperlink"/>
          </w:rPr>
          <w:t>www.eis.gov.lv</w:t>
        </w:r>
      </w:hyperlink>
      <w:r>
        <w:t xml:space="preserve"> </w:t>
      </w:r>
      <w:r w:rsidRPr="00C079CF">
        <w:t xml:space="preserve">un </w:t>
      </w:r>
      <w:hyperlink r:id="rId13" w:history="1">
        <w:r w:rsidRPr="002F443B">
          <w:rPr>
            <w:rStyle w:val="Hyperlink"/>
          </w:rPr>
          <w:t>www.rigassatiksme.lv</w:t>
        </w:r>
      </w:hyperlink>
      <w:r w:rsidRPr="00C079CF">
        <w:t xml:space="preserve">.  </w:t>
      </w:r>
    </w:p>
    <w:p w14:paraId="5A8D3288" w14:textId="77777777" w:rsidR="00FC5822" w:rsidRDefault="00FC5822" w:rsidP="00FC5822">
      <w:pPr>
        <w:ind w:firstLine="720"/>
        <w:jc w:val="both"/>
      </w:pPr>
    </w:p>
    <w:p w14:paraId="4AE806ED" w14:textId="77777777" w:rsidR="00F81CF5" w:rsidRPr="004631CC" w:rsidRDefault="00F81CF5" w:rsidP="00FA4639">
      <w:pPr>
        <w:ind w:right="-8"/>
        <w:jc w:val="both"/>
        <w:rPr>
          <w:b/>
          <w:bCs/>
        </w:rPr>
      </w:pPr>
    </w:p>
    <w:p w14:paraId="4FC9DFCC" w14:textId="77777777" w:rsidR="0045426A" w:rsidRDefault="007F3584" w:rsidP="0045426A">
      <w:pPr>
        <w:pStyle w:val="Footer"/>
      </w:pPr>
      <w:r w:rsidRPr="008365EC">
        <w:t>Iepirkuma komisijas priekšsēdētāja</w:t>
      </w:r>
    </w:p>
    <w:p w14:paraId="7BB0C705" w14:textId="3375F878" w:rsidR="00B9002B" w:rsidRPr="0045426A" w:rsidRDefault="007F3584" w:rsidP="0045426A">
      <w:pPr>
        <w:pStyle w:val="Footer"/>
      </w:pPr>
      <w:r w:rsidRPr="008365EC">
        <w:rPr>
          <w:color w:val="000000"/>
          <w:lang w:eastAsia="en-GB"/>
        </w:rPr>
        <w:t>Karīna Meiberga</w:t>
      </w:r>
    </w:p>
    <w:p w14:paraId="388583AD" w14:textId="77777777" w:rsidR="00436DBD" w:rsidRDefault="00436DBD" w:rsidP="00F917E4">
      <w:pPr>
        <w:widowControl w:val="0"/>
        <w:tabs>
          <w:tab w:val="left" w:pos="764"/>
        </w:tabs>
        <w:rPr>
          <w:color w:val="000000"/>
          <w:sz w:val="20"/>
          <w:szCs w:val="20"/>
          <w:lang w:eastAsia="en-GB"/>
        </w:rPr>
      </w:pPr>
    </w:p>
    <w:p w14:paraId="298985E3" w14:textId="77777777" w:rsidR="00F81CF5" w:rsidRDefault="00F81CF5" w:rsidP="00F917E4">
      <w:pPr>
        <w:widowControl w:val="0"/>
        <w:tabs>
          <w:tab w:val="left" w:pos="764"/>
        </w:tabs>
        <w:rPr>
          <w:color w:val="000000"/>
          <w:sz w:val="20"/>
          <w:szCs w:val="20"/>
          <w:lang w:eastAsia="en-GB"/>
        </w:rPr>
      </w:pPr>
    </w:p>
    <w:p w14:paraId="48F5CCCA" w14:textId="7EFE3D92" w:rsidR="005256FF" w:rsidRPr="0031334D" w:rsidRDefault="002807C8" w:rsidP="00B61B96">
      <w:pPr>
        <w:rPr>
          <w:lang w:val="en-US"/>
        </w:rPr>
      </w:pPr>
      <w:r>
        <w:rPr>
          <w:lang w:val="en-GB" w:bidi="en-GB"/>
        </w:rPr>
        <w:br w:type="page"/>
      </w:r>
      <w:r w:rsidR="00B61B96">
        <w:rPr>
          <w:lang w:val="en-US" w:bidi="en-GB"/>
        </w:rPr>
        <w:lastRenderedPageBreak/>
        <w:t>July 23, 2026</w:t>
      </w:r>
    </w:p>
    <w:p w14:paraId="57684F0E" w14:textId="77777777" w:rsidR="005256FF" w:rsidRPr="0031334D" w:rsidRDefault="005256FF" w:rsidP="003F1A00">
      <w:pPr>
        <w:jc w:val="right"/>
        <w:rPr>
          <w:lang w:val="en-US"/>
        </w:rPr>
      </w:pPr>
    </w:p>
    <w:p w14:paraId="0C052C34" w14:textId="77777777" w:rsidR="005B07D3" w:rsidRPr="002D717E" w:rsidRDefault="005B07D3" w:rsidP="005B07D3">
      <w:pPr>
        <w:pStyle w:val="Default"/>
        <w:tabs>
          <w:tab w:val="left" w:pos="5387"/>
        </w:tabs>
        <w:ind w:right="4103"/>
        <w:jc w:val="both"/>
        <w:rPr>
          <w:iCs/>
          <w:lang w:val="en-US"/>
        </w:rPr>
      </w:pPr>
      <w:r w:rsidRPr="002D717E">
        <w:rPr>
          <w:lang w:val="en-US" w:bidi="en-GB"/>
        </w:rPr>
        <w:t>Regarding the requirements of the open procedure "Supply of buses" (ID No RS 2026/17)</w:t>
      </w:r>
    </w:p>
    <w:p w14:paraId="3D7D6E14" w14:textId="77777777" w:rsidR="005B07D3" w:rsidRPr="002D717E" w:rsidRDefault="005B07D3" w:rsidP="005B07D3">
      <w:pPr>
        <w:ind w:right="417"/>
        <w:rPr>
          <w:i/>
          <w:lang w:val="en-US"/>
        </w:rPr>
      </w:pPr>
    </w:p>
    <w:p w14:paraId="0FF4CF08" w14:textId="77777777" w:rsidR="005B07D3" w:rsidRDefault="005B07D3" w:rsidP="00B27AB2">
      <w:pPr>
        <w:tabs>
          <w:tab w:val="right" w:pos="9072"/>
        </w:tabs>
        <w:ind w:right="134" w:firstLine="426"/>
        <w:jc w:val="both"/>
        <w:rPr>
          <w:lang w:val="en-US" w:bidi="en-GB"/>
        </w:rPr>
      </w:pPr>
      <w:r w:rsidRPr="002D717E">
        <w:rPr>
          <w:lang w:val="en-US" w:bidi="en-GB"/>
        </w:rPr>
        <w:t xml:space="preserve">Riga Municipality Limited Liability Company (SIA) Rīgas </w:t>
      </w:r>
      <w:proofErr w:type="spellStart"/>
      <w:r w:rsidRPr="002D717E">
        <w:rPr>
          <w:lang w:val="en-US" w:bidi="en-GB"/>
        </w:rPr>
        <w:t>satiksme</w:t>
      </w:r>
      <w:proofErr w:type="spellEnd"/>
      <w:r w:rsidRPr="002D717E">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21A95201" w14:textId="77777777" w:rsidR="00FA30A2" w:rsidRDefault="00FA30A2" w:rsidP="00B27AB2">
      <w:pPr>
        <w:tabs>
          <w:tab w:val="right" w:pos="9072"/>
        </w:tabs>
        <w:ind w:right="134" w:firstLine="426"/>
        <w:jc w:val="both"/>
        <w:rPr>
          <w:lang w:val="en-US" w:bidi="en-GB"/>
        </w:rPr>
      </w:pPr>
    </w:p>
    <w:p w14:paraId="60E47F48" w14:textId="77777777" w:rsidR="0017690D" w:rsidRPr="0017690D" w:rsidRDefault="0017690D" w:rsidP="0017690D">
      <w:pPr>
        <w:jc w:val="both"/>
        <w:rPr>
          <w:lang w:val="en-US"/>
        </w:rPr>
      </w:pPr>
      <w:r w:rsidRPr="0017690D">
        <w:rPr>
          <w:b/>
          <w:bCs/>
          <w:lang w:val="en-US"/>
        </w:rPr>
        <w:t>Question 1</w:t>
      </w:r>
    </w:p>
    <w:p w14:paraId="38F3E2B8" w14:textId="77777777" w:rsidR="0017690D" w:rsidRPr="0017690D" w:rsidRDefault="0017690D" w:rsidP="0017690D">
      <w:pPr>
        <w:ind w:firstLine="720"/>
        <w:jc w:val="both"/>
        <w:rPr>
          <w:lang w:val="en-US"/>
        </w:rPr>
      </w:pPr>
      <w:r w:rsidRPr="0017690D">
        <w:rPr>
          <w:lang w:val="en-US"/>
        </w:rPr>
        <w:t xml:space="preserve">We would like to submit the following questions and recommendations regarding the open tender </w:t>
      </w:r>
      <w:r w:rsidRPr="0017690D">
        <w:rPr>
          <w:b/>
          <w:bCs/>
          <w:lang w:val="en-US"/>
        </w:rPr>
        <w:t>“Supply of Buses”</w:t>
      </w:r>
      <w:r w:rsidRPr="0017690D">
        <w:rPr>
          <w:lang w:val="en-US"/>
        </w:rPr>
        <w:t xml:space="preserve">, Identification No. </w:t>
      </w:r>
      <w:r w:rsidRPr="0017690D">
        <w:rPr>
          <w:b/>
          <w:bCs/>
          <w:lang w:val="en-US"/>
        </w:rPr>
        <w:t>RS/2026/17</w:t>
      </w:r>
      <w:r w:rsidRPr="0017690D">
        <w:rPr>
          <w:lang w:val="en-US"/>
        </w:rPr>
        <w:t>.</w:t>
      </w:r>
    </w:p>
    <w:p w14:paraId="7F4D8674" w14:textId="77777777" w:rsidR="0017690D" w:rsidRPr="0017690D" w:rsidRDefault="0017690D" w:rsidP="0017690D">
      <w:pPr>
        <w:ind w:firstLine="720"/>
        <w:jc w:val="both"/>
        <w:rPr>
          <w:lang w:val="en-US"/>
        </w:rPr>
      </w:pPr>
      <w:r w:rsidRPr="0017690D">
        <w:rPr>
          <w:lang w:val="en-US"/>
        </w:rPr>
        <w:t>Considering that the systems are identical, these questions apply to:</w:t>
      </w:r>
    </w:p>
    <w:p w14:paraId="5C2C19A2" w14:textId="77777777" w:rsidR="0017690D" w:rsidRPr="0017690D" w:rsidRDefault="0017690D" w:rsidP="0017690D">
      <w:pPr>
        <w:numPr>
          <w:ilvl w:val="0"/>
          <w:numId w:val="34"/>
        </w:numPr>
        <w:jc w:val="both"/>
        <w:rPr>
          <w:lang w:val="en-US"/>
        </w:rPr>
      </w:pPr>
      <w:r w:rsidRPr="0017690D">
        <w:rPr>
          <w:lang w:val="en-US"/>
        </w:rPr>
        <w:t>18 m electric buses;</w:t>
      </w:r>
    </w:p>
    <w:p w14:paraId="22E041AE" w14:textId="77777777" w:rsidR="0017690D" w:rsidRPr="0017690D" w:rsidRDefault="0017690D" w:rsidP="0017690D">
      <w:pPr>
        <w:numPr>
          <w:ilvl w:val="0"/>
          <w:numId w:val="34"/>
        </w:numPr>
        <w:jc w:val="both"/>
        <w:rPr>
          <w:lang w:val="en-US"/>
        </w:rPr>
      </w:pPr>
      <w:r w:rsidRPr="0017690D">
        <w:rPr>
          <w:lang w:val="en-US"/>
        </w:rPr>
        <w:t>18 m diesel buses.</w:t>
      </w:r>
    </w:p>
    <w:p w14:paraId="10448449" w14:textId="77777777" w:rsidR="0017690D" w:rsidRPr="0017690D" w:rsidRDefault="0017690D" w:rsidP="0017690D">
      <w:pPr>
        <w:ind w:firstLine="720"/>
        <w:jc w:val="both"/>
        <w:rPr>
          <w:lang w:val="en-US"/>
        </w:rPr>
      </w:pPr>
      <w:r w:rsidRPr="0017690D">
        <w:rPr>
          <w:b/>
          <w:bCs/>
          <w:lang w:val="en-US"/>
        </w:rPr>
        <w:t>Question. Recommendation.</w:t>
      </w:r>
    </w:p>
    <w:p w14:paraId="2F93905B" w14:textId="77777777" w:rsidR="0017690D" w:rsidRPr="0017690D" w:rsidRDefault="0017690D" w:rsidP="0017690D">
      <w:pPr>
        <w:ind w:firstLine="720"/>
        <w:jc w:val="both"/>
        <w:rPr>
          <w:lang w:val="en-US"/>
        </w:rPr>
      </w:pPr>
      <w:r w:rsidRPr="0017690D">
        <w:rPr>
          <w:lang w:val="en-US"/>
        </w:rPr>
        <w:t>Would the Contracting Authority allow clarification of Clause 9.2.3 (Audio Playback System (to be provided by the Supplier)) of the Technical Specification by stipulating that the interior loudspeaker system and the exterior loudspeaker system shall be equipped with separate audio amplifiers rather than a single common amplifier?</w:t>
      </w:r>
    </w:p>
    <w:p w14:paraId="4B15B080" w14:textId="77777777" w:rsidR="0017690D" w:rsidRPr="0017690D" w:rsidRDefault="0017690D" w:rsidP="0017690D">
      <w:pPr>
        <w:ind w:firstLine="720"/>
        <w:jc w:val="both"/>
        <w:rPr>
          <w:lang w:val="en-US"/>
        </w:rPr>
      </w:pPr>
      <w:r w:rsidRPr="0017690D">
        <w:rPr>
          <w:b/>
          <w:bCs/>
          <w:lang w:val="en-US"/>
        </w:rPr>
        <w:t>Justification</w:t>
      </w:r>
    </w:p>
    <w:p w14:paraId="1A20F63E" w14:textId="77777777" w:rsidR="0017690D" w:rsidRPr="0017690D" w:rsidRDefault="0017690D" w:rsidP="0017690D">
      <w:pPr>
        <w:ind w:firstLine="720"/>
        <w:jc w:val="both"/>
        <w:rPr>
          <w:lang w:val="en-US"/>
        </w:rPr>
      </w:pPr>
      <w:r w:rsidRPr="0017690D">
        <w:rPr>
          <w:lang w:val="en-US"/>
        </w:rPr>
        <w:t>In practice, the use of a single audio amplifier to serve both the interior and exterior loudspeakers often requires additional audio signal switching by means of relays or other switching devices. This increases the complexity of the system, reduces its reliability and creates additional operational risks.</w:t>
      </w:r>
    </w:p>
    <w:p w14:paraId="7D9376E5" w14:textId="77777777" w:rsidR="0017690D" w:rsidRPr="0017690D" w:rsidRDefault="0017690D" w:rsidP="0017690D">
      <w:pPr>
        <w:ind w:firstLine="720"/>
        <w:jc w:val="both"/>
        <w:rPr>
          <w:lang w:val="en-US"/>
        </w:rPr>
      </w:pPr>
      <w:r w:rsidRPr="0017690D">
        <w:rPr>
          <w:lang w:val="en-US"/>
        </w:rPr>
        <w:t>Separate audio amplifiers for the interior and exterior loudspeaker systems provide:</w:t>
      </w:r>
    </w:p>
    <w:p w14:paraId="1D452F3F" w14:textId="77777777" w:rsidR="0017690D" w:rsidRPr="0017690D" w:rsidRDefault="0017690D" w:rsidP="0017690D">
      <w:pPr>
        <w:numPr>
          <w:ilvl w:val="0"/>
          <w:numId w:val="35"/>
        </w:numPr>
        <w:jc w:val="both"/>
        <w:rPr>
          <w:lang w:val="en-US"/>
        </w:rPr>
      </w:pPr>
      <w:r w:rsidRPr="0017690D">
        <w:rPr>
          <w:lang w:val="en-US"/>
        </w:rPr>
        <w:t>higher operational safety and reliability of the system;</w:t>
      </w:r>
    </w:p>
    <w:p w14:paraId="023247B3" w14:textId="77777777" w:rsidR="0017690D" w:rsidRPr="0017690D" w:rsidRDefault="0017690D" w:rsidP="0017690D">
      <w:pPr>
        <w:numPr>
          <w:ilvl w:val="0"/>
          <w:numId w:val="35"/>
        </w:numPr>
        <w:jc w:val="both"/>
        <w:rPr>
          <w:lang w:val="en-US"/>
        </w:rPr>
      </w:pPr>
      <w:r w:rsidRPr="0017690D">
        <w:rPr>
          <w:lang w:val="en-US"/>
        </w:rPr>
        <w:t>the possibility to adjust the sound level independently inside and outside the vehicle;</w:t>
      </w:r>
    </w:p>
    <w:p w14:paraId="5DF56043" w14:textId="77777777" w:rsidR="0017690D" w:rsidRPr="0017690D" w:rsidRDefault="0017690D" w:rsidP="0017690D">
      <w:pPr>
        <w:numPr>
          <w:ilvl w:val="0"/>
          <w:numId w:val="35"/>
        </w:numPr>
        <w:jc w:val="both"/>
        <w:rPr>
          <w:lang w:val="en-US"/>
        </w:rPr>
      </w:pPr>
      <w:r w:rsidRPr="0017690D">
        <w:rPr>
          <w:lang w:val="en-US"/>
        </w:rPr>
        <w:t>simpler diagnostics and maintenance;</w:t>
      </w:r>
    </w:p>
    <w:p w14:paraId="297ADA10" w14:textId="77777777" w:rsidR="0017690D" w:rsidRPr="0017690D" w:rsidRDefault="0017690D" w:rsidP="0017690D">
      <w:pPr>
        <w:numPr>
          <w:ilvl w:val="0"/>
          <w:numId w:val="35"/>
        </w:numPr>
        <w:jc w:val="both"/>
        <w:rPr>
          <w:lang w:val="en-US"/>
        </w:rPr>
      </w:pPr>
      <w:r w:rsidRPr="0017690D">
        <w:rPr>
          <w:lang w:val="en-US"/>
        </w:rPr>
        <w:t>a lower number of additional switching elements and consequently a lower risk of failures.</w:t>
      </w:r>
    </w:p>
    <w:p w14:paraId="690C5B9F" w14:textId="77777777" w:rsidR="0017690D" w:rsidRPr="0017690D" w:rsidRDefault="0017690D" w:rsidP="0017690D">
      <w:pPr>
        <w:ind w:firstLine="720"/>
        <w:jc w:val="both"/>
        <w:rPr>
          <w:lang w:val="en-US"/>
        </w:rPr>
      </w:pPr>
      <w:r w:rsidRPr="0017690D">
        <w:rPr>
          <w:lang w:val="en-US"/>
        </w:rPr>
        <w:t>Such a solution is widely used in professional passenger information systems and ensures more stable system operation in the long term.</w:t>
      </w:r>
    </w:p>
    <w:p w14:paraId="1A23CB5D" w14:textId="77777777" w:rsidR="0017690D" w:rsidRPr="0017690D" w:rsidRDefault="0017690D" w:rsidP="0017690D">
      <w:pPr>
        <w:ind w:firstLine="720"/>
        <w:jc w:val="both"/>
        <w:rPr>
          <w:lang w:val="en-US"/>
        </w:rPr>
      </w:pPr>
      <w:r w:rsidRPr="0017690D">
        <w:rPr>
          <w:b/>
          <w:bCs/>
          <w:lang w:val="en-US"/>
        </w:rPr>
        <w:t>Recommendation</w:t>
      </w:r>
    </w:p>
    <w:p w14:paraId="6A3D7823" w14:textId="77777777" w:rsidR="0017690D" w:rsidRPr="0017690D" w:rsidRDefault="0017690D" w:rsidP="0017690D">
      <w:pPr>
        <w:ind w:firstLine="720"/>
        <w:jc w:val="both"/>
        <w:rPr>
          <w:lang w:val="en-US"/>
        </w:rPr>
      </w:pPr>
      <w:r w:rsidRPr="0017690D">
        <w:rPr>
          <w:lang w:val="en-US"/>
        </w:rPr>
        <w:t>We recommend supplementing the Technical Specification with the following requirement:</w:t>
      </w:r>
    </w:p>
    <w:p w14:paraId="5336D03F" w14:textId="77777777" w:rsidR="0017690D" w:rsidRPr="0017690D" w:rsidRDefault="0017690D" w:rsidP="0017690D">
      <w:pPr>
        <w:ind w:firstLine="720"/>
        <w:jc w:val="both"/>
        <w:rPr>
          <w:lang w:val="en-US"/>
        </w:rPr>
      </w:pPr>
      <w:r w:rsidRPr="0017690D">
        <w:rPr>
          <w:lang w:val="en-US"/>
        </w:rPr>
        <w:t>“The interior loudspeaker system and the exterior loudspeaker system shall be equipped with separate audio amplifiers. Both systems shall operate independently, ensuring audio playback without the need for additional relays or other mechanical audio signal switching devices.”</w:t>
      </w:r>
    </w:p>
    <w:p w14:paraId="78DFF28D" w14:textId="2165511C" w:rsidR="0017690D" w:rsidRPr="0017690D" w:rsidRDefault="0017690D" w:rsidP="0017690D">
      <w:pPr>
        <w:ind w:firstLine="720"/>
        <w:jc w:val="both"/>
        <w:rPr>
          <w:lang w:val="en-US"/>
        </w:rPr>
      </w:pPr>
    </w:p>
    <w:p w14:paraId="4268FA1E" w14:textId="77777777" w:rsidR="0017690D" w:rsidRPr="0017690D" w:rsidRDefault="0017690D" w:rsidP="0017690D">
      <w:pPr>
        <w:jc w:val="both"/>
        <w:rPr>
          <w:b/>
          <w:bCs/>
          <w:lang w:val="en-US"/>
        </w:rPr>
      </w:pPr>
      <w:r w:rsidRPr="0017690D">
        <w:rPr>
          <w:b/>
          <w:bCs/>
          <w:lang w:val="en-US"/>
        </w:rPr>
        <w:t>Question 2</w:t>
      </w:r>
    </w:p>
    <w:p w14:paraId="50502425" w14:textId="77777777" w:rsidR="0017690D" w:rsidRPr="0017690D" w:rsidRDefault="0017690D" w:rsidP="0017690D">
      <w:pPr>
        <w:ind w:firstLine="720"/>
        <w:jc w:val="both"/>
        <w:rPr>
          <w:lang w:val="en-US"/>
        </w:rPr>
      </w:pPr>
      <w:r w:rsidRPr="0017690D">
        <w:rPr>
          <w:b/>
          <w:bCs/>
          <w:lang w:val="en-US"/>
        </w:rPr>
        <w:t>Question. Recommendation.</w:t>
      </w:r>
    </w:p>
    <w:p w14:paraId="2D8771B7" w14:textId="77777777" w:rsidR="0017690D" w:rsidRDefault="0017690D" w:rsidP="0017690D">
      <w:pPr>
        <w:ind w:firstLine="720"/>
        <w:jc w:val="both"/>
        <w:rPr>
          <w:lang w:val="en-US"/>
        </w:rPr>
      </w:pPr>
      <w:r w:rsidRPr="0017690D">
        <w:rPr>
          <w:lang w:val="en-US"/>
        </w:rPr>
        <w:t>Would the Contracting Authority allow clarification of Clause 9.3 (Passenger Counting System (APC)) of the Technical Specification by providing that a PoE (Power over Ethernet) Ethernet connection, as well as a door status signal (Door Open/Close)</w:t>
      </w:r>
      <w:proofErr w:type="gramStart"/>
      <w:r w:rsidRPr="0017690D">
        <w:rPr>
          <w:lang w:val="en-US"/>
        </w:rPr>
        <w:t>, shall</w:t>
      </w:r>
      <w:proofErr w:type="gramEnd"/>
      <w:r w:rsidRPr="0017690D">
        <w:rPr>
          <w:lang w:val="en-US"/>
        </w:rPr>
        <w:t xml:space="preserve"> be available at each APC sensor installation location?</w:t>
      </w:r>
    </w:p>
    <w:p w14:paraId="3EB56A4E" w14:textId="77777777" w:rsidR="00FA4639" w:rsidRPr="0017690D" w:rsidRDefault="00FA4639" w:rsidP="00B61B96">
      <w:pPr>
        <w:jc w:val="both"/>
        <w:rPr>
          <w:lang w:val="en-US"/>
        </w:rPr>
      </w:pPr>
    </w:p>
    <w:p w14:paraId="40223DE4" w14:textId="77777777" w:rsidR="0017690D" w:rsidRPr="0017690D" w:rsidRDefault="0017690D" w:rsidP="0017690D">
      <w:pPr>
        <w:ind w:firstLine="720"/>
        <w:jc w:val="both"/>
        <w:rPr>
          <w:lang w:val="en-US"/>
        </w:rPr>
      </w:pPr>
      <w:r w:rsidRPr="0017690D">
        <w:rPr>
          <w:b/>
          <w:bCs/>
          <w:lang w:val="en-US"/>
        </w:rPr>
        <w:t>Justification</w:t>
      </w:r>
    </w:p>
    <w:p w14:paraId="7CAD2772" w14:textId="77777777" w:rsidR="0017690D" w:rsidRPr="0017690D" w:rsidRDefault="0017690D" w:rsidP="0017690D">
      <w:pPr>
        <w:ind w:firstLine="720"/>
        <w:jc w:val="both"/>
        <w:rPr>
          <w:lang w:val="en-US"/>
        </w:rPr>
      </w:pPr>
      <w:r w:rsidRPr="0017690D">
        <w:rPr>
          <w:lang w:val="en-US"/>
        </w:rPr>
        <w:t>Modern APC (Automatic Passenger Counting) systems increasingly use PoE (IEEE 802.3af/at) technology, which provides both data transmission and power through a single Ethernet cable. Such a solution reduces the amount of wiring, simplifies installation and increases system reliability.</w:t>
      </w:r>
    </w:p>
    <w:p w14:paraId="19CF3588" w14:textId="77777777" w:rsidR="0017690D" w:rsidRPr="0017690D" w:rsidRDefault="0017690D" w:rsidP="0017690D">
      <w:pPr>
        <w:ind w:firstLine="720"/>
        <w:jc w:val="both"/>
        <w:rPr>
          <w:lang w:val="en-US"/>
        </w:rPr>
      </w:pPr>
      <w:r w:rsidRPr="0017690D">
        <w:rPr>
          <w:lang w:val="en-US"/>
        </w:rPr>
        <w:lastRenderedPageBreak/>
        <w:t>In addition, several APC manufacturers use the door status signal to activate passenger counting only when the respective door is open. When the door is closed, the sensors do not perform measurements, which:</w:t>
      </w:r>
    </w:p>
    <w:p w14:paraId="3D455249" w14:textId="77777777" w:rsidR="0017690D" w:rsidRPr="0017690D" w:rsidRDefault="0017690D" w:rsidP="0017690D">
      <w:pPr>
        <w:numPr>
          <w:ilvl w:val="0"/>
          <w:numId w:val="36"/>
        </w:numPr>
        <w:jc w:val="both"/>
        <w:rPr>
          <w:lang w:val="en-US"/>
        </w:rPr>
      </w:pPr>
      <w:r w:rsidRPr="0017690D">
        <w:rPr>
          <w:lang w:val="en-US"/>
        </w:rPr>
        <w:t>reduces unnecessary data processing;</w:t>
      </w:r>
    </w:p>
    <w:p w14:paraId="277296FC" w14:textId="77777777" w:rsidR="0017690D" w:rsidRPr="0017690D" w:rsidRDefault="0017690D" w:rsidP="0017690D">
      <w:pPr>
        <w:numPr>
          <w:ilvl w:val="0"/>
          <w:numId w:val="36"/>
        </w:numPr>
        <w:jc w:val="both"/>
        <w:rPr>
          <w:lang w:val="en-US"/>
        </w:rPr>
      </w:pPr>
      <w:r w:rsidRPr="0017690D">
        <w:rPr>
          <w:lang w:val="en-US"/>
        </w:rPr>
        <w:t>improves passenger counting accuracy;</w:t>
      </w:r>
    </w:p>
    <w:p w14:paraId="7216FA91" w14:textId="77777777" w:rsidR="0017690D" w:rsidRPr="0017690D" w:rsidRDefault="0017690D" w:rsidP="0017690D">
      <w:pPr>
        <w:numPr>
          <w:ilvl w:val="0"/>
          <w:numId w:val="36"/>
        </w:numPr>
        <w:jc w:val="both"/>
        <w:rPr>
          <w:lang w:val="en-US"/>
        </w:rPr>
      </w:pPr>
      <w:r w:rsidRPr="0017690D">
        <w:rPr>
          <w:lang w:val="en-US"/>
        </w:rPr>
        <w:t>reduces the possibility of inaccurate counts while the vehicle is in motion.</w:t>
      </w:r>
    </w:p>
    <w:p w14:paraId="76976F47" w14:textId="77777777" w:rsidR="0017690D" w:rsidRPr="0017690D" w:rsidRDefault="0017690D" w:rsidP="0017690D">
      <w:pPr>
        <w:ind w:firstLine="720"/>
        <w:jc w:val="both"/>
        <w:rPr>
          <w:lang w:val="en-US"/>
        </w:rPr>
      </w:pPr>
      <w:proofErr w:type="gramStart"/>
      <w:r w:rsidRPr="0017690D">
        <w:rPr>
          <w:lang w:val="en-US"/>
        </w:rPr>
        <w:t>In order to</w:t>
      </w:r>
      <w:proofErr w:type="gramEnd"/>
      <w:r w:rsidRPr="0017690D">
        <w:rPr>
          <w:lang w:val="en-US"/>
        </w:rPr>
        <w:t xml:space="preserve"> avoid additional cabling and simplify APC system installation, it is recommended that the door status signal be provided at each APC sensor installation location.</w:t>
      </w:r>
    </w:p>
    <w:p w14:paraId="2A94F87F" w14:textId="77777777" w:rsidR="0017690D" w:rsidRPr="0017690D" w:rsidRDefault="0017690D" w:rsidP="0017690D">
      <w:pPr>
        <w:ind w:firstLine="720"/>
        <w:jc w:val="both"/>
        <w:rPr>
          <w:lang w:val="en-US"/>
        </w:rPr>
      </w:pPr>
      <w:r w:rsidRPr="0017690D">
        <w:rPr>
          <w:b/>
          <w:bCs/>
          <w:lang w:val="en-US"/>
        </w:rPr>
        <w:t>Recommendation</w:t>
      </w:r>
    </w:p>
    <w:p w14:paraId="300DE3CC" w14:textId="77777777" w:rsidR="0017690D" w:rsidRPr="0017690D" w:rsidRDefault="0017690D" w:rsidP="0017690D">
      <w:pPr>
        <w:ind w:firstLine="720"/>
        <w:jc w:val="both"/>
        <w:rPr>
          <w:lang w:val="en-US"/>
        </w:rPr>
      </w:pPr>
      <w:r w:rsidRPr="0017690D">
        <w:rPr>
          <w:lang w:val="en-US"/>
        </w:rPr>
        <w:t xml:space="preserve">Supplement the Technical Specification with the following </w:t>
      </w:r>
      <w:proofErr w:type="gramStart"/>
      <w:r w:rsidRPr="0017690D">
        <w:rPr>
          <w:lang w:val="en-US"/>
        </w:rPr>
        <w:t>requirement</w:t>
      </w:r>
      <w:proofErr w:type="gramEnd"/>
      <w:r w:rsidRPr="0017690D">
        <w:rPr>
          <w:lang w:val="en-US"/>
        </w:rPr>
        <w:t>:</w:t>
      </w:r>
    </w:p>
    <w:p w14:paraId="1FE8E3C6" w14:textId="77777777" w:rsidR="0017690D" w:rsidRPr="0017690D" w:rsidRDefault="0017690D" w:rsidP="0017690D">
      <w:pPr>
        <w:ind w:firstLine="720"/>
        <w:jc w:val="both"/>
        <w:rPr>
          <w:lang w:val="en-US"/>
        </w:rPr>
      </w:pPr>
      <w:r w:rsidRPr="0017690D">
        <w:rPr>
          <w:lang w:val="en-US"/>
        </w:rPr>
        <w:t>“At each APC sensor installation location, an Ethernet connection with PoE (Power over Ethernet) power supply or an equivalent solution providing both data transmission and sensor power through a single cable shall be available. In addition, an opening/closing signal (Door Open/Close) for the respective door shall be available at each APC sensor installation location to enable the APC system to activate passenger counting only while the door is open.”</w:t>
      </w:r>
    </w:p>
    <w:p w14:paraId="4476F487" w14:textId="46E569E0" w:rsidR="0017690D" w:rsidRPr="0017690D" w:rsidRDefault="0017690D" w:rsidP="0017690D">
      <w:pPr>
        <w:ind w:firstLine="720"/>
        <w:jc w:val="both"/>
        <w:rPr>
          <w:lang w:val="en-US"/>
        </w:rPr>
      </w:pPr>
    </w:p>
    <w:p w14:paraId="228FB177" w14:textId="77777777" w:rsidR="0017690D" w:rsidRPr="0017690D" w:rsidRDefault="0017690D" w:rsidP="0017690D">
      <w:pPr>
        <w:jc w:val="both"/>
        <w:rPr>
          <w:b/>
          <w:bCs/>
          <w:lang w:val="en-US"/>
        </w:rPr>
      </w:pPr>
      <w:r w:rsidRPr="0017690D">
        <w:rPr>
          <w:b/>
          <w:bCs/>
          <w:lang w:val="en-US"/>
        </w:rPr>
        <w:t>Question 3</w:t>
      </w:r>
    </w:p>
    <w:p w14:paraId="7D97F493" w14:textId="77777777" w:rsidR="0017690D" w:rsidRPr="0017690D" w:rsidRDefault="0017690D" w:rsidP="0017690D">
      <w:pPr>
        <w:ind w:firstLine="720"/>
        <w:jc w:val="both"/>
        <w:rPr>
          <w:lang w:val="en-US"/>
        </w:rPr>
      </w:pPr>
      <w:r w:rsidRPr="0017690D">
        <w:rPr>
          <w:b/>
          <w:bCs/>
          <w:lang w:val="en-US"/>
        </w:rPr>
        <w:t>Question. Recommendation.</w:t>
      </w:r>
    </w:p>
    <w:p w14:paraId="498E9D25" w14:textId="77777777" w:rsidR="0017690D" w:rsidRPr="0017690D" w:rsidRDefault="0017690D" w:rsidP="0017690D">
      <w:pPr>
        <w:ind w:firstLine="720"/>
        <w:jc w:val="both"/>
        <w:rPr>
          <w:lang w:val="en-US"/>
        </w:rPr>
      </w:pPr>
      <w:r w:rsidRPr="0017690D">
        <w:rPr>
          <w:lang w:val="en-US"/>
        </w:rPr>
        <w:t xml:space="preserve">Would the Contracting Authority consider supplementing Clause 9.2.1.1 (Requirements for External LED Information Displays), Section (6) Integration and Data Exchange, by specifying that data exchange between vehicle systems shall support the </w:t>
      </w:r>
      <w:proofErr w:type="spellStart"/>
      <w:r w:rsidRPr="0017690D">
        <w:rPr>
          <w:lang w:val="en-US"/>
        </w:rPr>
        <w:t>ITxPT</w:t>
      </w:r>
      <w:proofErr w:type="spellEnd"/>
      <w:r w:rsidRPr="0017690D">
        <w:rPr>
          <w:lang w:val="en-US"/>
        </w:rPr>
        <w:t xml:space="preserve"> (Information Technology for Public Transport) specification?</w:t>
      </w:r>
    </w:p>
    <w:p w14:paraId="7F2F6416" w14:textId="77777777" w:rsidR="0017690D" w:rsidRPr="0017690D" w:rsidRDefault="0017690D" w:rsidP="0017690D">
      <w:pPr>
        <w:ind w:firstLine="720"/>
        <w:jc w:val="both"/>
        <w:rPr>
          <w:lang w:val="en-US"/>
        </w:rPr>
      </w:pPr>
      <w:r w:rsidRPr="0017690D">
        <w:rPr>
          <w:b/>
          <w:bCs/>
          <w:lang w:val="en-US"/>
        </w:rPr>
        <w:t>Justification</w:t>
      </w:r>
    </w:p>
    <w:p w14:paraId="581FA36A" w14:textId="77777777" w:rsidR="0017690D" w:rsidRPr="0017690D" w:rsidRDefault="0017690D" w:rsidP="0017690D">
      <w:pPr>
        <w:ind w:firstLine="720"/>
        <w:jc w:val="both"/>
        <w:rPr>
          <w:lang w:val="en-US"/>
        </w:rPr>
      </w:pPr>
      <w:r w:rsidRPr="0017690D">
        <w:rPr>
          <w:lang w:val="en-US"/>
        </w:rPr>
        <w:t>The current specification requires the use of open, documented and publicly available communication protocols for data exchange; however, it does not define a specific industry-standard solution. As a result, different solutions may be offered that formally comply with the requirements but differ significantly in terms of interoperability.</w:t>
      </w:r>
    </w:p>
    <w:p w14:paraId="50CD0A6D" w14:textId="77777777" w:rsidR="0017690D" w:rsidRPr="0017690D" w:rsidRDefault="0017690D" w:rsidP="0017690D">
      <w:pPr>
        <w:ind w:firstLine="720"/>
        <w:jc w:val="both"/>
        <w:rPr>
          <w:lang w:val="en-US"/>
        </w:rPr>
      </w:pPr>
      <w:proofErr w:type="spellStart"/>
      <w:r w:rsidRPr="0017690D">
        <w:rPr>
          <w:lang w:val="en-US"/>
        </w:rPr>
        <w:t>ITxPT</w:t>
      </w:r>
      <w:proofErr w:type="spellEnd"/>
      <w:r w:rsidRPr="0017690D">
        <w:rPr>
          <w:lang w:val="en-US"/>
        </w:rPr>
        <w:t xml:space="preserve"> is a widely used open specification in Europe for public transport information technology systems. It establishes common principles for integration, data exchange and interoperability between equipment from different manufacturers. </w:t>
      </w:r>
      <w:proofErr w:type="spellStart"/>
      <w:r w:rsidRPr="0017690D">
        <w:rPr>
          <w:lang w:val="en-US"/>
        </w:rPr>
        <w:t>ITxPT</w:t>
      </w:r>
      <w:proofErr w:type="spellEnd"/>
      <w:r w:rsidRPr="0017690D">
        <w:rPr>
          <w:lang w:val="en-US"/>
        </w:rPr>
        <w:t xml:space="preserve"> uses internationally </w:t>
      </w:r>
      <w:proofErr w:type="spellStart"/>
      <w:r w:rsidRPr="0017690D">
        <w:rPr>
          <w:lang w:val="en-US"/>
        </w:rPr>
        <w:t>recognised</w:t>
      </w:r>
      <w:proofErr w:type="spellEnd"/>
      <w:r w:rsidRPr="0017690D">
        <w:rPr>
          <w:lang w:val="en-US"/>
        </w:rPr>
        <w:t xml:space="preserve"> open standards and communication protocols (e.g. Ethernet, IP, HTTP, MQTT, etc.), thereby ensuring a flexible system architecture that is easier to expand in the future.</w:t>
      </w:r>
    </w:p>
    <w:p w14:paraId="6515C72B" w14:textId="77777777" w:rsidR="0017690D" w:rsidRPr="0017690D" w:rsidRDefault="0017690D" w:rsidP="0017690D">
      <w:pPr>
        <w:ind w:firstLine="720"/>
        <w:jc w:val="both"/>
        <w:rPr>
          <w:lang w:val="en-US"/>
        </w:rPr>
      </w:pPr>
      <w:proofErr w:type="gramStart"/>
      <w:r w:rsidRPr="0017690D">
        <w:rPr>
          <w:lang w:val="en-US"/>
        </w:rPr>
        <w:t>In particular, MQTT</w:t>
      </w:r>
      <w:proofErr w:type="gramEnd"/>
      <w:r w:rsidRPr="0017690D">
        <w:rPr>
          <w:lang w:val="en-US"/>
        </w:rPr>
        <w:t xml:space="preserve"> (Message Queuing Telemetry Transport) is one of the world’s most widely used open publish/subscribe communication protocols in the IoT and transport sectors. It is a lightweight, efficient and vendor-independent protocol that ensures secure and reliable data exchange between vehicle systems and is also widely used within </w:t>
      </w:r>
      <w:proofErr w:type="spellStart"/>
      <w:r w:rsidRPr="0017690D">
        <w:rPr>
          <w:lang w:val="en-US"/>
        </w:rPr>
        <w:t>ITxPT</w:t>
      </w:r>
      <w:proofErr w:type="spellEnd"/>
      <w:r w:rsidRPr="0017690D">
        <w:rPr>
          <w:lang w:val="en-US"/>
        </w:rPr>
        <w:t xml:space="preserve"> architecture. The use of MQTT significantly facilitates interoperability and integration of equipment supplied by different manufacturers.</w:t>
      </w:r>
    </w:p>
    <w:p w14:paraId="0F86B915" w14:textId="77777777" w:rsidR="0017690D" w:rsidRPr="0017690D" w:rsidRDefault="0017690D" w:rsidP="0017690D">
      <w:pPr>
        <w:ind w:firstLine="720"/>
        <w:jc w:val="both"/>
        <w:rPr>
          <w:lang w:val="en-US"/>
        </w:rPr>
      </w:pPr>
      <w:r w:rsidRPr="0017690D">
        <w:rPr>
          <w:lang w:val="en-US"/>
        </w:rPr>
        <w:t xml:space="preserve">The inclusion of </w:t>
      </w:r>
      <w:proofErr w:type="spellStart"/>
      <w:r w:rsidRPr="0017690D">
        <w:rPr>
          <w:lang w:val="en-US"/>
        </w:rPr>
        <w:t>ITxPT</w:t>
      </w:r>
      <w:proofErr w:type="spellEnd"/>
      <w:r w:rsidRPr="0017690D">
        <w:rPr>
          <w:lang w:val="en-US"/>
        </w:rPr>
        <w:t xml:space="preserve"> requirements would promote:</w:t>
      </w:r>
    </w:p>
    <w:p w14:paraId="3E7702CA" w14:textId="77777777" w:rsidR="0017690D" w:rsidRPr="0017690D" w:rsidRDefault="0017690D" w:rsidP="0017690D">
      <w:pPr>
        <w:numPr>
          <w:ilvl w:val="0"/>
          <w:numId w:val="37"/>
        </w:numPr>
        <w:jc w:val="both"/>
        <w:rPr>
          <w:lang w:val="en-US"/>
        </w:rPr>
      </w:pPr>
      <w:r w:rsidRPr="0017690D">
        <w:rPr>
          <w:lang w:val="en-US"/>
        </w:rPr>
        <w:t>higher interoperability between equipment from different manufacturers;</w:t>
      </w:r>
    </w:p>
    <w:p w14:paraId="76B2E701" w14:textId="77777777" w:rsidR="0017690D" w:rsidRPr="0017690D" w:rsidRDefault="0017690D" w:rsidP="0017690D">
      <w:pPr>
        <w:numPr>
          <w:ilvl w:val="0"/>
          <w:numId w:val="37"/>
        </w:numPr>
        <w:jc w:val="both"/>
        <w:rPr>
          <w:lang w:val="en-US"/>
        </w:rPr>
      </w:pPr>
      <w:r w:rsidRPr="0017690D">
        <w:rPr>
          <w:lang w:val="en-US"/>
        </w:rPr>
        <w:t>easier integration with existing and future passenger information systems;</w:t>
      </w:r>
    </w:p>
    <w:p w14:paraId="48551995" w14:textId="77777777" w:rsidR="0017690D" w:rsidRPr="0017690D" w:rsidRDefault="0017690D" w:rsidP="0017690D">
      <w:pPr>
        <w:numPr>
          <w:ilvl w:val="0"/>
          <w:numId w:val="37"/>
        </w:numPr>
        <w:jc w:val="both"/>
        <w:rPr>
          <w:lang w:val="en-US"/>
        </w:rPr>
      </w:pPr>
      <w:r w:rsidRPr="0017690D">
        <w:rPr>
          <w:lang w:val="en-US"/>
        </w:rPr>
        <w:t>lower dependence on individual supplier solutions;</w:t>
      </w:r>
    </w:p>
    <w:p w14:paraId="03C34BAA" w14:textId="77777777" w:rsidR="0017690D" w:rsidRPr="0017690D" w:rsidRDefault="0017690D" w:rsidP="0017690D">
      <w:pPr>
        <w:numPr>
          <w:ilvl w:val="0"/>
          <w:numId w:val="37"/>
        </w:numPr>
        <w:jc w:val="both"/>
        <w:rPr>
          <w:lang w:val="en-US"/>
        </w:rPr>
      </w:pPr>
      <w:r w:rsidRPr="0017690D">
        <w:rPr>
          <w:lang w:val="en-US"/>
        </w:rPr>
        <w:t>lower maintenance and integration costs during vehicle operation.</w:t>
      </w:r>
    </w:p>
    <w:p w14:paraId="763A66C3" w14:textId="77777777" w:rsidR="0017690D" w:rsidRPr="0017690D" w:rsidRDefault="0017690D" w:rsidP="0017690D">
      <w:pPr>
        <w:ind w:firstLine="720"/>
        <w:jc w:val="both"/>
        <w:rPr>
          <w:lang w:val="en-US"/>
        </w:rPr>
      </w:pPr>
      <w:r w:rsidRPr="0017690D">
        <w:rPr>
          <w:b/>
          <w:bCs/>
          <w:lang w:val="en-US"/>
        </w:rPr>
        <w:t>Recommendation</w:t>
      </w:r>
    </w:p>
    <w:p w14:paraId="398534E9" w14:textId="77777777" w:rsidR="0017690D" w:rsidRPr="0017690D" w:rsidRDefault="0017690D" w:rsidP="0017690D">
      <w:pPr>
        <w:ind w:firstLine="720"/>
        <w:jc w:val="both"/>
        <w:rPr>
          <w:lang w:val="en-US"/>
        </w:rPr>
      </w:pPr>
      <w:r w:rsidRPr="0017690D">
        <w:rPr>
          <w:lang w:val="en-US"/>
        </w:rPr>
        <w:t xml:space="preserve">Supplement the Technical Specification with the following </w:t>
      </w:r>
      <w:proofErr w:type="gramStart"/>
      <w:r w:rsidRPr="0017690D">
        <w:rPr>
          <w:lang w:val="en-US"/>
        </w:rPr>
        <w:t>requirement</w:t>
      </w:r>
      <w:proofErr w:type="gramEnd"/>
      <w:r w:rsidRPr="0017690D">
        <w:rPr>
          <w:lang w:val="en-US"/>
        </w:rPr>
        <w:t>:</w:t>
      </w:r>
    </w:p>
    <w:p w14:paraId="464BA20A" w14:textId="77777777" w:rsidR="0017690D" w:rsidRPr="0017690D" w:rsidRDefault="0017690D" w:rsidP="0017690D">
      <w:pPr>
        <w:ind w:firstLine="720"/>
        <w:jc w:val="both"/>
        <w:rPr>
          <w:lang w:val="en-US"/>
        </w:rPr>
      </w:pPr>
      <w:r w:rsidRPr="0017690D">
        <w:rPr>
          <w:lang w:val="en-US"/>
        </w:rPr>
        <w:t xml:space="preserve">“Data exchange between vehicle systems shall support the </w:t>
      </w:r>
      <w:proofErr w:type="spellStart"/>
      <w:r w:rsidRPr="0017690D">
        <w:rPr>
          <w:lang w:val="en-US"/>
        </w:rPr>
        <w:t>ITxPT</w:t>
      </w:r>
      <w:proofErr w:type="spellEnd"/>
      <w:r w:rsidRPr="0017690D">
        <w:rPr>
          <w:lang w:val="en-US"/>
        </w:rPr>
        <w:t xml:space="preserve"> (Information Technology for Public Transport) specification or another equivalent internationally </w:t>
      </w:r>
      <w:proofErr w:type="spellStart"/>
      <w:r w:rsidRPr="0017690D">
        <w:rPr>
          <w:lang w:val="en-US"/>
        </w:rPr>
        <w:t>recognised</w:t>
      </w:r>
      <w:proofErr w:type="spellEnd"/>
      <w:r w:rsidRPr="0017690D">
        <w:rPr>
          <w:lang w:val="en-US"/>
        </w:rPr>
        <w:t xml:space="preserve"> open standard ensuring interoperability and integration of equipment from different manufacturers. Communication protocols used within the system shall be open, publicly documented, vendor-independent and free from exclusive licensing requirements. Where applicable, widely used open communication protocols such as MQTT (Message Queuing </w:t>
      </w:r>
      <w:r w:rsidRPr="0017690D">
        <w:rPr>
          <w:lang w:val="en-US"/>
        </w:rPr>
        <w:lastRenderedPageBreak/>
        <w:t xml:space="preserve">Telemetry Transport), providing </w:t>
      </w:r>
      <w:proofErr w:type="spellStart"/>
      <w:r w:rsidRPr="0017690D">
        <w:rPr>
          <w:lang w:val="en-US"/>
        </w:rPr>
        <w:t>standardised</w:t>
      </w:r>
      <w:proofErr w:type="spellEnd"/>
      <w:r w:rsidRPr="0017690D">
        <w:rPr>
          <w:lang w:val="en-US"/>
        </w:rPr>
        <w:t>, reliable and easily expandable future integration with modern Passenger Information Systems (PIS), are recommended.”</w:t>
      </w:r>
    </w:p>
    <w:p w14:paraId="5E9439D7" w14:textId="6A1B93E2" w:rsidR="0017690D" w:rsidRPr="0017690D" w:rsidRDefault="0017690D" w:rsidP="0017690D">
      <w:pPr>
        <w:ind w:firstLine="720"/>
        <w:jc w:val="both"/>
        <w:rPr>
          <w:lang w:val="en-US"/>
        </w:rPr>
      </w:pPr>
    </w:p>
    <w:p w14:paraId="777BCFA2" w14:textId="77777777" w:rsidR="0017690D" w:rsidRPr="0017690D" w:rsidRDefault="0017690D" w:rsidP="0017690D">
      <w:pPr>
        <w:jc w:val="both"/>
        <w:rPr>
          <w:b/>
          <w:bCs/>
          <w:lang w:val="en-US"/>
        </w:rPr>
      </w:pPr>
      <w:r w:rsidRPr="0017690D">
        <w:rPr>
          <w:b/>
          <w:bCs/>
          <w:lang w:val="en-US"/>
        </w:rPr>
        <w:t>Question 4</w:t>
      </w:r>
    </w:p>
    <w:p w14:paraId="63D97495" w14:textId="77777777" w:rsidR="0017690D" w:rsidRPr="0017690D" w:rsidRDefault="0017690D" w:rsidP="0017690D">
      <w:pPr>
        <w:ind w:firstLine="720"/>
        <w:jc w:val="both"/>
        <w:rPr>
          <w:lang w:val="en-US"/>
        </w:rPr>
      </w:pPr>
      <w:r w:rsidRPr="0017690D">
        <w:rPr>
          <w:b/>
          <w:bCs/>
          <w:lang w:val="en-US"/>
        </w:rPr>
        <w:t>Question. Recommendation.</w:t>
      </w:r>
    </w:p>
    <w:p w14:paraId="285A665A" w14:textId="77777777" w:rsidR="0017690D" w:rsidRPr="0017690D" w:rsidRDefault="0017690D" w:rsidP="0017690D">
      <w:pPr>
        <w:ind w:firstLine="720"/>
        <w:jc w:val="both"/>
        <w:rPr>
          <w:lang w:val="en-US"/>
        </w:rPr>
      </w:pPr>
      <w:r w:rsidRPr="0017690D">
        <w:rPr>
          <w:lang w:val="en-US"/>
        </w:rPr>
        <w:t xml:space="preserve">Would the Contracting Authority consider reviewing the </w:t>
      </w:r>
      <w:proofErr w:type="gramStart"/>
      <w:r w:rsidRPr="0017690D">
        <w:rPr>
          <w:lang w:val="en-US"/>
        </w:rPr>
        <w:t>requirement</w:t>
      </w:r>
      <w:proofErr w:type="gramEnd"/>
      <w:r w:rsidRPr="0017690D">
        <w:rPr>
          <w:lang w:val="en-US"/>
        </w:rPr>
        <w:t xml:space="preserve"> set out in Clause 9.2.1.1 (Requirements for External LED Information Displays), Section (5) Operating Environment, regarding the protection rating of LED displays (IP35), by removing it from the Technical Specification or reducing the requirement to IP30?</w:t>
      </w:r>
    </w:p>
    <w:p w14:paraId="2F154597" w14:textId="77777777" w:rsidR="0017690D" w:rsidRPr="0017690D" w:rsidRDefault="0017690D" w:rsidP="0017690D">
      <w:pPr>
        <w:ind w:firstLine="720"/>
        <w:jc w:val="both"/>
        <w:rPr>
          <w:lang w:val="en-US"/>
        </w:rPr>
      </w:pPr>
      <w:r w:rsidRPr="0017690D">
        <w:rPr>
          <w:b/>
          <w:bCs/>
          <w:lang w:val="en-US"/>
        </w:rPr>
        <w:t>Justification</w:t>
      </w:r>
    </w:p>
    <w:p w14:paraId="5E1B82DA" w14:textId="77777777" w:rsidR="0017690D" w:rsidRPr="0017690D" w:rsidRDefault="0017690D" w:rsidP="0017690D">
      <w:pPr>
        <w:ind w:firstLine="720"/>
        <w:jc w:val="both"/>
        <w:rPr>
          <w:lang w:val="en-US"/>
        </w:rPr>
      </w:pPr>
      <w:r w:rsidRPr="0017690D">
        <w:rPr>
          <w:lang w:val="en-US"/>
        </w:rPr>
        <w:t>LED route and information displays are installed within the vehicle structure and are not directly exposed to environmental influences. In such applications, protection against rain, dust and other environmental factors is provided primarily by the vehicle body rather than by the LED display enclosure itself.</w:t>
      </w:r>
    </w:p>
    <w:p w14:paraId="6077CC98" w14:textId="77777777" w:rsidR="0017690D" w:rsidRPr="0017690D" w:rsidRDefault="0017690D" w:rsidP="0017690D">
      <w:pPr>
        <w:ind w:firstLine="720"/>
        <w:jc w:val="both"/>
        <w:rPr>
          <w:lang w:val="en-US"/>
        </w:rPr>
      </w:pPr>
      <w:r w:rsidRPr="0017690D">
        <w:rPr>
          <w:lang w:val="en-US"/>
        </w:rPr>
        <w:t>The requirement for a minimum IP35 protection rating is not typical within the technical specifications of bus destination display manufacturers and is not widely used in practice. The quality and safety of vehicle electronics are much more accurately reflected by compliance with vehicle certification requirements.</w:t>
      </w:r>
    </w:p>
    <w:p w14:paraId="6EF0D688" w14:textId="77777777" w:rsidR="0017690D" w:rsidRPr="0017690D" w:rsidRDefault="0017690D" w:rsidP="0017690D">
      <w:pPr>
        <w:ind w:firstLine="720"/>
        <w:jc w:val="both"/>
        <w:rPr>
          <w:lang w:val="en-US"/>
        </w:rPr>
      </w:pPr>
      <w:r w:rsidRPr="0017690D">
        <w:rPr>
          <w:lang w:val="en-US"/>
        </w:rPr>
        <w:t>To ensure that the proposed equipment is suitable for long-term use in public transport, it is recommended to require compliance with the following standards:</w:t>
      </w:r>
    </w:p>
    <w:p w14:paraId="28630E27" w14:textId="77777777" w:rsidR="0017690D" w:rsidRPr="0017690D" w:rsidRDefault="0017690D" w:rsidP="0017690D">
      <w:pPr>
        <w:numPr>
          <w:ilvl w:val="0"/>
          <w:numId w:val="38"/>
        </w:numPr>
        <w:jc w:val="both"/>
        <w:rPr>
          <w:lang w:val="en-US"/>
        </w:rPr>
      </w:pPr>
      <w:r w:rsidRPr="0017690D">
        <w:rPr>
          <w:lang w:val="en-US"/>
        </w:rPr>
        <w:t>UNECE R10 (ECE-R10) for electromagnetic compatibility (EMC) and electromagnetic immunity requirements for vehicle electronics;</w:t>
      </w:r>
    </w:p>
    <w:p w14:paraId="7B22B3A0" w14:textId="77777777" w:rsidR="0017690D" w:rsidRPr="0017690D" w:rsidRDefault="0017690D" w:rsidP="0017690D">
      <w:pPr>
        <w:numPr>
          <w:ilvl w:val="0"/>
          <w:numId w:val="38"/>
        </w:numPr>
        <w:jc w:val="both"/>
        <w:rPr>
          <w:lang w:val="en-US"/>
        </w:rPr>
      </w:pPr>
      <w:r w:rsidRPr="0017690D">
        <w:rPr>
          <w:lang w:val="en-US"/>
        </w:rPr>
        <w:t>UNECE R118 (ECE-R118) for fire safety requirements applicable to materials used within the vehicle interior;</w:t>
      </w:r>
    </w:p>
    <w:p w14:paraId="7D51E992" w14:textId="77777777" w:rsidR="0017690D" w:rsidRPr="0017690D" w:rsidRDefault="0017690D" w:rsidP="0017690D">
      <w:pPr>
        <w:numPr>
          <w:ilvl w:val="0"/>
          <w:numId w:val="38"/>
        </w:numPr>
        <w:jc w:val="both"/>
        <w:rPr>
          <w:lang w:val="en-US"/>
        </w:rPr>
      </w:pPr>
      <w:r w:rsidRPr="0017690D">
        <w:rPr>
          <w:lang w:val="en-US"/>
        </w:rPr>
        <w:t>ECE certification or equivalent type-approval documentation confirming that the equipment is intended for use in vehicles.</w:t>
      </w:r>
    </w:p>
    <w:p w14:paraId="4A7A8E55" w14:textId="77777777" w:rsidR="0017690D" w:rsidRPr="0017690D" w:rsidRDefault="0017690D" w:rsidP="0017690D">
      <w:pPr>
        <w:ind w:firstLine="720"/>
        <w:jc w:val="both"/>
        <w:rPr>
          <w:lang w:val="en-US"/>
        </w:rPr>
      </w:pPr>
      <w:r w:rsidRPr="0017690D">
        <w:rPr>
          <w:lang w:val="en-US"/>
        </w:rPr>
        <w:t>Such requirements provide a significantly more accurate indication of the suitability of equipment for operation in buses than an elevated IP protection rating.</w:t>
      </w:r>
    </w:p>
    <w:p w14:paraId="5AB33C4D" w14:textId="77777777" w:rsidR="0017690D" w:rsidRPr="0017690D" w:rsidRDefault="0017690D" w:rsidP="0017690D">
      <w:pPr>
        <w:ind w:firstLine="720"/>
        <w:jc w:val="both"/>
        <w:rPr>
          <w:lang w:val="en-US"/>
        </w:rPr>
      </w:pPr>
      <w:r w:rsidRPr="0017690D">
        <w:rPr>
          <w:b/>
          <w:bCs/>
          <w:lang w:val="en-US"/>
        </w:rPr>
        <w:t>Recommendation</w:t>
      </w:r>
    </w:p>
    <w:p w14:paraId="291D459E" w14:textId="77777777" w:rsidR="0017690D" w:rsidRPr="0017690D" w:rsidRDefault="0017690D" w:rsidP="0017690D">
      <w:pPr>
        <w:ind w:firstLine="720"/>
        <w:jc w:val="both"/>
        <w:rPr>
          <w:lang w:val="en-US"/>
        </w:rPr>
      </w:pPr>
      <w:r w:rsidRPr="0017690D">
        <w:rPr>
          <w:lang w:val="en-US"/>
        </w:rPr>
        <w:t>We recommend supplementing the Technical Specification as follows:</w:t>
      </w:r>
    </w:p>
    <w:p w14:paraId="63048A99" w14:textId="77777777" w:rsidR="0017690D" w:rsidRPr="0017690D" w:rsidRDefault="0017690D" w:rsidP="0017690D">
      <w:pPr>
        <w:ind w:firstLine="720"/>
        <w:jc w:val="both"/>
        <w:rPr>
          <w:lang w:val="en-US"/>
        </w:rPr>
      </w:pPr>
      <w:r w:rsidRPr="0017690D">
        <w:rPr>
          <w:lang w:val="en-US"/>
        </w:rPr>
        <w:t xml:space="preserve">“LED displays and their control equipment shall be designed for operation in vehicles and shall comply at least with UNECE R10 (ECE-R10) requirements. Where interior finishing materials are used within the LED display construction, they shall comply with UNECE R118 (ECE-R118) requirements. Upon request by the Contracting Authority, the Supplier shall provide the relevant ECE certificates or other equivalent type-approval documentation demonstrating compliance with these </w:t>
      </w:r>
      <w:proofErr w:type="gramStart"/>
      <w:r w:rsidRPr="0017690D">
        <w:rPr>
          <w:lang w:val="en-US"/>
        </w:rPr>
        <w:t>requirements.”</w:t>
      </w:r>
      <w:proofErr w:type="gramEnd"/>
    </w:p>
    <w:p w14:paraId="2EBDAA57" w14:textId="74F968F2" w:rsidR="0017690D" w:rsidRDefault="0017690D" w:rsidP="00FA4639">
      <w:pPr>
        <w:ind w:firstLine="720"/>
        <w:jc w:val="both"/>
        <w:rPr>
          <w:lang w:val="en-US"/>
        </w:rPr>
      </w:pPr>
      <w:r w:rsidRPr="0017690D">
        <w:rPr>
          <w:lang w:val="en-US"/>
        </w:rPr>
        <w:t>At the same time, we recommend deleting the requirement for a minimum IP35 protection rating or reducing it to IP30, as this requirement is not a determining criterion for the safe and reliable operation of LED displays installed in vehicles.</w:t>
      </w:r>
    </w:p>
    <w:p w14:paraId="58341426" w14:textId="77777777" w:rsidR="0017690D" w:rsidRDefault="0017690D" w:rsidP="0017690D">
      <w:pPr>
        <w:jc w:val="both"/>
        <w:rPr>
          <w:lang w:val="en-US"/>
        </w:rPr>
      </w:pPr>
    </w:p>
    <w:p w14:paraId="5A39D7E3" w14:textId="3D3C9530" w:rsidR="0017690D" w:rsidRPr="0017690D" w:rsidRDefault="0017690D" w:rsidP="0017690D">
      <w:pPr>
        <w:jc w:val="both"/>
        <w:rPr>
          <w:b/>
          <w:bCs/>
          <w:lang w:val="en-US"/>
        </w:rPr>
      </w:pPr>
      <w:r w:rsidRPr="0017690D">
        <w:rPr>
          <w:b/>
          <w:bCs/>
          <w:lang w:val="en-US"/>
        </w:rPr>
        <w:t>Question 5</w:t>
      </w:r>
    </w:p>
    <w:p w14:paraId="781C0657" w14:textId="77777777" w:rsidR="0017690D" w:rsidRPr="0017690D" w:rsidRDefault="0017690D" w:rsidP="0017690D">
      <w:pPr>
        <w:ind w:firstLine="720"/>
        <w:jc w:val="both"/>
        <w:rPr>
          <w:lang w:val="en-US"/>
        </w:rPr>
      </w:pPr>
      <w:r w:rsidRPr="0017690D">
        <w:rPr>
          <w:b/>
          <w:bCs/>
          <w:lang w:val="en-US"/>
        </w:rPr>
        <w:t>Question. Recommendation.</w:t>
      </w:r>
    </w:p>
    <w:p w14:paraId="662C2081" w14:textId="77777777" w:rsidR="0017690D" w:rsidRDefault="0017690D" w:rsidP="0017690D">
      <w:pPr>
        <w:ind w:firstLine="720"/>
        <w:jc w:val="both"/>
        <w:rPr>
          <w:lang w:val="en-US"/>
        </w:rPr>
      </w:pPr>
      <w:r w:rsidRPr="0017690D">
        <w:rPr>
          <w:lang w:val="en-US"/>
        </w:rPr>
        <w:t>Would the Contracting Authority allow, under Clause 9.2.1.1 (Requirements for External LED Information Displays), Section (3) Dimensions and Resolution, an additional indicator display area size of 250 × 600 mm, provided that a higher display resolution than specified in the Technical Specification is ensured?</w:t>
      </w:r>
    </w:p>
    <w:p w14:paraId="40458C53" w14:textId="77777777" w:rsidR="00FA4639" w:rsidRPr="0017690D" w:rsidRDefault="00FA4639" w:rsidP="00B61B96">
      <w:pPr>
        <w:jc w:val="both"/>
        <w:rPr>
          <w:lang w:val="en-US"/>
        </w:rPr>
      </w:pPr>
    </w:p>
    <w:p w14:paraId="45E7DA17" w14:textId="77777777" w:rsidR="0017690D" w:rsidRPr="0017690D" w:rsidRDefault="0017690D" w:rsidP="0017690D">
      <w:pPr>
        <w:ind w:firstLine="720"/>
        <w:jc w:val="both"/>
        <w:rPr>
          <w:lang w:val="en-US"/>
        </w:rPr>
      </w:pPr>
      <w:r w:rsidRPr="0017690D">
        <w:rPr>
          <w:b/>
          <w:bCs/>
          <w:lang w:val="en-US"/>
        </w:rPr>
        <w:t>Justification</w:t>
      </w:r>
    </w:p>
    <w:p w14:paraId="6AA68D67" w14:textId="77777777" w:rsidR="0017690D" w:rsidRPr="0017690D" w:rsidRDefault="0017690D" w:rsidP="0017690D">
      <w:pPr>
        <w:ind w:firstLine="720"/>
        <w:jc w:val="both"/>
        <w:rPr>
          <w:lang w:val="en-US"/>
        </w:rPr>
      </w:pPr>
      <w:r w:rsidRPr="0017690D">
        <w:rPr>
          <w:lang w:val="en-US"/>
        </w:rPr>
        <w:t>The Technical Specification defines an additional indicator size of approximately 300 × 600 mm with a minimum resolution of 30 × 60 pixels.</w:t>
      </w:r>
    </w:p>
    <w:p w14:paraId="128B9B96" w14:textId="77777777" w:rsidR="0017690D" w:rsidRPr="0017690D" w:rsidRDefault="0017690D" w:rsidP="0017690D">
      <w:pPr>
        <w:ind w:firstLine="720"/>
        <w:jc w:val="both"/>
        <w:rPr>
          <w:lang w:val="en-US"/>
        </w:rPr>
      </w:pPr>
      <w:r w:rsidRPr="0017690D">
        <w:rPr>
          <w:lang w:val="en-US"/>
        </w:rPr>
        <w:t xml:space="preserve">We </w:t>
      </w:r>
      <w:proofErr w:type="gramStart"/>
      <w:r w:rsidRPr="0017690D">
        <w:rPr>
          <w:lang w:val="en-US"/>
        </w:rPr>
        <w:t>are able to</w:t>
      </w:r>
      <w:proofErr w:type="gramEnd"/>
      <w:r w:rsidRPr="0017690D">
        <w:rPr>
          <w:lang w:val="en-US"/>
        </w:rPr>
        <w:t xml:space="preserve"> offer an LED indicator with a display area of 250 × 600 mm and a resolution of 32 × 80 pixels. Although the display is approximately 50 mm lower, it provides significantly </w:t>
      </w:r>
      <w:r w:rsidRPr="0017690D">
        <w:rPr>
          <w:lang w:val="en-US"/>
        </w:rPr>
        <w:lastRenderedPageBreak/>
        <w:t>higher horizontal and overall resolution, resulting in sharper and higher-quality information display.</w:t>
      </w:r>
    </w:p>
    <w:p w14:paraId="10DC83F1" w14:textId="77777777" w:rsidR="0017690D" w:rsidRPr="0017690D" w:rsidRDefault="0017690D" w:rsidP="0017690D">
      <w:pPr>
        <w:ind w:firstLine="720"/>
        <w:jc w:val="both"/>
        <w:rPr>
          <w:lang w:val="en-US"/>
        </w:rPr>
      </w:pPr>
      <w:r w:rsidRPr="0017690D">
        <w:rPr>
          <w:lang w:val="en-US"/>
        </w:rPr>
        <w:t xml:space="preserve">Given that this indicator is normally viewed from a short distance inside the vehicle, the higher pixel resolution improves the legibility of text and graphic symbols, reduces character pixelation and provides a more comfortable </w:t>
      </w:r>
      <w:proofErr w:type="gramStart"/>
      <w:r w:rsidRPr="0017690D">
        <w:rPr>
          <w:lang w:val="en-US"/>
        </w:rPr>
        <w:t>passenger information</w:t>
      </w:r>
      <w:proofErr w:type="gramEnd"/>
      <w:r w:rsidRPr="0017690D">
        <w:rPr>
          <w:lang w:val="en-US"/>
        </w:rPr>
        <w:t xml:space="preserve"> experience.</w:t>
      </w:r>
    </w:p>
    <w:p w14:paraId="76BE5BBC" w14:textId="77777777" w:rsidR="0017690D" w:rsidRPr="0017690D" w:rsidRDefault="0017690D" w:rsidP="0017690D">
      <w:pPr>
        <w:ind w:firstLine="720"/>
        <w:jc w:val="both"/>
        <w:rPr>
          <w:lang w:val="en-US"/>
        </w:rPr>
      </w:pPr>
      <w:r w:rsidRPr="0017690D">
        <w:rPr>
          <w:b/>
          <w:bCs/>
          <w:lang w:val="en-US"/>
        </w:rPr>
        <w:t>Recommendation</w:t>
      </w:r>
    </w:p>
    <w:p w14:paraId="7FD23B6C" w14:textId="77777777" w:rsidR="0017690D" w:rsidRPr="0017690D" w:rsidRDefault="0017690D" w:rsidP="0017690D">
      <w:pPr>
        <w:ind w:firstLine="720"/>
        <w:jc w:val="both"/>
        <w:rPr>
          <w:lang w:val="en-US"/>
        </w:rPr>
      </w:pPr>
      <w:r w:rsidRPr="0017690D">
        <w:rPr>
          <w:lang w:val="en-US"/>
        </w:rPr>
        <w:t xml:space="preserve">We recommend supplementing the Technical Specification with the possibility </w:t>
      </w:r>
      <w:proofErr w:type="gramStart"/>
      <w:r w:rsidRPr="0017690D">
        <w:rPr>
          <w:lang w:val="en-US"/>
        </w:rPr>
        <w:t>to offer</w:t>
      </w:r>
      <w:proofErr w:type="gramEnd"/>
      <w:r w:rsidRPr="0017690D">
        <w:rPr>
          <w:lang w:val="en-US"/>
        </w:rPr>
        <w:t xml:space="preserve"> an equivalent solution:</w:t>
      </w:r>
    </w:p>
    <w:p w14:paraId="3F3E8F74" w14:textId="77777777" w:rsidR="0017690D" w:rsidRPr="0017690D" w:rsidRDefault="0017690D" w:rsidP="0017690D">
      <w:pPr>
        <w:ind w:firstLine="720"/>
        <w:jc w:val="both"/>
        <w:rPr>
          <w:lang w:val="en-US"/>
        </w:rPr>
      </w:pPr>
      <w:r w:rsidRPr="0017690D">
        <w:rPr>
          <w:lang w:val="en-US"/>
        </w:rPr>
        <w:t>“An additional indicator with a display area differing from the specified dimensions shall be acceptable, provided that it offers functionality not inferior to that specified, better or equivalent readability of information, and a resolution not lower than that required by the Technical Specification.”</w:t>
      </w:r>
    </w:p>
    <w:p w14:paraId="5E121A4C" w14:textId="77777777" w:rsidR="0017690D" w:rsidRPr="0017690D" w:rsidRDefault="0017690D" w:rsidP="0017690D">
      <w:pPr>
        <w:ind w:firstLine="720"/>
        <w:jc w:val="both"/>
        <w:rPr>
          <w:lang w:val="en-US"/>
        </w:rPr>
      </w:pPr>
      <w:r w:rsidRPr="0017690D">
        <w:rPr>
          <w:lang w:val="en-US"/>
        </w:rPr>
        <w:t>This would enable the offering of more modern high-resolution LED displays while fully maintaining the required functionality and passenger information quality.</w:t>
      </w:r>
    </w:p>
    <w:p w14:paraId="64CEEEEF" w14:textId="77777777" w:rsidR="0017690D" w:rsidRDefault="0017690D" w:rsidP="0017690D">
      <w:pPr>
        <w:jc w:val="both"/>
        <w:rPr>
          <w:lang w:val="en-US"/>
        </w:rPr>
      </w:pPr>
    </w:p>
    <w:p w14:paraId="2F259520" w14:textId="1ECE20D9" w:rsidR="0017690D" w:rsidRPr="0017690D" w:rsidRDefault="0017690D" w:rsidP="0017690D">
      <w:pPr>
        <w:jc w:val="both"/>
        <w:rPr>
          <w:b/>
          <w:bCs/>
          <w:lang w:val="en-US"/>
        </w:rPr>
      </w:pPr>
      <w:r w:rsidRPr="0017690D">
        <w:rPr>
          <w:b/>
          <w:bCs/>
          <w:lang w:val="en-US"/>
        </w:rPr>
        <w:t>Question 6</w:t>
      </w:r>
    </w:p>
    <w:p w14:paraId="4FD6C69D" w14:textId="77777777" w:rsidR="0017690D" w:rsidRPr="0017690D" w:rsidRDefault="0017690D" w:rsidP="0017690D">
      <w:pPr>
        <w:ind w:firstLine="720"/>
        <w:jc w:val="both"/>
        <w:rPr>
          <w:lang w:val="en-US"/>
        </w:rPr>
      </w:pPr>
      <w:r w:rsidRPr="0017690D">
        <w:rPr>
          <w:b/>
          <w:bCs/>
          <w:lang w:val="en-US"/>
        </w:rPr>
        <w:t>Question. Recommendation.</w:t>
      </w:r>
    </w:p>
    <w:p w14:paraId="7D8E54A4" w14:textId="77777777" w:rsidR="0017690D" w:rsidRPr="0017690D" w:rsidRDefault="0017690D" w:rsidP="0017690D">
      <w:pPr>
        <w:ind w:firstLine="720"/>
        <w:jc w:val="both"/>
        <w:rPr>
          <w:lang w:val="en-US"/>
        </w:rPr>
      </w:pPr>
      <w:r w:rsidRPr="0017690D">
        <w:rPr>
          <w:lang w:val="en-US"/>
        </w:rPr>
        <w:t>Would the Contracting Authority consider clarifying the requirement for the side destination display in Clause 9.2.1.1 (Requirements for External LED Information Displays), Section (3) Dimensions and Resolution, by specifying that the indicated dimensions are approximate and that a side display with a display area of approximately 160 × 900 mm shall also be acceptable, provided that no lower functionality, higher or equivalent resolution, and no lower information readability are ensured?</w:t>
      </w:r>
    </w:p>
    <w:p w14:paraId="58520F16" w14:textId="77777777" w:rsidR="0017690D" w:rsidRPr="0017690D" w:rsidRDefault="0017690D" w:rsidP="0017690D">
      <w:pPr>
        <w:ind w:firstLine="720"/>
        <w:jc w:val="both"/>
        <w:rPr>
          <w:lang w:val="en-US"/>
        </w:rPr>
      </w:pPr>
      <w:r w:rsidRPr="0017690D">
        <w:rPr>
          <w:b/>
          <w:bCs/>
          <w:lang w:val="en-US"/>
        </w:rPr>
        <w:t>Justification</w:t>
      </w:r>
    </w:p>
    <w:p w14:paraId="5F19B467" w14:textId="77777777" w:rsidR="0017690D" w:rsidRPr="0017690D" w:rsidRDefault="0017690D" w:rsidP="0017690D">
      <w:pPr>
        <w:ind w:firstLine="720"/>
        <w:jc w:val="both"/>
        <w:rPr>
          <w:lang w:val="en-US"/>
        </w:rPr>
      </w:pPr>
      <w:r w:rsidRPr="0017690D">
        <w:rPr>
          <w:lang w:val="en-US"/>
        </w:rPr>
        <w:t>The Technical Specification specifies a display area of approximately 220 × 950 mm with a minimum resolution of 22 × 95 pixels for the side destination display.</w:t>
      </w:r>
    </w:p>
    <w:p w14:paraId="782AC575" w14:textId="77777777" w:rsidR="0017690D" w:rsidRPr="0017690D" w:rsidRDefault="0017690D" w:rsidP="0017690D">
      <w:pPr>
        <w:ind w:firstLine="720"/>
        <w:jc w:val="both"/>
        <w:rPr>
          <w:lang w:val="en-US"/>
        </w:rPr>
      </w:pPr>
      <w:r w:rsidRPr="0017690D">
        <w:rPr>
          <w:lang w:val="en-US"/>
        </w:rPr>
        <w:t>In practice, side destination displays are viewed from a significantly shorter distance than front destination displays. Therefore, image quality, pixel density and character readability are more important for the side display than the maximum possible display area.</w:t>
      </w:r>
    </w:p>
    <w:p w14:paraId="1BE604E1" w14:textId="77777777" w:rsidR="0017690D" w:rsidRPr="0017690D" w:rsidRDefault="0017690D" w:rsidP="0017690D">
      <w:pPr>
        <w:ind w:firstLine="720"/>
        <w:jc w:val="both"/>
        <w:rPr>
          <w:lang w:val="en-US"/>
        </w:rPr>
      </w:pPr>
      <w:r w:rsidRPr="0017690D">
        <w:rPr>
          <w:lang w:val="en-US"/>
        </w:rPr>
        <w:t>Modern LED technologies enable the use of more compact displays with higher resolution, providing:</w:t>
      </w:r>
    </w:p>
    <w:p w14:paraId="6255EA74" w14:textId="77777777" w:rsidR="0017690D" w:rsidRPr="0017690D" w:rsidRDefault="0017690D" w:rsidP="0017690D">
      <w:pPr>
        <w:numPr>
          <w:ilvl w:val="0"/>
          <w:numId w:val="39"/>
        </w:numPr>
        <w:jc w:val="both"/>
        <w:rPr>
          <w:lang w:val="en-US"/>
        </w:rPr>
      </w:pPr>
      <w:r w:rsidRPr="0017690D">
        <w:rPr>
          <w:lang w:val="en-US"/>
        </w:rPr>
        <w:t>sharper and more easily readable characters;</w:t>
      </w:r>
    </w:p>
    <w:p w14:paraId="15103F42" w14:textId="77777777" w:rsidR="0017690D" w:rsidRPr="0017690D" w:rsidRDefault="0017690D" w:rsidP="0017690D">
      <w:pPr>
        <w:numPr>
          <w:ilvl w:val="0"/>
          <w:numId w:val="39"/>
        </w:numPr>
        <w:jc w:val="both"/>
        <w:rPr>
          <w:lang w:val="en-US"/>
        </w:rPr>
      </w:pPr>
      <w:r w:rsidRPr="0017690D">
        <w:rPr>
          <w:lang w:val="en-US"/>
        </w:rPr>
        <w:t>higher-quality display of pictograms and graphic elements;</w:t>
      </w:r>
    </w:p>
    <w:p w14:paraId="2B5775A9" w14:textId="77777777" w:rsidR="0017690D" w:rsidRPr="0017690D" w:rsidRDefault="0017690D" w:rsidP="0017690D">
      <w:pPr>
        <w:numPr>
          <w:ilvl w:val="0"/>
          <w:numId w:val="39"/>
        </w:numPr>
        <w:jc w:val="both"/>
        <w:rPr>
          <w:lang w:val="en-US"/>
        </w:rPr>
      </w:pPr>
      <w:r w:rsidRPr="0017690D">
        <w:rPr>
          <w:lang w:val="en-US"/>
        </w:rPr>
        <w:t>better readability from a short distance;</w:t>
      </w:r>
    </w:p>
    <w:p w14:paraId="55498E17" w14:textId="77777777" w:rsidR="0017690D" w:rsidRPr="0017690D" w:rsidRDefault="0017690D" w:rsidP="0017690D">
      <w:pPr>
        <w:numPr>
          <w:ilvl w:val="0"/>
          <w:numId w:val="39"/>
        </w:numPr>
        <w:jc w:val="both"/>
        <w:rPr>
          <w:lang w:val="en-US"/>
        </w:rPr>
      </w:pPr>
      <w:r w:rsidRPr="0017690D">
        <w:rPr>
          <w:lang w:val="en-US"/>
        </w:rPr>
        <w:t>more flexible text presentation.</w:t>
      </w:r>
    </w:p>
    <w:p w14:paraId="01DCDCF4" w14:textId="77777777" w:rsidR="0017690D" w:rsidRPr="0017690D" w:rsidRDefault="0017690D" w:rsidP="0017690D">
      <w:pPr>
        <w:ind w:firstLine="720"/>
        <w:jc w:val="both"/>
        <w:rPr>
          <w:lang w:val="en-US"/>
        </w:rPr>
      </w:pPr>
      <w:r w:rsidRPr="0017690D">
        <w:rPr>
          <w:lang w:val="en-US"/>
        </w:rPr>
        <w:t>Furthermore, bus body construction often limits the available installation space for side displays. Window dimensions, body pillars, door mechanisms and other structural elements frequently complicate the installation of large displays. Therefore, many bus and LED display manufacturers use slightly more compact side displays with higher resolution, enabling easier integration into the vehicle structure while maintaining or even improving the quality of passenger information.</w:t>
      </w:r>
    </w:p>
    <w:p w14:paraId="111532E4" w14:textId="77777777" w:rsidR="0017690D" w:rsidRPr="0017690D" w:rsidRDefault="0017690D" w:rsidP="0017690D">
      <w:pPr>
        <w:ind w:firstLine="720"/>
        <w:jc w:val="both"/>
        <w:rPr>
          <w:lang w:val="en-US"/>
        </w:rPr>
      </w:pPr>
      <w:r w:rsidRPr="0017690D">
        <w:rPr>
          <w:lang w:val="en-US"/>
        </w:rPr>
        <w:t>In addition, industry practice commonly uses two information display modes for side destination displays:</w:t>
      </w:r>
    </w:p>
    <w:p w14:paraId="754E1BC9" w14:textId="77777777" w:rsidR="0017690D" w:rsidRPr="0017690D" w:rsidRDefault="0017690D" w:rsidP="0017690D">
      <w:pPr>
        <w:numPr>
          <w:ilvl w:val="0"/>
          <w:numId w:val="40"/>
        </w:numPr>
        <w:jc w:val="both"/>
        <w:rPr>
          <w:lang w:val="en-US"/>
        </w:rPr>
      </w:pPr>
      <w:r w:rsidRPr="0017690D">
        <w:rPr>
          <w:lang w:val="en-US"/>
        </w:rPr>
        <w:t>two-line display mode, where the character height of each line is approximately 80 mm;</w:t>
      </w:r>
    </w:p>
    <w:p w14:paraId="508CDF63" w14:textId="77777777" w:rsidR="0017690D" w:rsidRPr="0017690D" w:rsidRDefault="0017690D" w:rsidP="0017690D">
      <w:pPr>
        <w:numPr>
          <w:ilvl w:val="0"/>
          <w:numId w:val="40"/>
        </w:numPr>
        <w:jc w:val="both"/>
        <w:rPr>
          <w:lang w:val="en-US"/>
        </w:rPr>
      </w:pPr>
      <w:r w:rsidRPr="0017690D">
        <w:rPr>
          <w:lang w:val="en-US"/>
        </w:rPr>
        <w:t>single-line or scrolling text display mode, where the character height reaches approximately 160 mm.</w:t>
      </w:r>
    </w:p>
    <w:p w14:paraId="4762AC0F" w14:textId="77777777" w:rsidR="0017690D" w:rsidRPr="0017690D" w:rsidRDefault="0017690D" w:rsidP="0017690D">
      <w:pPr>
        <w:ind w:firstLine="720"/>
        <w:jc w:val="both"/>
        <w:rPr>
          <w:lang w:val="en-US"/>
        </w:rPr>
      </w:pPr>
      <w:r w:rsidRPr="0017690D">
        <w:rPr>
          <w:lang w:val="en-US"/>
        </w:rPr>
        <w:t>Both solutions provide good readability and are widely used in public transport passenger information systems.</w:t>
      </w:r>
    </w:p>
    <w:p w14:paraId="2F6FA626" w14:textId="77777777" w:rsidR="0017690D" w:rsidRPr="0017690D" w:rsidRDefault="0017690D" w:rsidP="0017690D">
      <w:pPr>
        <w:ind w:firstLine="720"/>
        <w:jc w:val="both"/>
        <w:rPr>
          <w:lang w:val="en-US"/>
        </w:rPr>
      </w:pPr>
      <w:r w:rsidRPr="0017690D">
        <w:rPr>
          <w:b/>
          <w:bCs/>
          <w:lang w:val="en-US"/>
        </w:rPr>
        <w:t>Recommendation</w:t>
      </w:r>
    </w:p>
    <w:p w14:paraId="6945CC74" w14:textId="77777777" w:rsidR="0017690D" w:rsidRPr="0017690D" w:rsidRDefault="0017690D" w:rsidP="0017690D">
      <w:pPr>
        <w:ind w:firstLine="720"/>
        <w:jc w:val="both"/>
        <w:rPr>
          <w:lang w:val="en-US"/>
        </w:rPr>
      </w:pPr>
      <w:r w:rsidRPr="0017690D">
        <w:rPr>
          <w:lang w:val="en-US"/>
        </w:rPr>
        <w:t>We recommend revising the Technical Specification as follows:</w:t>
      </w:r>
    </w:p>
    <w:p w14:paraId="35C17760" w14:textId="77777777" w:rsidR="0017690D" w:rsidRPr="0017690D" w:rsidRDefault="0017690D" w:rsidP="0017690D">
      <w:pPr>
        <w:ind w:firstLine="720"/>
        <w:jc w:val="both"/>
        <w:rPr>
          <w:lang w:val="en-US"/>
        </w:rPr>
      </w:pPr>
      <w:r w:rsidRPr="0017690D">
        <w:rPr>
          <w:lang w:val="en-US"/>
        </w:rPr>
        <w:t xml:space="preserve">“Side display: display area approximately 220 × 950 mm. The specified dimensions shall be regarded as approximate. A side display with a display area of approximately 160 × 900 mm </w:t>
      </w:r>
      <w:r w:rsidRPr="0017690D">
        <w:rPr>
          <w:lang w:val="en-US"/>
        </w:rPr>
        <w:lastRenderedPageBreak/>
        <w:t>or another equivalent size shall also be acceptable, provided that no lower functionality, equivalent or higher resolution, and no lower information readability are ensured.</w:t>
      </w:r>
    </w:p>
    <w:p w14:paraId="5A0D73AB" w14:textId="77777777" w:rsidR="0017690D" w:rsidRPr="0017690D" w:rsidRDefault="0017690D" w:rsidP="0017690D">
      <w:pPr>
        <w:ind w:firstLine="720"/>
        <w:jc w:val="both"/>
        <w:rPr>
          <w:lang w:val="en-US"/>
        </w:rPr>
      </w:pPr>
      <w:r w:rsidRPr="0017690D">
        <w:rPr>
          <w:lang w:val="en-US"/>
        </w:rPr>
        <w:t xml:space="preserve">The side display shall provide the possibility to display information in one or two lines. In two-line display mode, a character height of approximately 80 mm per line shall be acceptable, while in single-line or scrolling text display mode a character height of approximately 160 mm shall be acceptable, ensuring clear and readable information display for </w:t>
      </w:r>
      <w:proofErr w:type="gramStart"/>
      <w:r w:rsidRPr="0017690D">
        <w:rPr>
          <w:lang w:val="en-US"/>
        </w:rPr>
        <w:t>passengers.”</w:t>
      </w:r>
      <w:proofErr w:type="gramEnd"/>
    </w:p>
    <w:p w14:paraId="511B4023" w14:textId="0D37EC50" w:rsidR="0017690D" w:rsidRPr="0017690D" w:rsidRDefault="0017690D" w:rsidP="0017690D">
      <w:pPr>
        <w:ind w:firstLine="720"/>
        <w:jc w:val="both"/>
        <w:rPr>
          <w:lang w:val="en-US"/>
        </w:rPr>
      </w:pPr>
    </w:p>
    <w:p w14:paraId="1D785077" w14:textId="77777777" w:rsidR="0017690D" w:rsidRPr="0017690D" w:rsidRDefault="0017690D" w:rsidP="0017690D">
      <w:pPr>
        <w:jc w:val="both"/>
        <w:rPr>
          <w:b/>
          <w:bCs/>
          <w:lang w:val="en-US"/>
        </w:rPr>
      </w:pPr>
      <w:r w:rsidRPr="0017690D">
        <w:rPr>
          <w:b/>
          <w:bCs/>
          <w:lang w:val="en-US"/>
        </w:rPr>
        <w:t>Question 7</w:t>
      </w:r>
    </w:p>
    <w:p w14:paraId="2BB39F3A" w14:textId="77777777" w:rsidR="0017690D" w:rsidRPr="0017690D" w:rsidRDefault="0017690D" w:rsidP="0017690D">
      <w:pPr>
        <w:ind w:firstLine="720"/>
        <w:jc w:val="both"/>
        <w:rPr>
          <w:lang w:val="en-US"/>
        </w:rPr>
      </w:pPr>
      <w:r w:rsidRPr="0017690D">
        <w:rPr>
          <w:b/>
          <w:bCs/>
          <w:lang w:val="en-US"/>
        </w:rPr>
        <w:t>Question. Recommendation.</w:t>
      </w:r>
    </w:p>
    <w:p w14:paraId="24F03E2D" w14:textId="77777777" w:rsidR="0017690D" w:rsidRPr="0017690D" w:rsidRDefault="0017690D" w:rsidP="0017690D">
      <w:pPr>
        <w:ind w:firstLine="720"/>
        <w:jc w:val="both"/>
        <w:rPr>
          <w:lang w:val="en-US"/>
        </w:rPr>
      </w:pPr>
      <w:r w:rsidRPr="0017690D">
        <w:rPr>
          <w:lang w:val="en-US"/>
        </w:rPr>
        <w:t>The requirement for the rear destination display in Clause 9.2.1.1 (Requirements for External LED Information Displays) states:</w:t>
      </w:r>
    </w:p>
    <w:p w14:paraId="2F8E107A" w14:textId="77777777" w:rsidR="0017690D" w:rsidRPr="0017690D" w:rsidRDefault="0017690D" w:rsidP="0017690D">
      <w:pPr>
        <w:ind w:firstLine="720"/>
        <w:jc w:val="both"/>
        <w:rPr>
          <w:lang w:val="en-US"/>
        </w:rPr>
      </w:pPr>
      <w:r w:rsidRPr="0017690D">
        <w:rPr>
          <w:lang w:val="en-US"/>
        </w:rPr>
        <w:t>“Rear display: display area approximately 140 × 280 mm, resolution not less than 14 × 280 pixels.”</w:t>
      </w:r>
    </w:p>
    <w:p w14:paraId="781AE0C6" w14:textId="77777777" w:rsidR="0017690D" w:rsidRPr="0017690D" w:rsidRDefault="0017690D" w:rsidP="0017690D">
      <w:pPr>
        <w:ind w:firstLine="720"/>
        <w:jc w:val="both"/>
        <w:rPr>
          <w:lang w:val="en-US"/>
        </w:rPr>
      </w:pPr>
      <w:r w:rsidRPr="0017690D">
        <w:rPr>
          <w:lang w:val="en-US"/>
        </w:rPr>
        <w:t xml:space="preserve">Could the Contracting Authority clarify whether a typographical error has occurred </w:t>
      </w:r>
      <w:proofErr w:type="gramStart"/>
      <w:r w:rsidRPr="0017690D">
        <w:rPr>
          <w:lang w:val="en-US"/>
        </w:rPr>
        <w:t>with regard to</w:t>
      </w:r>
      <w:proofErr w:type="gramEnd"/>
      <w:r w:rsidRPr="0017690D">
        <w:rPr>
          <w:lang w:val="en-US"/>
        </w:rPr>
        <w:t xml:space="preserve"> the specified resolution?</w:t>
      </w:r>
    </w:p>
    <w:p w14:paraId="3A2DFE92" w14:textId="77777777" w:rsidR="0017690D" w:rsidRPr="0017690D" w:rsidRDefault="0017690D" w:rsidP="0017690D">
      <w:pPr>
        <w:ind w:firstLine="720"/>
        <w:jc w:val="both"/>
        <w:rPr>
          <w:lang w:val="en-US"/>
        </w:rPr>
      </w:pPr>
      <w:r w:rsidRPr="0017690D">
        <w:rPr>
          <w:b/>
          <w:bCs/>
          <w:lang w:val="en-US"/>
        </w:rPr>
        <w:t>Justification</w:t>
      </w:r>
    </w:p>
    <w:p w14:paraId="118BFD96" w14:textId="77777777" w:rsidR="0017690D" w:rsidRPr="0017690D" w:rsidRDefault="0017690D" w:rsidP="0017690D">
      <w:pPr>
        <w:ind w:firstLine="720"/>
        <w:jc w:val="both"/>
        <w:rPr>
          <w:lang w:val="en-US"/>
        </w:rPr>
      </w:pPr>
      <w:r w:rsidRPr="0017690D">
        <w:rPr>
          <w:lang w:val="en-US"/>
        </w:rPr>
        <w:t>With a display area of approximately 140 × 280 mm, it is technically impossible to accommodate 280 pixels horizontally, as this would correspond to an approximate pixel pitch of 1 mm, which is not consistent with bus LED destination display technology and is not characteristic of this type of equipment.</w:t>
      </w:r>
    </w:p>
    <w:p w14:paraId="428C0F1A" w14:textId="77777777" w:rsidR="0017690D" w:rsidRPr="0017690D" w:rsidRDefault="0017690D" w:rsidP="0017690D">
      <w:pPr>
        <w:ind w:firstLine="720"/>
        <w:jc w:val="both"/>
        <w:rPr>
          <w:lang w:val="en-US"/>
        </w:rPr>
      </w:pPr>
      <w:r w:rsidRPr="0017690D">
        <w:rPr>
          <w:lang w:val="en-US"/>
        </w:rPr>
        <w:t>In practice, rear bus destination displays with such display dimensions are typically manufactured with resolutions of 14 × 28, 16 × 32, 20 × 40 or other similar resolutions, depending on the LED pixel pitch used.</w:t>
      </w:r>
    </w:p>
    <w:p w14:paraId="122C2759" w14:textId="77777777" w:rsidR="0017690D" w:rsidRPr="0017690D" w:rsidRDefault="0017690D" w:rsidP="0017690D">
      <w:pPr>
        <w:ind w:firstLine="720"/>
        <w:jc w:val="both"/>
        <w:rPr>
          <w:lang w:val="en-US"/>
        </w:rPr>
      </w:pPr>
      <w:r w:rsidRPr="0017690D">
        <w:rPr>
          <w:lang w:val="en-US"/>
        </w:rPr>
        <w:t>Considering the above, it is possible that a typographical error has occurred in the requirement and that “14 × 280 pixels” was intended to read, for example, “14 × 28 pixels” or another similar resolution.</w:t>
      </w:r>
    </w:p>
    <w:p w14:paraId="42EE3F13" w14:textId="77777777" w:rsidR="0017690D" w:rsidRPr="0017690D" w:rsidRDefault="0017690D" w:rsidP="0017690D">
      <w:pPr>
        <w:ind w:firstLine="720"/>
        <w:jc w:val="both"/>
        <w:rPr>
          <w:lang w:val="en-US"/>
        </w:rPr>
      </w:pPr>
      <w:r w:rsidRPr="0017690D">
        <w:rPr>
          <w:b/>
          <w:bCs/>
          <w:lang w:val="en-US"/>
        </w:rPr>
        <w:t>Recommendation</w:t>
      </w:r>
    </w:p>
    <w:p w14:paraId="48F68927" w14:textId="77777777" w:rsidR="0017690D" w:rsidRPr="0017690D" w:rsidRDefault="0017690D" w:rsidP="0017690D">
      <w:pPr>
        <w:ind w:firstLine="720"/>
        <w:jc w:val="both"/>
        <w:rPr>
          <w:lang w:val="en-US"/>
        </w:rPr>
      </w:pPr>
      <w:r w:rsidRPr="0017690D">
        <w:rPr>
          <w:lang w:val="en-US"/>
        </w:rPr>
        <w:t>We kindly request the Contracting Authority to review and clarify the minimum resolution requirement for the rear destination display so that it corresponds to technically feasible and industry-standard LED display solutions.</w:t>
      </w:r>
    </w:p>
    <w:p w14:paraId="432C54DC" w14:textId="77777777" w:rsidR="00373869" w:rsidRPr="004B1051" w:rsidRDefault="00373869" w:rsidP="00373869">
      <w:pPr>
        <w:pStyle w:val="NormalWeb"/>
        <w:spacing w:before="0" w:beforeAutospacing="0" w:after="0" w:afterAutospacing="0"/>
        <w:jc w:val="center"/>
        <w:rPr>
          <w:i/>
          <w:iCs/>
          <w:lang w:val="en-US"/>
        </w:rPr>
      </w:pPr>
      <w:r w:rsidRPr="004B1051">
        <w:rPr>
          <w:i/>
          <w:iCs/>
          <w:lang w:val="en-US"/>
        </w:rPr>
        <w:t>(Translated from Latvian using the machine translation tool “Copilot”)</w:t>
      </w:r>
    </w:p>
    <w:p w14:paraId="34F8816C" w14:textId="77777777" w:rsidR="0017690D" w:rsidRDefault="0017690D" w:rsidP="0017690D"/>
    <w:p w14:paraId="11965653" w14:textId="671B0890" w:rsidR="00E7033B" w:rsidRPr="007103F5" w:rsidRDefault="00E7033B" w:rsidP="00B27AB2">
      <w:pPr>
        <w:tabs>
          <w:tab w:val="right" w:pos="9072"/>
        </w:tabs>
        <w:ind w:right="134"/>
        <w:jc w:val="both"/>
        <w:outlineLvl w:val="0"/>
        <w:rPr>
          <w:b/>
          <w:bCs/>
          <w:lang w:val="en-US" w:bidi="en-GB"/>
        </w:rPr>
      </w:pPr>
      <w:r w:rsidRPr="007103F5">
        <w:rPr>
          <w:b/>
          <w:bCs/>
          <w:lang w:val="en-US" w:bidi="en-GB"/>
        </w:rPr>
        <w:t xml:space="preserve">Answer: </w:t>
      </w:r>
    </w:p>
    <w:p w14:paraId="558246A5" w14:textId="77777777" w:rsidR="007103F5" w:rsidRPr="007103F5" w:rsidRDefault="007103F5" w:rsidP="007103F5">
      <w:pPr>
        <w:ind w:right="372" w:firstLine="720"/>
        <w:jc w:val="both"/>
        <w:outlineLvl w:val="0"/>
        <w:rPr>
          <w:lang w:val="en-US"/>
        </w:rPr>
      </w:pPr>
      <w:r w:rsidRPr="007103F5">
        <w:rPr>
          <w:lang w:val="en-US"/>
        </w:rPr>
        <w:t xml:space="preserve">The Contracting Authority informs that it has reviewed the questions and proposals and has made amendments to the Technical Specification for Lots 1 and 2 of the procurement </w:t>
      </w:r>
      <w:proofErr w:type="gramStart"/>
      <w:r w:rsidRPr="007103F5">
        <w:rPr>
          <w:lang w:val="en-US"/>
        </w:rPr>
        <w:t>subject</w:t>
      </w:r>
      <w:proofErr w:type="gramEnd"/>
      <w:r w:rsidRPr="007103F5">
        <w:rPr>
          <w:lang w:val="en-US"/>
        </w:rPr>
        <w:t xml:space="preserve"> of the procurement procedure.</w:t>
      </w:r>
    </w:p>
    <w:p w14:paraId="01DCFE30" w14:textId="06382C2E" w:rsidR="007103F5" w:rsidRPr="007103F5" w:rsidRDefault="007103F5" w:rsidP="007103F5">
      <w:pPr>
        <w:ind w:right="372" w:firstLine="720"/>
        <w:jc w:val="both"/>
        <w:outlineLvl w:val="0"/>
        <w:rPr>
          <w:lang w:val="en-US"/>
        </w:rPr>
      </w:pPr>
      <w:r w:rsidRPr="007103F5">
        <w:rPr>
          <w:lang w:val="en-US"/>
        </w:rPr>
        <w:t xml:space="preserve">Please refer to the amendments to the Regulations of the procurement procedure dated 23 July 2026, published on </w:t>
      </w:r>
      <w:hyperlink r:id="rId14" w:history="1">
        <w:r w:rsidRPr="007103F5">
          <w:rPr>
            <w:rStyle w:val="Hyperlink"/>
            <w:lang w:val="en-US"/>
          </w:rPr>
          <w:t>www.eis.gov.lv</w:t>
        </w:r>
      </w:hyperlink>
      <w:r w:rsidRPr="007103F5">
        <w:rPr>
          <w:lang w:val="en-US"/>
        </w:rPr>
        <w:t xml:space="preserve"> and </w:t>
      </w:r>
      <w:hyperlink r:id="rId15" w:history="1">
        <w:r w:rsidRPr="007103F5">
          <w:rPr>
            <w:rStyle w:val="Hyperlink"/>
            <w:lang w:val="en-US"/>
          </w:rPr>
          <w:t>www.rigassatiksme.lv</w:t>
        </w:r>
      </w:hyperlink>
      <w:r w:rsidRPr="007103F5">
        <w:rPr>
          <w:lang w:val="en-US"/>
        </w:rPr>
        <w:t>.</w:t>
      </w:r>
    </w:p>
    <w:p w14:paraId="619FF9FA" w14:textId="77777777" w:rsidR="00E7033B" w:rsidRPr="002D717E" w:rsidRDefault="00E7033B" w:rsidP="00E7033B">
      <w:pPr>
        <w:ind w:right="372"/>
        <w:jc w:val="both"/>
        <w:outlineLvl w:val="0"/>
        <w:rPr>
          <w:lang w:val="en-US"/>
        </w:rPr>
      </w:pPr>
    </w:p>
    <w:p w14:paraId="07BF2793" w14:textId="77777777" w:rsidR="0082641C" w:rsidRPr="00712895" w:rsidRDefault="0082641C" w:rsidP="005B07D3">
      <w:pPr>
        <w:ind w:right="372"/>
        <w:jc w:val="both"/>
        <w:outlineLvl w:val="0"/>
        <w:rPr>
          <w:lang w:val="en-US"/>
        </w:rPr>
      </w:pPr>
    </w:p>
    <w:p w14:paraId="4228C1F3" w14:textId="77777777" w:rsidR="005B07D3" w:rsidRPr="00712895" w:rsidRDefault="005B07D3" w:rsidP="005B07D3">
      <w:pPr>
        <w:pStyle w:val="Footer"/>
        <w:rPr>
          <w:lang w:val="en-US"/>
        </w:rPr>
      </w:pPr>
      <w:r w:rsidRPr="00712895">
        <w:rPr>
          <w:lang w:val="en-US" w:bidi="en-GB"/>
        </w:rPr>
        <w:t>Chairperson of the Procurement Commission</w:t>
      </w:r>
    </w:p>
    <w:p w14:paraId="7AFD9777" w14:textId="74E95A46" w:rsidR="00B15A1C" w:rsidRPr="00712895" w:rsidRDefault="005B07D3" w:rsidP="005B07D3">
      <w:pPr>
        <w:widowControl w:val="0"/>
        <w:tabs>
          <w:tab w:val="left" w:pos="764"/>
        </w:tabs>
        <w:spacing w:line="274" w:lineRule="exact"/>
        <w:rPr>
          <w:color w:val="000000"/>
          <w:lang w:val="en-US" w:bidi="en-GB"/>
        </w:rPr>
      </w:pPr>
      <w:r w:rsidRPr="00712895">
        <w:rPr>
          <w:color w:val="000000"/>
          <w:lang w:val="en-US" w:bidi="en-GB"/>
        </w:rPr>
        <w:t>Karīna Meiberga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5ECA977A" w14:textId="1AA2A4F3" w:rsidR="005B07D3" w:rsidRPr="00712895" w:rsidRDefault="005B07D3" w:rsidP="005B07D3">
      <w:pPr>
        <w:widowControl w:val="0"/>
        <w:tabs>
          <w:tab w:val="left" w:pos="764"/>
        </w:tabs>
        <w:spacing w:line="274" w:lineRule="exact"/>
        <w:rPr>
          <w:color w:val="000000"/>
          <w:lang w:val="en-US" w:eastAsia="en-GB"/>
        </w:rPr>
      </w:pPr>
    </w:p>
    <w:p w14:paraId="29C643DE" w14:textId="373913FC" w:rsidR="00AD6E80" w:rsidRPr="00712895" w:rsidRDefault="00AD6E80" w:rsidP="00F917E4">
      <w:pPr>
        <w:suppressAutoHyphens/>
        <w:jc w:val="center"/>
        <w:rPr>
          <w:lang w:val="en-US" w:eastAsia="ar-SA"/>
        </w:rPr>
      </w:pPr>
    </w:p>
    <w:sectPr w:rsidR="00AD6E80" w:rsidRPr="00712895" w:rsidSect="00F25D58">
      <w:headerReference w:type="even" r:id="rId16"/>
      <w:headerReference w:type="default" r:id="rId17"/>
      <w:footerReference w:type="default" r:id="rId18"/>
      <w:headerReference w:type="first" r:id="rId19"/>
      <w:footerReference w:type="first" r:id="rId20"/>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EF565" w14:textId="77777777" w:rsidR="000A2E13" w:rsidRPr="008365EC" w:rsidRDefault="000A2E13">
      <w:r w:rsidRPr="008365EC">
        <w:separator/>
      </w:r>
    </w:p>
  </w:endnote>
  <w:endnote w:type="continuationSeparator" w:id="0">
    <w:p w14:paraId="2D27BBCE" w14:textId="77777777" w:rsidR="000A2E13" w:rsidRPr="008365EC" w:rsidRDefault="000A2E13">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7A538" w14:textId="77777777" w:rsidR="000A2E13" w:rsidRPr="008365EC" w:rsidRDefault="000A2E13">
      <w:r w:rsidRPr="008365EC">
        <w:separator/>
      </w:r>
    </w:p>
  </w:footnote>
  <w:footnote w:type="continuationSeparator" w:id="0">
    <w:p w14:paraId="42444BFF" w14:textId="77777777" w:rsidR="000A2E13" w:rsidRPr="008365EC" w:rsidRDefault="000A2E13">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510B7"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30AA373" w:rsidR="00BA1D4B" w:rsidRPr="008365EC" w:rsidRDefault="0045426A" w:rsidP="00BA1D4B">
    <w:pPr>
      <w:pStyle w:val="Header"/>
      <w:tabs>
        <w:tab w:val="left" w:pos="426"/>
        <w:tab w:val="left" w:pos="1418"/>
      </w:tabs>
      <w:jc w:val="both"/>
    </w:pPr>
    <w:bookmarkStart w:id="0" w:name="docDate"/>
    <w:bookmarkStart w:id="1" w:name="docNr"/>
    <w:bookmarkEnd w:id="0"/>
    <w:bookmarkEnd w:id="1"/>
    <w:r>
      <w:t>23.07.2026.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C591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089D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EF81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CB9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486902"/>
    <w:multiLevelType w:val="multilevel"/>
    <w:tmpl w:val="9592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34DA4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1FED0E28"/>
    <w:multiLevelType w:val="multilevel"/>
    <w:tmpl w:val="A93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C51914"/>
    <w:multiLevelType w:val="multilevel"/>
    <w:tmpl w:val="8632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A310A"/>
    <w:multiLevelType w:val="multilevel"/>
    <w:tmpl w:val="2B4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3EE8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436C46"/>
    <w:multiLevelType w:val="multilevel"/>
    <w:tmpl w:val="FEB0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81F4C9D"/>
    <w:multiLevelType w:val="multilevel"/>
    <w:tmpl w:val="C9DA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B4443D"/>
    <w:multiLevelType w:val="multilevel"/>
    <w:tmpl w:val="589E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29"/>
  </w:num>
  <w:num w:numId="2" w16cid:durableId="1306466472">
    <w:abstractNumId w:val="30"/>
  </w:num>
  <w:num w:numId="3" w16cid:durableId="1841695912">
    <w:abstractNumId w:val="1"/>
  </w:num>
  <w:num w:numId="4" w16cid:durableId="1665815890">
    <w:abstractNumId w:val="12"/>
  </w:num>
  <w:num w:numId="5" w16cid:durableId="561789417">
    <w:abstractNumId w:val="18"/>
  </w:num>
  <w:num w:numId="6" w16cid:durableId="1838880446">
    <w:abstractNumId w:val="26"/>
  </w:num>
  <w:num w:numId="7" w16cid:durableId="253245761">
    <w:abstractNumId w:val="14"/>
  </w:num>
  <w:num w:numId="8" w16cid:durableId="312875459">
    <w:abstractNumId w:val="34"/>
  </w:num>
  <w:num w:numId="9" w16cid:durableId="1560630068">
    <w:abstractNumId w:val="36"/>
  </w:num>
  <w:num w:numId="10" w16cid:durableId="1166364960">
    <w:abstractNumId w:val="27"/>
  </w:num>
  <w:num w:numId="11" w16cid:durableId="1735812205">
    <w:abstractNumId w:val="4"/>
  </w:num>
  <w:num w:numId="12" w16cid:durableId="1636839386">
    <w:abstractNumId w:val="37"/>
  </w:num>
  <w:num w:numId="13" w16cid:durableId="1189831870">
    <w:abstractNumId w:val="7"/>
  </w:num>
  <w:num w:numId="14" w16cid:durableId="1960138239">
    <w:abstractNumId w:val="38"/>
  </w:num>
  <w:num w:numId="15" w16cid:durableId="1674524687">
    <w:abstractNumId w:val="33"/>
  </w:num>
  <w:num w:numId="16" w16cid:durableId="1144003497">
    <w:abstractNumId w:val="15"/>
  </w:num>
  <w:num w:numId="17" w16cid:durableId="1710254252">
    <w:abstractNumId w:val="10"/>
  </w:num>
  <w:num w:numId="18" w16cid:durableId="647318071">
    <w:abstractNumId w:val="17"/>
  </w:num>
  <w:num w:numId="19" w16cid:durableId="1621912157">
    <w:abstractNumId w:val="11"/>
  </w:num>
  <w:num w:numId="20" w16cid:durableId="1253323260">
    <w:abstractNumId w:val="6"/>
  </w:num>
  <w:num w:numId="21" w16cid:durableId="168910742">
    <w:abstractNumId w:val="28"/>
  </w:num>
  <w:num w:numId="22" w16cid:durableId="1341617569">
    <w:abstractNumId w:val="25"/>
  </w:num>
  <w:num w:numId="23" w16cid:durableId="356394284">
    <w:abstractNumId w:val="39"/>
  </w:num>
  <w:num w:numId="24" w16cid:durableId="1821733151">
    <w:abstractNumId w:val="32"/>
  </w:num>
  <w:num w:numId="25" w16cid:durableId="1660033158">
    <w:abstractNumId w:val="3"/>
  </w:num>
  <w:num w:numId="26" w16cid:durableId="1561092550">
    <w:abstractNumId w:val="19"/>
  </w:num>
  <w:num w:numId="27" w16cid:durableId="651562977">
    <w:abstractNumId w:val="22"/>
  </w:num>
  <w:num w:numId="28" w16cid:durableId="937761087">
    <w:abstractNumId w:val="13"/>
  </w:num>
  <w:num w:numId="29" w16cid:durableId="1399523856">
    <w:abstractNumId w:val="23"/>
  </w:num>
  <w:num w:numId="30" w16cid:durableId="1088769645">
    <w:abstractNumId w:val="8"/>
  </w:num>
  <w:num w:numId="31" w16cid:durableId="1960867139">
    <w:abstractNumId w:val="5"/>
  </w:num>
  <w:num w:numId="32" w16cid:durableId="752969805">
    <w:abstractNumId w:val="2"/>
  </w:num>
  <w:num w:numId="33" w16cid:durableId="1216351401">
    <w:abstractNumId w:val="0"/>
  </w:num>
  <w:num w:numId="34" w16cid:durableId="961544408">
    <w:abstractNumId w:val="21"/>
  </w:num>
  <w:num w:numId="35" w16cid:durableId="1829975711">
    <w:abstractNumId w:val="9"/>
  </w:num>
  <w:num w:numId="36" w16cid:durableId="1892879963">
    <w:abstractNumId w:val="20"/>
  </w:num>
  <w:num w:numId="37" w16cid:durableId="957220034">
    <w:abstractNumId w:val="35"/>
  </w:num>
  <w:num w:numId="38" w16cid:durableId="12613730">
    <w:abstractNumId w:val="24"/>
  </w:num>
  <w:num w:numId="39" w16cid:durableId="477649271">
    <w:abstractNumId w:val="16"/>
  </w:num>
  <w:num w:numId="40" w16cid:durableId="1475222826">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3ED3"/>
    <w:rsid w:val="0002622B"/>
    <w:rsid w:val="00026D94"/>
    <w:rsid w:val="00026E1B"/>
    <w:rsid w:val="000273FA"/>
    <w:rsid w:val="00027FD7"/>
    <w:rsid w:val="000371F9"/>
    <w:rsid w:val="000378F0"/>
    <w:rsid w:val="00037BB3"/>
    <w:rsid w:val="0004246F"/>
    <w:rsid w:val="00042776"/>
    <w:rsid w:val="0004286D"/>
    <w:rsid w:val="00044A66"/>
    <w:rsid w:val="000453F5"/>
    <w:rsid w:val="000464D6"/>
    <w:rsid w:val="00046659"/>
    <w:rsid w:val="000476FA"/>
    <w:rsid w:val="00051B92"/>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2E13"/>
    <w:rsid w:val="000A4CE4"/>
    <w:rsid w:val="000A6FC9"/>
    <w:rsid w:val="000B3306"/>
    <w:rsid w:val="000B4C19"/>
    <w:rsid w:val="000B56F3"/>
    <w:rsid w:val="000B5A63"/>
    <w:rsid w:val="000B6634"/>
    <w:rsid w:val="000B6890"/>
    <w:rsid w:val="000C4B3D"/>
    <w:rsid w:val="000C6734"/>
    <w:rsid w:val="000C763C"/>
    <w:rsid w:val="000D22B2"/>
    <w:rsid w:val="000D377C"/>
    <w:rsid w:val="000D5730"/>
    <w:rsid w:val="000E1B72"/>
    <w:rsid w:val="000E3AA9"/>
    <w:rsid w:val="000E5397"/>
    <w:rsid w:val="000F04EB"/>
    <w:rsid w:val="000F055F"/>
    <w:rsid w:val="000F35C1"/>
    <w:rsid w:val="000F3B09"/>
    <w:rsid w:val="000F4C4C"/>
    <w:rsid w:val="000F4D78"/>
    <w:rsid w:val="000F5856"/>
    <w:rsid w:val="000F6B23"/>
    <w:rsid w:val="000F79BC"/>
    <w:rsid w:val="00100664"/>
    <w:rsid w:val="001015D4"/>
    <w:rsid w:val="00106C66"/>
    <w:rsid w:val="00124B2B"/>
    <w:rsid w:val="00125C18"/>
    <w:rsid w:val="0013079F"/>
    <w:rsid w:val="001310D8"/>
    <w:rsid w:val="00131B42"/>
    <w:rsid w:val="0014150E"/>
    <w:rsid w:val="00142897"/>
    <w:rsid w:val="00142A15"/>
    <w:rsid w:val="00145014"/>
    <w:rsid w:val="00147D1E"/>
    <w:rsid w:val="00153C7C"/>
    <w:rsid w:val="0016355B"/>
    <w:rsid w:val="00163C43"/>
    <w:rsid w:val="00163F7B"/>
    <w:rsid w:val="00172778"/>
    <w:rsid w:val="00175B46"/>
    <w:rsid w:val="0017690D"/>
    <w:rsid w:val="00176AEB"/>
    <w:rsid w:val="0018082C"/>
    <w:rsid w:val="00180B59"/>
    <w:rsid w:val="001817E8"/>
    <w:rsid w:val="001847D0"/>
    <w:rsid w:val="00191ED3"/>
    <w:rsid w:val="001949B9"/>
    <w:rsid w:val="00195719"/>
    <w:rsid w:val="00196269"/>
    <w:rsid w:val="00197CAA"/>
    <w:rsid w:val="001A12E9"/>
    <w:rsid w:val="001A19C0"/>
    <w:rsid w:val="001A3803"/>
    <w:rsid w:val="001A4A96"/>
    <w:rsid w:val="001A4D12"/>
    <w:rsid w:val="001A6CCB"/>
    <w:rsid w:val="001B000D"/>
    <w:rsid w:val="001B0DFB"/>
    <w:rsid w:val="001B2C3A"/>
    <w:rsid w:val="001B4718"/>
    <w:rsid w:val="001C1098"/>
    <w:rsid w:val="001C37D7"/>
    <w:rsid w:val="001C4CA5"/>
    <w:rsid w:val="001C5FBC"/>
    <w:rsid w:val="001C6F5A"/>
    <w:rsid w:val="001D02B6"/>
    <w:rsid w:val="001D0CFD"/>
    <w:rsid w:val="001D1A72"/>
    <w:rsid w:val="001D43D0"/>
    <w:rsid w:val="001D6D1B"/>
    <w:rsid w:val="001E6445"/>
    <w:rsid w:val="001F371A"/>
    <w:rsid w:val="001F5D53"/>
    <w:rsid w:val="001F730D"/>
    <w:rsid w:val="002008B3"/>
    <w:rsid w:val="0020139D"/>
    <w:rsid w:val="00201667"/>
    <w:rsid w:val="0020229E"/>
    <w:rsid w:val="00204643"/>
    <w:rsid w:val="00206457"/>
    <w:rsid w:val="00206A96"/>
    <w:rsid w:val="00207FD8"/>
    <w:rsid w:val="00210BA4"/>
    <w:rsid w:val="00212DFA"/>
    <w:rsid w:val="00216E2E"/>
    <w:rsid w:val="00217063"/>
    <w:rsid w:val="00217E48"/>
    <w:rsid w:val="00220D37"/>
    <w:rsid w:val="00220DC4"/>
    <w:rsid w:val="00222574"/>
    <w:rsid w:val="002265DD"/>
    <w:rsid w:val="00230547"/>
    <w:rsid w:val="00231433"/>
    <w:rsid w:val="00231932"/>
    <w:rsid w:val="00231F6F"/>
    <w:rsid w:val="0023245F"/>
    <w:rsid w:val="00232B95"/>
    <w:rsid w:val="00233FCE"/>
    <w:rsid w:val="00234872"/>
    <w:rsid w:val="002355E8"/>
    <w:rsid w:val="0023780C"/>
    <w:rsid w:val="00240890"/>
    <w:rsid w:val="00240C04"/>
    <w:rsid w:val="002425E4"/>
    <w:rsid w:val="00244368"/>
    <w:rsid w:val="00244740"/>
    <w:rsid w:val="00246DE4"/>
    <w:rsid w:val="00251DCE"/>
    <w:rsid w:val="00255AF9"/>
    <w:rsid w:val="00257800"/>
    <w:rsid w:val="00260A81"/>
    <w:rsid w:val="00261F21"/>
    <w:rsid w:val="0026289C"/>
    <w:rsid w:val="002641A9"/>
    <w:rsid w:val="00265817"/>
    <w:rsid w:val="00266004"/>
    <w:rsid w:val="0026745D"/>
    <w:rsid w:val="00271800"/>
    <w:rsid w:val="00271E4F"/>
    <w:rsid w:val="00272D18"/>
    <w:rsid w:val="002753E0"/>
    <w:rsid w:val="00275B49"/>
    <w:rsid w:val="002763BC"/>
    <w:rsid w:val="002770A0"/>
    <w:rsid w:val="002807C8"/>
    <w:rsid w:val="002811D6"/>
    <w:rsid w:val="00282249"/>
    <w:rsid w:val="00284596"/>
    <w:rsid w:val="00286018"/>
    <w:rsid w:val="0028643E"/>
    <w:rsid w:val="0028753C"/>
    <w:rsid w:val="0029171F"/>
    <w:rsid w:val="00292289"/>
    <w:rsid w:val="00297E14"/>
    <w:rsid w:val="002A3E95"/>
    <w:rsid w:val="002B05BA"/>
    <w:rsid w:val="002B4222"/>
    <w:rsid w:val="002B4C0F"/>
    <w:rsid w:val="002B5E71"/>
    <w:rsid w:val="002C0008"/>
    <w:rsid w:val="002C747A"/>
    <w:rsid w:val="002D3D08"/>
    <w:rsid w:val="002D5A1F"/>
    <w:rsid w:val="002D717E"/>
    <w:rsid w:val="002D73D1"/>
    <w:rsid w:val="002E0214"/>
    <w:rsid w:val="002E209E"/>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335F"/>
    <w:rsid w:val="00323942"/>
    <w:rsid w:val="00325A6F"/>
    <w:rsid w:val="00336AFA"/>
    <w:rsid w:val="003414AF"/>
    <w:rsid w:val="003431DB"/>
    <w:rsid w:val="00344BFB"/>
    <w:rsid w:val="00355F25"/>
    <w:rsid w:val="00356F62"/>
    <w:rsid w:val="003619FB"/>
    <w:rsid w:val="00361E8F"/>
    <w:rsid w:val="00364284"/>
    <w:rsid w:val="003645FD"/>
    <w:rsid w:val="00365FA1"/>
    <w:rsid w:val="00366089"/>
    <w:rsid w:val="003734D3"/>
    <w:rsid w:val="00373869"/>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1B89"/>
    <w:rsid w:val="003E205B"/>
    <w:rsid w:val="003E5070"/>
    <w:rsid w:val="003F1A00"/>
    <w:rsid w:val="003F1E7A"/>
    <w:rsid w:val="003F35CE"/>
    <w:rsid w:val="003F3826"/>
    <w:rsid w:val="003F57BC"/>
    <w:rsid w:val="003F6BC3"/>
    <w:rsid w:val="00400170"/>
    <w:rsid w:val="004008C2"/>
    <w:rsid w:val="00403F3D"/>
    <w:rsid w:val="00404C6B"/>
    <w:rsid w:val="00404F90"/>
    <w:rsid w:val="0041025C"/>
    <w:rsid w:val="00410642"/>
    <w:rsid w:val="004124BC"/>
    <w:rsid w:val="00416302"/>
    <w:rsid w:val="0042175E"/>
    <w:rsid w:val="004226C7"/>
    <w:rsid w:val="00423666"/>
    <w:rsid w:val="0042576B"/>
    <w:rsid w:val="00427DCC"/>
    <w:rsid w:val="00431949"/>
    <w:rsid w:val="0043457A"/>
    <w:rsid w:val="00434A29"/>
    <w:rsid w:val="00436DBD"/>
    <w:rsid w:val="00440CC8"/>
    <w:rsid w:val="004428E5"/>
    <w:rsid w:val="00445394"/>
    <w:rsid w:val="0044559D"/>
    <w:rsid w:val="00446136"/>
    <w:rsid w:val="00446224"/>
    <w:rsid w:val="00447183"/>
    <w:rsid w:val="00452143"/>
    <w:rsid w:val="00454105"/>
    <w:rsid w:val="0045426A"/>
    <w:rsid w:val="004542C7"/>
    <w:rsid w:val="00454D29"/>
    <w:rsid w:val="00454D63"/>
    <w:rsid w:val="00454D97"/>
    <w:rsid w:val="00455482"/>
    <w:rsid w:val="004617F3"/>
    <w:rsid w:val="004631CC"/>
    <w:rsid w:val="0046461B"/>
    <w:rsid w:val="0047104A"/>
    <w:rsid w:val="004724EF"/>
    <w:rsid w:val="00472769"/>
    <w:rsid w:val="00472EEB"/>
    <w:rsid w:val="0047433B"/>
    <w:rsid w:val="00474BAF"/>
    <w:rsid w:val="004773EA"/>
    <w:rsid w:val="00490270"/>
    <w:rsid w:val="0049074D"/>
    <w:rsid w:val="00492673"/>
    <w:rsid w:val="00495061"/>
    <w:rsid w:val="00495E7E"/>
    <w:rsid w:val="00497396"/>
    <w:rsid w:val="004A0D6C"/>
    <w:rsid w:val="004A0EA3"/>
    <w:rsid w:val="004A46F2"/>
    <w:rsid w:val="004A63F9"/>
    <w:rsid w:val="004A79F8"/>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29A1"/>
    <w:rsid w:val="00523372"/>
    <w:rsid w:val="005256FF"/>
    <w:rsid w:val="00525EB5"/>
    <w:rsid w:val="0052631F"/>
    <w:rsid w:val="00526683"/>
    <w:rsid w:val="005270FC"/>
    <w:rsid w:val="005302AA"/>
    <w:rsid w:val="00532917"/>
    <w:rsid w:val="00534EFA"/>
    <w:rsid w:val="005352FF"/>
    <w:rsid w:val="00535FCB"/>
    <w:rsid w:val="005373C1"/>
    <w:rsid w:val="00537983"/>
    <w:rsid w:val="00542101"/>
    <w:rsid w:val="005425C5"/>
    <w:rsid w:val="00542D58"/>
    <w:rsid w:val="0054525F"/>
    <w:rsid w:val="0054630E"/>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629"/>
    <w:rsid w:val="005B02DF"/>
    <w:rsid w:val="005B07D3"/>
    <w:rsid w:val="005B0B40"/>
    <w:rsid w:val="005B7FA3"/>
    <w:rsid w:val="005C0D35"/>
    <w:rsid w:val="005C450D"/>
    <w:rsid w:val="005C4D26"/>
    <w:rsid w:val="005D3325"/>
    <w:rsid w:val="005D3F37"/>
    <w:rsid w:val="005D7F6E"/>
    <w:rsid w:val="005E0525"/>
    <w:rsid w:val="005E3338"/>
    <w:rsid w:val="005E3BFD"/>
    <w:rsid w:val="005E3DA9"/>
    <w:rsid w:val="005E42C6"/>
    <w:rsid w:val="005E46C2"/>
    <w:rsid w:val="005E5466"/>
    <w:rsid w:val="005E591F"/>
    <w:rsid w:val="005F1D86"/>
    <w:rsid w:val="005F525B"/>
    <w:rsid w:val="005F5364"/>
    <w:rsid w:val="005F59D6"/>
    <w:rsid w:val="0060030B"/>
    <w:rsid w:val="006013BE"/>
    <w:rsid w:val="00601F9C"/>
    <w:rsid w:val="00604649"/>
    <w:rsid w:val="0060506E"/>
    <w:rsid w:val="00605113"/>
    <w:rsid w:val="00605E6A"/>
    <w:rsid w:val="0061039B"/>
    <w:rsid w:val="00611305"/>
    <w:rsid w:val="006117EC"/>
    <w:rsid w:val="00611AFC"/>
    <w:rsid w:val="00612077"/>
    <w:rsid w:val="00613506"/>
    <w:rsid w:val="00614EBC"/>
    <w:rsid w:val="006154A9"/>
    <w:rsid w:val="00621B2E"/>
    <w:rsid w:val="00623C37"/>
    <w:rsid w:val="00624065"/>
    <w:rsid w:val="00626E34"/>
    <w:rsid w:val="00630A2D"/>
    <w:rsid w:val="006339F1"/>
    <w:rsid w:val="00633BA2"/>
    <w:rsid w:val="00643F18"/>
    <w:rsid w:val="00646467"/>
    <w:rsid w:val="00646AB3"/>
    <w:rsid w:val="00646B57"/>
    <w:rsid w:val="00651353"/>
    <w:rsid w:val="00652EBE"/>
    <w:rsid w:val="00655FF8"/>
    <w:rsid w:val="006640C6"/>
    <w:rsid w:val="00665253"/>
    <w:rsid w:val="00665387"/>
    <w:rsid w:val="00672A5A"/>
    <w:rsid w:val="00676CD6"/>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A7FC5"/>
    <w:rsid w:val="006B7E8D"/>
    <w:rsid w:val="006C2508"/>
    <w:rsid w:val="006C3898"/>
    <w:rsid w:val="006C3F48"/>
    <w:rsid w:val="006C7DF3"/>
    <w:rsid w:val="006D1C11"/>
    <w:rsid w:val="006D4930"/>
    <w:rsid w:val="006D5B59"/>
    <w:rsid w:val="006D6822"/>
    <w:rsid w:val="006E32E4"/>
    <w:rsid w:val="006E779A"/>
    <w:rsid w:val="006F1858"/>
    <w:rsid w:val="006F3260"/>
    <w:rsid w:val="006F3C50"/>
    <w:rsid w:val="006F4AF6"/>
    <w:rsid w:val="00703ED3"/>
    <w:rsid w:val="00705C73"/>
    <w:rsid w:val="007103F5"/>
    <w:rsid w:val="00712459"/>
    <w:rsid w:val="00712895"/>
    <w:rsid w:val="007152FC"/>
    <w:rsid w:val="00717601"/>
    <w:rsid w:val="00730621"/>
    <w:rsid w:val="0073158A"/>
    <w:rsid w:val="00732118"/>
    <w:rsid w:val="00732DD4"/>
    <w:rsid w:val="007349D1"/>
    <w:rsid w:val="00734B7A"/>
    <w:rsid w:val="007354BF"/>
    <w:rsid w:val="00741FB1"/>
    <w:rsid w:val="0075005B"/>
    <w:rsid w:val="007503E6"/>
    <w:rsid w:val="00750FBF"/>
    <w:rsid w:val="007532F0"/>
    <w:rsid w:val="00756CAE"/>
    <w:rsid w:val="00757A15"/>
    <w:rsid w:val="007602FA"/>
    <w:rsid w:val="00762F0C"/>
    <w:rsid w:val="0076528F"/>
    <w:rsid w:val="00765A01"/>
    <w:rsid w:val="00771184"/>
    <w:rsid w:val="00773C87"/>
    <w:rsid w:val="007740C1"/>
    <w:rsid w:val="00782B9D"/>
    <w:rsid w:val="00783CC9"/>
    <w:rsid w:val="00785757"/>
    <w:rsid w:val="007857EA"/>
    <w:rsid w:val="00786C3E"/>
    <w:rsid w:val="007875D1"/>
    <w:rsid w:val="007877E4"/>
    <w:rsid w:val="00787B73"/>
    <w:rsid w:val="007909C0"/>
    <w:rsid w:val="00790ECC"/>
    <w:rsid w:val="00797297"/>
    <w:rsid w:val="007A00D1"/>
    <w:rsid w:val="007A34BE"/>
    <w:rsid w:val="007A5C49"/>
    <w:rsid w:val="007A74BA"/>
    <w:rsid w:val="007B08E4"/>
    <w:rsid w:val="007B7A12"/>
    <w:rsid w:val="007C5D60"/>
    <w:rsid w:val="007C6A66"/>
    <w:rsid w:val="007C6FB0"/>
    <w:rsid w:val="007D1FAA"/>
    <w:rsid w:val="007D26E1"/>
    <w:rsid w:val="007D4235"/>
    <w:rsid w:val="007D62F7"/>
    <w:rsid w:val="007F14FC"/>
    <w:rsid w:val="007F1FF2"/>
    <w:rsid w:val="007F3584"/>
    <w:rsid w:val="007F51DF"/>
    <w:rsid w:val="007F61D8"/>
    <w:rsid w:val="007F6F3D"/>
    <w:rsid w:val="008005AF"/>
    <w:rsid w:val="008010C3"/>
    <w:rsid w:val="008034ED"/>
    <w:rsid w:val="0080761C"/>
    <w:rsid w:val="008112DB"/>
    <w:rsid w:val="00813FFC"/>
    <w:rsid w:val="00814DED"/>
    <w:rsid w:val="008150A1"/>
    <w:rsid w:val="0081519B"/>
    <w:rsid w:val="00815E5E"/>
    <w:rsid w:val="008168DF"/>
    <w:rsid w:val="00820958"/>
    <w:rsid w:val="00821A17"/>
    <w:rsid w:val="00821C9D"/>
    <w:rsid w:val="00822777"/>
    <w:rsid w:val="0082320B"/>
    <w:rsid w:val="008248B8"/>
    <w:rsid w:val="00825028"/>
    <w:rsid w:val="008252B6"/>
    <w:rsid w:val="0082641C"/>
    <w:rsid w:val="00826C85"/>
    <w:rsid w:val="00832355"/>
    <w:rsid w:val="008365EC"/>
    <w:rsid w:val="00841803"/>
    <w:rsid w:val="008423A1"/>
    <w:rsid w:val="0084590A"/>
    <w:rsid w:val="00846A38"/>
    <w:rsid w:val="00847840"/>
    <w:rsid w:val="00847E05"/>
    <w:rsid w:val="008533C8"/>
    <w:rsid w:val="008541EE"/>
    <w:rsid w:val="008574FB"/>
    <w:rsid w:val="00857E71"/>
    <w:rsid w:val="00863DF6"/>
    <w:rsid w:val="0086445E"/>
    <w:rsid w:val="008755B4"/>
    <w:rsid w:val="0087576D"/>
    <w:rsid w:val="00880123"/>
    <w:rsid w:val="00882794"/>
    <w:rsid w:val="00883642"/>
    <w:rsid w:val="00885DB3"/>
    <w:rsid w:val="008940B5"/>
    <w:rsid w:val="00894A67"/>
    <w:rsid w:val="0089670C"/>
    <w:rsid w:val="008A1DD1"/>
    <w:rsid w:val="008A2CD8"/>
    <w:rsid w:val="008A2EC3"/>
    <w:rsid w:val="008A2FBD"/>
    <w:rsid w:val="008A4048"/>
    <w:rsid w:val="008A5061"/>
    <w:rsid w:val="008B12E9"/>
    <w:rsid w:val="008B4118"/>
    <w:rsid w:val="008B5680"/>
    <w:rsid w:val="008B6285"/>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3601"/>
    <w:rsid w:val="008E4C93"/>
    <w:rsid w:val="008E795B"/>
    <w:rsid w:val="008E795E"/>
    <w:rsid w:val="008F34AC"/>
    <w:rsid w:val="008F3629"/>
    <w:rsid w:val="008F4BAD"/>
    <w:rsid w:val="008F5D73"/>
    <w:rsid w:val="008F6592"/>
    <w:rsid w:val="008F76D6"/>
    <w:rsid w:val="00901C98"/>
    <w:rsid w:val="00904774"/>
    <w:rsid w:val="00904954"/>
    <w:rsid w:val="00904B48"/>
    <w:rsid w:val="009134FF"/>
    <w:rsid w:val="00914EBE"/>
    <w:rsid w:val="00921D79"/>
    <w:rsid w:val="00921FFF"/>
    <w:rsid w:val="0092367F"/>
    <w:rsid w:val="00923D91"/>
    <w:rsid w:val="009243DF"/>
    <w:rsid w:val="009258BC"/>
    <w:rsid w:val="0092638D"/>
    <w:rsid w:val="0092743D"/>
    <w:rsid w:val="009303D0"/>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46BC"/>
    <w:rsid w:val="009C4F2F"/>
    <w:rsid w:val="009C5D65"/>
    <w:rsid w:val="009C60C8"/>
    <w:rsid w:val="009D3D47"/>
    <w:rsid w:val="009E1062"/>
    <w:rsid w:val="009E3710"/>
    <w:rsid w:val="009E4A56"/>
    <w:rsid w:val="009E5D68"/>
    <w:rsid w:val="009E5F7A"/>
    <w:rsid w:val="009E7D24"/>
    <w:rsid w:val="009F0750"/>
    <w:rsid w:val="009F0DB3"/>
    <w:rsid w:val="009F7D48"/>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12F"/>
    <w:rsid w:val="00A45251"/>
    <w:rsid w:val="00A466A6"/>
    <w:rsid w:val="00A47A54"/>
    <w:rsid w:val="00A50347"/>
    <w:rsid w:val="00A5211A"/>
    <w:rsid w:val="00A52673"/>
    <w:rsid w:val="00A53EBE"/>
    <w:rsid w:val="00A55640"/>
    <w:rsid w:val="00A56EF4"/>
    <w:rsid w:val="00A572B5"/>
    <w:rsid w:val="00A61B7E"/>
    <w:rsid w:val="00A63D68"/>
    <w:rsid w:val="00A65235"/>
    <w:rsid w:val="00A704BC"/>
    <w:rsid w:val="00A70F67"/>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25CE"/>
    <w:rsid w:val="00AB272A"/>
    <w:rsid w:val="00AB3D36"/>
    <w:rsid w:val="00AB46EA"/>
    <w:rsid w:val="00AB5F0D"/>
    <w:rsid w:val="00AB6464"/>
    <w:rsid w:val="00AC452E"/>
    <w:rsid w:val="00AC4DFB"/>
    <w:rsid w:val="00AC5BB7"/>
    <w:rsid w:val="00AC638E"/>
    <w:rsid w:val="00AC652E"/>
    <w:rsid w:val="00AC6E12"/>
    <w:rsid w:val="00AC7F8B"/>
    <w:rsid w:val="00AD1215"/>
    <w:rsid w:val="00AD30CC"/>
    <w:rsid w:val="00AD6E80"/>
    <w:rsid w:val="00AE08D0"/>
    <w:rsid w:val="00AE134D"/>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2217"/>
    <w:rsid w:val="00B44BC6"/>
    <w:rsid w:val="00B46C86"/>
    <w:rsid w:val="00B556DF"/>
    <w:rsid w:val="00B5619F"/>
    <w:rsid w:val="00B61B96"/>
    <w:rsid w:val="00B62F57"/>
    <w:rsid w:val="00B63DBE"/>
    <w:rsid w:val="00B644FF"/>
    <w:rsid w:val="00B6749A"/>
    <w:rsid w:val="00B67B48"/>
    <w:rsid w:val="00B71565"/>
    <w:rsid w:val="00B739FC"/>
    <w:rsid w:val="00B74FDD"/>
    <w:rsid w:val="00B76DD9"/>
    <w:rsid w:val="00B76FCA"/>
    <w:rsid w:val="00B773DB"/>
    <w:rsid w:val="00B7745C"/>
    <w:rsid w:val="00B80F87"/>
    <w:rsid w:val="00B829E7"/>
    <w:rsid w:val="00B83DC3"/>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C02E6"/>
    <w:rsid w:val="00BC0733"/>
    <w:rsid w:val="00BC6B7C"/>
    <w:rsid w:val="00BD0053"/>
    <w:rsid w:val="00BD04C9"/>
    <w:rsid w:val="00BD40BD"/>
    <w:rsid w:val="00BD4F97"/>
    <w:rsid w:val="00BD6378"/>
    <w:rsid w:val="00BD6933"/>
    <w:rsid w:val="00BD7EC7"/>
    <w:rsid w:val="00BE6435"/>
    <w:rsid w:val="00BF0C41"/>
    <w:rsid w:val="00BF3486"/>
    <w:rsid w:val="00BF456E"/>
    <w:rsid w:val="00BF5000"/>
    <w:rsid w:val="00BF6481"/>
    <w:rsid w:val="00BF7AF4"/>
    <w:rsid w:val="00C00EF7"/>
    <w:rsid w:val="00C01F37"/>
    <w:rsid w:val="00C028C3"/>
    <w:rsid w:val="00C02F2C"/>
    <w:rsid w:val="00C079CF"/>
    <w:rsid w:val="00C1421A"/>
    <w:rsid w:val="00C144F2"/>
    <w:rsid w:val="00C1499B"/>
    <w:rsid w:val="00C15633"/>
    <w:rsid w:val="00C16F92"/>
    <w:rsid w:val="00C2117D"/>
    <w:rsid w:val="00C2229A"/>
    <w:rsid w:val="00C22F2A"/>
    <w:rsid w:val="00C24FC4"/>
    <w:rsid w:val="00C2685C"/>
    <w:rsid w:val="00C27FD0"/>
    <w:rsid w:val="00C35484"/>
    <w:rsid w:val="00C40282"/>
    <w:rsid w:val="00C42747"/>
    <w:rsid w:val="00C43740"/>
    <w:rsid w:val="00C440B6"/>
    <w:rsid w:val="00C47489"/>
    <w:rsid w:val="00C51E3A"/>
    <w:rsid w:val="00C5218F"/>
    <w:rsid w:val="00C60FF5"/>
    <w:rsid w:val="00C61343"/>
    <w:rsid w:val="00C634CD"/>
    <w:rsid w:val="00C646AB"/>
    <w:rsid w:val="00C6748D"/>
    <w:rsid w:val="00C67D39"/>
    <w:rsid w:val="00C70715"/>
    <w:rsid w:val="00C753CB"/>
    <w:rsid w:val="00C75D9B"/>
    <w:rsid w:val="00C80CAD"/>
    <w:rsid w:val="00C8131B"/>
    <w:rsid w:val="00C818AD"/>
    <w:rsid w:val="00C83A68"/>
    <w:rsid w:val="00C83E2B"/>
    <w:rsid w:val="00C84249"/>
    <w:rsid w:val="00C84969"/>
    <w:rsid w:val="00C86010"/>
    <w:rsid w:val="00C91750"/>
    <w:rsid w:val="00C93205"/>
    <w:rsid w:val="00C94F67"/>
    <w:rsid w:val="00C950CD"/>
    <w:rsid w:val="00C95559"/>
    <w:rsid w:val="00C96B4F"/>
    <w:rsid w:val="00CA0D04"/>
    <w:rsid w:val="00CA34A1"/>
    <w:rsid w:val="00CA73ED"/>
    <w:rsid w:val="00CB01FB"/>
    <w:rsid w:val="00CB02FF"/>
    <w:rsid w:val="00CB467E"/>
    <w:rsid w:val="00CB6644"/>
    <w:rsid w:val="00CB6B46"/>
    <w:rsid w:val="00CB7AA2"/>
    <w:rsid w:val="00CC2265"/>
    <w:rsid w:val="00CC603F"/>
    <w:rsid w:val="00CE0892"/>
    <w:rsid w:val="00CE2D30"/>
    <w:rsid w:val="00CE763C"/>
    <w:rsid w:val="00CF0E0B"/>
    <w:rsid w:val="00CF235B"/>
    <w:rsid w:val="00CF2432"/>
    <w:rsid w:val="00CF3691"/>
    <w:rsid w:val="00CF78D1"/>
    <w:rsid w:val="00D0213A"/>
    <w:rsid w:val="00D039C4"/>
    <w:rsid w:val="00D045C9"/>
    <w:rsid w:val="00D05059"/>
    <w:rsid w:val="00D11D0A"/>
    <w:rsid w:val="00D14370"/>
    <w:rsid w:val="00D2049D"/>
    <w:rsid w:val="00D2252B"/>
    <w:rsid w:val="00D244CD"/>
    <w:rsid w:val="00D31CC3"/>
    <w:rsid w:val="00D345BE"/>
    <w:rsid w:val="00D411DD"/>
    <w:rsid w:val="00D43B30"/>
    <w:rsid w:val="00D43D83"/>
    <w:rsid w:val="00D47F6B"/>
    <w:rsid w:val="00D50004"/>
    <w:rsid w:val="00D553BA"/>
    <w:rsid w:val="00D579AF"/>
    <w:rsid w:val="00D60CFF"/>
    <w:rsid w:val="00D61848"/>
    <w:rsid w:val="00D64F99"/>
    <w:rsid w:val="00D66D5B"/>
    <w:rsid w:val="00D712F5"/>
    <w:rsid w:val="00D716B3"/>
    <w:rsid w:val="00D71EBE"/>
    <w:rsid w:val="00D724E1"/>
    <w:rsid w:val="00D72B49"/>
    <w:rsid w:val="00D73E0A"/>
    <w:rsid w:val="00D75508"/>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0B10"/>
    <w:rsid w:val="00DE1E8B"/>
    <w:rsid w:val="00DE25BC"/>
    <w:rsid w:val="00DE3603"/>
    <w:rsid w:val="00DE602E"/>
    <w:rsid w:val="00DE63E1"/>
    <w:rsid w:val="00DF11DE"/>
    <w:rsid w:val="00DF3B0B"/>
    <w:rsid w:val="00DF5EC7"/>
    <w:rsid w:val="00DF66CE"/>
    <w:rsid w:val="00DF7010"/>
    <w:rsid w:val="00E00AF3"/>
    <w:rsid w:val="00E03AE3"/>
    <w:rsid w:val="00E03F0C"/>
    <w:rsid w:val="00E11B6E"/>
    <w:rsid w:val="00E16CCE"/>
    <w:rsid w:val="00E17D97"/>
    <w:rsid w:val="00E23363"/>
    <w:rsid w:val="00E24348"/>
    <w:rsid w:val="00E26AC3"/>
    <w:rsid w:val="00E270DB"/>
    <w:rsid w:val="00E27C89"/>
    <w:rsid w:val="00E30657"/>
    <w:rsid w:val="00E3203C"/>
    <w:rsid w:val="00E325ED"/>
    <w:rsid w:val="00E32B9F"/>
    <w:rsid w:val="00E3552D"/>
    <w:rsid w:val="00E36492"/>
    <w:rsid w:val="00E41BD3"/>
    <w:rsid w:val="00E42C96"/>
    <w:rsid w:val="00E4450D"/>
    <w:rsid w:val="00E47A23"/>
    <w:rsid w:val="00E532E4"/>
    <w:rsid w:val="00E53692"/>
    <w:rsid w:val="00E604D8"/>
    <w:rsid w:val="00E6066D"/>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3EB5"/>
    <w:rsid w:val="00E85B8A"/>
    <w:rsid w:val="00E86826"/>
    <w:rsid w:val="00E9627C"/>
    <w:rsid w:val="00E96F9A"/>
    <w:rsid w:val="00E97FD0"/>
    <w:rsid w:val="00EA2C5C"/>
    <w:rsid w:val="00EA33AE"/>
    <w:rsid w:val="00EA33E9"/>
    <w:rsid w:val="00EA3C8D"/>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F0690"/>
    <w:rsid w:val="00EF2F8A"/>
    <w:rsid w:val="00EF339F"/>
    <w:rsid w:val="00EF3C4A"/>
    <w:rsid w:val="00F01C15"/>
    <w:rsid w:val="00F028DD"/>
    <w:rsid w:val="00F06C27"/>
    <w:rsid w:val="00F07192"/>
    <w:rsid w:val="00F11C94"/>
    <w:rsid w:val="00F127CF"/>
    <w:rsid w:val="00F13247"/>
    <w:rsid w:val="00F14B62"/>
    <w:rsid w:val="00F14C75"/>
    <w:rsid w:val="00F20861"/>
    <w:rsid w:val="00F213A8"/>
    <w:rsid w:val="00F22BD8"/>
    <w:rsid w:val="00F23710"/>
    <w:rsid w:val="00F25D58"/>
    <w:rsid w:val="00F260E0"/>
    <w:rsid w:val="00F3007D"/>
    <w:rsid w:val="00F36644"/>
    <w:rsid w:val="00F377B5"/>
    <w:rsid w:val="00F37ED3"/>
    <w:rsid w:val="00F42529"/>
    <w:rsid w:val="00F4555D"/>
    <w:rsid w:val="00F504FF"/>
    <w:rsid w:val="00F527AA"/>
    <w:rsid w:val="00F547CD"/>
    <w:rsid w:val="00F60E97"/>
    <w:rsid w:val="00F60F5A"/>
    <w:rsid w:val="00F61F40"/>
    <w:rsid w:val="00F631D4"/>
    <w:rsid w:val="00F730A1"/>
    <w:rsid w:val="00F73E0D"/>
    <w:rsid w:val="00F816A7"/>
    <w:rsid w:val="00F81CF5"/>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A30A2"/>
    <w:rsid w:val="00FA4639"/>
    <w:rsid w:val="00FB19D9"/>
    <w:rsid w:val="00FB3532"/>
    <w:rsid w:val="00FB7B52"/>
    <w:rsid w:val="00FC4032"/>
    <w:rsid w:val="00FC4949"/>
    <w:rsid w:val="00FC5822"/>
    <w:rsid w:val="00FC596F"/>
    <w:rsid w:val="00FC7B99"/>
    <w:rsid w:val="00FD130F"/>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3F5"/>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32490096">
      <w:bodyDiv w:val="1"/>
      <w:marLeft w:val="0"/>
      <w:marRight w:val="0"/>
      <w:marTop w:val="0"/>
      <w:marBottom w:val="0"/>
      <w:divBdr>
        <w:top w:val="none" w:sz="0" w:space="0" w:color="auto"/>
        <w:left w:val="none" w:sz="0" w:space="0" w:color="auto"/>
        <w:bottom w:val="none" w:sz="0" w:space="0" w:color="auto"/>
        <w:right w:val="none" w:sz="0" w:space="0" w:color="auto"/>
      </w:divBdr>
      <w:divsChild>
        <w:div w:id="369230345">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914948">
      <w:bodyDiv w:val="1"/>
      <w:marLeft w:val="0"/>
      <w:marRight w:val="0"/>
      <w:marTop w:val="0"/>
      <w:marBottom w:val="0"/>
      <w:divBdr>
        <w:top w:val="none" w:sz="0" w:space="0" w:color="auto"/>
        <w:left w:val="none" w:sz="0" w:space="0" w:color="auto"/>
        <w:bottom w:val="none" w:sz="0" w:space="0" w:color="auto"/>
        <w:right w:val="none" w:sz="0" w:space="0" w:color="auto"/>
      </w:divBdr>
      <w:divsChild>
        <w:div w:id="1409569428">
          <w:marLeft w:val="0"/>
          <w:marRight w:val="0"/>
          <w:marTop w:val="0"/>
          <w:marBottom w:val="0"/>
          <w:divBdr>
            <w:top w:val="none" w:sz="0" w:space="0" w:color="auto"/>
            <w:left w:val="none" w:sz="0" w:space="0" w:color="auto"/>
            <w:bottom w:val="none" w:sz="0" w:space="0" w:color="auto"/>
            <w:right w:val="none" w:sz="0" w:space="0" w:color="auto"/>
          </w:divBdr>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11969410">
      <w:bodyDiv w:val="1"/>
      <w:marLeft w:val="0"/>
      <w:marRight w:val="0"/>
      <w:marTop w:val="0"/>
      <w:marBottom w:val="0"/>
      <w:divBdr>
        <w:top w:val="none" w:sz="0" w:space="0" w:color="auto"/>
        <w:left w:val="none" w:sz="0" w:space="0" w:color="auto"/>
        <w:bottom w:val="none" w:sz="0" w:space="0" w:color="auto"/>
        <w:right w:val="none" w:sz="0" w:space="0" w:color="auto"/>
      </w:divBdr>
      <w:divsChild>
        <w:div w:id="1805386480">
          <w:marLeft w:val="0"/>
          <w:marRight w:val="0"/>
          <w:marTop w:val="0"/>
          <w:marBottom w:val="0"/>
          <w:divBdr>
            <w:top w:val="none" w:sz="0" w:space="0" w:color="auto"/>
            <w:left w:val="none" w:sz="0" w:space="0" w:color="auto"/>
            <w:bottom w:val="none" w:sz="0" w:space="0" w:color="auto"/>
            <w:right w:val="none" w:sz="0" w:space="0" w:color="auto"/>
          </w:divBdr>
        </w:div>
      </w:divsChild>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69350">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69684953">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47941617">
      <w:bodyDiv w:val="1"/>
      <w:marLeft w:val="0"/>
      <w:marRight w:val="0"/>
      <w:marTop w:val="0"/>
      <w:marBottom w:val="0"/>
      <w:divBdr>
        <w:top w:val="none" w:sz="0" w:space="0" w:color="auto"/>
        <w:left w:val="none" w:sz="0" w:space="0" w:color="auto"/>
        <w:bottom w:val="none" w:sz="0" w:space="0" w:color="auto"/>
        <w:right w:val="none" w:sz="0" w:space="0" w:color="auto"/>
      </w:divBdr>
      <w:divsChild>
        <w:div w:id="15257582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igassatiksme.lv"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is.gov.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F4D96-FD96-412B-81A1-3C05D6F31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19359</Words>
  <Characters>11035</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30334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4</cp:revision>
  <cp:lastPrinted>2021-09-09T02:05:00Z</cp:lastPrinted>
  <dcterms:created xsi:type="dcterms:W3CDTF">2026-07-24T05:59:00Z</dcterms:created>
  <dcterms:modified xsi:type="dcterms:W3CDTF">2026-07-24T06:00:00Z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