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1783E" w14:textId="77777777" w:rsidR="00933E6C" w:rsidRPr="005A4B67" w:rsidRDefault="00933E6C" w:rsidP="005A4B67">
      <w:pPr>
        <w:ind w:right="372"/>
        <w:jc w:val="both"/>
        <w:rPr>
          <w:lang w:val="lv-LV"/>
        </w:rPr>
      </w:pPr>
    </w:p>
    <w:p w14:paraId="7F68ABD8" w14:textId="77777777" w:rsidR="005A4B67" w:rsidRPr="005A4B67" w:rsidRDefault="00933E6C" w:rsidP="005A4B67">
      <w:pPr>
        <w:ind w:right="372"/>
        <w:jc w:val="both"/>
        <w:rPr>
          <w:bCs/>
          <w:i/>
          <w:iCs/>
          <w:lang w:val="lv-LV"/>
        </w:rPr>
      </w:pPr>
      <w:r w:rsidRPr="005A4B67">
        <w:rPr>
          <w:bCs/>
          <w:i/>
          <w:iCs/>
          <w:color w:val="000000"/>
          <w:lang w:val="lv-LV"/>
        </w:rPr>
        <w:t>Par i</w:t>
      </w:r>
      <w:r w:rsidRPr="005A4B67">
        <w:rPr>
          <w:bCs/>
          <w:i/>
          <w:iCs/>
          <w:lang w:val="lv-LV"/>
        </w:rPr>
        <w:t xml:space="preserve">epirkuma procedūras </w:t>
      </w:r>
    </w:p>
    <w:p w14:paraId="4F5C0571" w14:textId="625559F3" w:rsidR="00933E6C" w:rsidRPr="005A4B67" w:rsidRDefault="00933E6C" w:rsidP="005A4B67">
      <w:pPr>
        <w:ind w:right="372"/>
        <w:jc w:val="both"/>
        <w:rPr>
          <w:bCs/>
          <w:i/>
          <w:iCs/>
          <w:sz w:val="22"/>
          <w:szCs w:val="22"/>
          <w:lang w:val="lv-LV" w:eastAsia="lv-LV"/>
        </w:rPr>
      </w:pPr>
      <w:r w:rsidRPr="005A4B67">
        <w:rPr>
          <w:bCs/>
          <w:i/>
          <w:iCs/>
          <w:lang w:val="lv-LV"/>
        </w:rPr>
        <w:t>“</w:t>
      </w:r>
      <w:bookmarkStart w:id="0" w:name="_Hlk92271110"/>
      <w:r w:rsidRPr="005A4B67">
        <w:rPr>
          <w:bCs/>
          <w:i/>
          <w:iCs/>
          <w:lang w:val="lv-LV"/>
        </w:rPr>
        <w:t>Tiesības noslēgt vispārīgo</w:t>
      </w:r>
    </w:p>
    <w:p w14:paraId="1849AD86" w14:textId="77777777" w:rsidR="00933E6C" w:rsidRPr="005A4B67" w:rsidRDefault="00933E6C" w:rsidP="005A4B67">
      <w:pPr>
        <w:ind w:right="372"/>
        <w:jc w:val="both"/>
        <w:rPr>
          <w:bCs/>
          <w:i/>
          <w:iCs/>
          <w:lang w:val="lv-LV"/>
        </w:rPr>
      </w:pPr>
      <w:r w:rsidRPr="005A4B67">
        <w:rPr>
          <w:bCs/>
          <w:i/>
          <w:iCs/>
          <w:lang w:val="lv-LV"/>
        </w:rPr>
        <w:t>vienošanos par SARS</w:t>
      </w:r>
      <w:r w:rsidRPr="005A4B67">
        <w:rPr>
          <w:bCs/>
          <w:i/>
          <w:iCs/>
          <w:lang w:val="lv-LV"/>
        </w:rPr>
        <w:noBreakHyphen/>
        <w:t>CoV</w:t>
      </w:r>
      <w:r w:rsidRPr="005A4B67">
        <w:rPr>
          <w:bCs/>
          <w:i/>
          <w:iCs/>
          <w:lang w:val="lv-LV"/>
        </w:rPr>
        <w:noBreakHyphen/>
        <w:t>2 (Covid-19) ātro antigēnu</w:t>
      </w:r>
    </w:p>
    <w:p w14:paraId="6513A17A" w14:textId="77777777" w:rsidR="00776B70" w:rsidRDefault="00933E6C" w:rsidP="005A4B67">
      <w:pPr>
        <w:ind w:right="372"/>
        <w:jc w:val="both"/>
        <w:rPr>
          <w:bCs/>
          <w:i/>
          <w:iCs/>
          <w:lang w:val="lv-LV"/>
        </w:rPr>
      </w:pPr>
      <w:r w:rsidRPr="005A4B67">
        <w:rPr>
          <w:bCs/>
          <w:i/>
          <w:iCs/>
          <w:lang w:val="lv-LV"/>
        </w:rPr>
        <w:t>noteikšanas paštestu p</w:t>
      </w:r>
      <w:bookmarkEnd w:id="0"/>
      <w:r w:rsidRPr="005A4B67">
        <w:rPr>
          <w:bCs/>
          <w:i/>
          <w:iCs/>
          <w:lang w:val="lv-LV"/>
        </w:rPr>
        <w:t>iegādi</w:t>
      </w:r>
      <w:r w:rsidR="005A4B67">
        <w:rPr>
          <w:bCs/>
          <w:i/>
          <w:iCs/>
          <w:lang w:val="lv-LV"/>
        </w:rPr>
        <w:t xml:space="preserve">” </w:t>
      </w:r>
      <w:r w:rsidR="00776B70">
        <w:rPr>
          <w:bCs/>
          <w:i/>
          <w:iCs/>
          <w:lang w:val="lv-LV"/>
        </w:rPr>
        <w:t>nolikuma prasībām</w:t>
      </w:r>
    </w:p>
    <w:p w14:paraId="5D92AF9D" w14:textId="4AACDFD4" w:rsidR="00933E6C" w:rsidRPr="005A4B67" w:rsidRDefault="005A4B67" w:rsidP="005A4B67">
      <w:pPr>
        <w:ind w:right="372"/>
        <w:jc w:val="both"/>
        <w:rPr>
          <w:bCs/>
          <w:i/>
          <w:iCs/>
          <w:lang w:val="lv-LV"/>
        </w:rPr>
      </w:pPr>
      <w:bookmarkStart w:id="1" w:name="_GoBack"/>
      <w:bookmarkEnd w:id="1"/>
      <w:r>
        <w:rPr>
          <w:bCs/>
          <w:i/>
          <w:iCs/>
          <w:lang w:val="lv-LV"/>
        </w:rPr>
        <w:t>(ID</w:t>
      </w:r>
      <w:r w:rsidR="00933E6C" w:rsidRPr="005A4B67">
        <w:rPr>
          <w:i/>
          <w:iCs/>
          <w:lang w:val="lv-LV"/>
        </w:rPr>
        <w:t xml:space="preserve"> Nr. RS/2022/2</w:t>
      </w:r>
      <w:r>
        <w:rPr>
          <w:i/>
          <w:iCs/>
          <w:lang w:val="lv-LV"/>
        </w:rPr>
        <w:t>)</w:t>
      </w:r>
    </w:p>
    <w:p w14:paraId="5F68143E" w14:textId="77777777" w:rsidR="00933E6C" w:rsidRPr="005A4B67" w:rsidRDefault="00933E6C" w:rsidP="005A4B67">
      <w:pPr>
        <w:pStyle w:val="Caption"/>
        <w:ind w:right="372"/>
        <w:jc w:val="both"/>
        <w:rPr>
          <w:color w:val="000000"/>
          <w:sz w:val="24"/>
          <w:szCs w:val="24"/>
        </w:rPr>
      </w:pPr>
    </w:p>
    <w:p w14:paraId="36DD722E" w14:textId="64682044" w:rsidR="00933E6C" w:rsidRDefault="00933E6C" w:rsidP="005A4B67">
      <w:pPr>
        <w:ind w:right="372" w:firstLine="720"/>
        <w:jc w:val="both"/>
        <w:rPr>
          <w:color w:val="000000"/>
          <w:lang w:val="lv-LV"/>
        </w:rPr>
      </w:pPr>
      <w:r w:rsidRPr="005A4B67">
        <w:rPr>
          <w:color w:val="000000"/>
          <w:lang w:val="lv-LV"/>
        </w:rPr>
        <w:t>Rīgas pašvaldības sabiedrības ar ierobežotu atbildību „Rīgas satiksme” Iepirkuma komisija (turpmāk – Komisija) no iespējamā pretendenta ir saņēmusi vēstuli ar lūgumu sniegt skaidrojumu par iepirkuma procedūrā ietvertajām prasībām.</w:t>
      </w:r>
    </w:p>
    <w:p w14:paraId="09AAB93B" w14:textId="77777777" w:rsidR="005A4B67" w:rsidRPr="005A4B67" w:rsidRDefault="005A4B67" w:rsidP="005A4B67">
      <w:pPr>
        <w:ind w:right="372" w:firstLine="720"/>
        <w:jc w:val="both"/>
        <w:rPr>
          <w:color w:val="000000"/>
          <w:lang w:val="lv-LV"/>
        </w:rPr>
      </w:pPr>
    </w:p>
    <w:p w14:paraId="68721883" w14:textId="77777777" w:rsidR="00933E6C" w:rsidRPr="005A4B67" w:rsidRDefault="00933E6C" w:rsidP="005A4B67">
      <w:pPr>
        <w:ind w:right="372"/>
        <w:jc w:val="both"/>
        <w:rPr>
          <w:b/>
          <w:bCs/>
          <w:lang w:val="lv-LV"/>
        </w:rPr>
      </w:pPr>
      <w:r w:rsidRPr="005A4B67">
        <w:rPr>
          <w:b/>
          <w:bCs/>
          <w:lang w:val="lv-LV"/>
        </w:rPr>
        <w:t>Jautājums :</w:t>
      </w:r>
    </w:p>
    <w:p w14:paraId="7C235691" w14:textId="77777777" w:rsidR="00933E6C" w:rsidRPr="005A4B67" w:rsidRDefault="00933E6C" w:rsidP="005A4B67">
      <w:pPr>
        <w:ind w:right="372"/>
        <w:jc w:val="both"/>
        <w:rPr>
          <w:lang w:val="lv-LV"/>
        </w:rPr>
      </w:pPr>
      <w:r w:rsidRPr="005A4B67">
        <w:rPr>
          <w:i/>
          <w:iCs/>
          <w:u w:val="single"/>
          <w:lang w:val="lv-LV"/>
        </w:rPr>
        <w:t xml:space="preserve">“Atlikušais testu derīguma termiņš nav mazāks par 12 mēnešiem kopš piegādes Pasūtītāja noliktavā. </w:t>
      </w:r>
    </w:p>
    <w:p w14:paraId="72BCF7FA" w14:textId="4F5B2594" w:rsidR="00933E6C" w:rsidRPr="005A4B67" w:rsidRDefault="00933E6C" w:rsidP="005A4B67">
      <w:pPr>
        <w:ind w:right="372"/>
        <w:jc w:val="both"/>
        <w:rPr>
          <w:rFonts w:eastAsiaTheme="minorHAnsi"/>
          <w:lang w:val="lv-LV"/>
        </w:rPr>
      </w:pPr>
      <w:r w:rsidRPr="005A4B67">
        <w:rPr>
          <w:lang w:val="lv-LV"/>
        </w:rPr>
        <w:t>Covid-19 testu ražotāji saviem paštestiem dod garantiju 12 (divpadsmit) mēneši kopš ražošanas brīža. Tirgū ir tikai pāris ražotāji, kas saviem paštestiem dod garantiju 18 (astoņpadsmit) mēneši kopš ražošanas brīža. Lūdzu pārskatīt nolikumu un neierobežot konkurences tiesības. Kā piemēru varu minēt Valsts paštestu iepirkumu, kurā testu derīguma termiņam bija jābūt  9 (deviņi) mēneši kopš piegādes brīža.</w:t>
      </w:r>
    </w:p>
    <w:p w14:paraId="56822309" w14:textId="77777777" w:rsidR="00933E6C" w:rsidRPr="005A4B67" w:rsidRDefault="00933E6C" w:rsidP="005A4B67">
      <w:pPr>
        <w:ind w:right="372"/>
        <w:jc w:val="both"/>
        <w:rPr>
          <w:rFonts w:ascii="Calibri" w:hAnsi="Calibri" w:cs="Calibri"/>
          <w:sz w:val="22"/>
          <w:szCs w:val="22"/>
          <w:lang w:val="lv-LV"/>
        </w:rPr>
      </w:pPr>
    </w:p>
    <w:p w14:paraId="5986FBCA" w14:textId="77777777" w:rsidR="00933E6C" w:rsidRPr="005A4B67" w:rsidRDefault="00933E6C" w:rsidP="005A4B67">
      <w:pPr>
        <w:ind w:right="372"/>
        <w:jc w:val="both"/>
        <w:rPr>
          <w:b/>
          <w:bCs/>
          <w:lang w:val="lv-LV"/>
        </w:rPr>
      </w:pPr>
      <w:r w:rsidRPr="005A4B67">
        <w:rPr>
          <w:b/>
          <w:bCs/>
          <w:lang w:val="lv-LV"/>
        </w:rPr>
        <w:t>Atbilde:</w:t>
      </w:r>
    </w:p>
    <w:p w14:paraId="2A766753" w14:textId="614F3B5F" w:rsidR="00933E6C" w:rsidRPr="005A4B67" w:rsidRDefault="00933E6C" w:rsidP="005A4B67">
      <w:pPr>
        <w:ind w:right="372"/>
        <w:jc w:val="both"/>
        <w:rPr>
          <w:lang w:val="lv-LV"/>
        </w:rPr>
      </w:pPr>
      <w:r w:rsidRPr="005A4B67">
        <w:rPr>
          <w:lang w:val="lv-LV"/>
        </w:rPr>
        <w:t>Vispārīgā vienošanas paredzētais termiņš ir viens gads no tās noslēgšanas dienas. Pārbaudot tirgū esošos iespējamos testu ekvivalentus, Pasūtītājs konstatēja, ka pārsvarā testu ražotāji derīguma termiņu paredz 24 mēnešus no testa ražošanas dienas. Tā kā Pasūtītājs vēl</w:t>
      </w:r>
      <w:r w:rsidR="005A4B67">
        <w:rPr>
          <w:lang w:val="lv-LV"/>
        </w:rPr>
        <w:t>a</w:t>
      </w:r>
      <w:r w:rsidRPr="005A4B67">
        <w:rPr>
          <w:lang w:val="lv-LV"/>
        </w:rPr>
        <w:t>s būt pārliecinātam, ka vispārīgās vienošanas darbības laikā piegādātie testi būs derīgi, un noteiktais derīguma termiņš pārlieki neierobežo konkurenci, Pasūtītājs ir noteicis 12 mēnešu testu derīguma termiņu kopš piegādes Pasūtītāja noliktavā. Papildus informējam, ka Pasūtītājs ir tiesīgs paredzēt augstākās kvalitātes prasības, nekā vispārīgi tirgū ir pieņemts.</w:t>
      </w:r>
    </w:p>
    <w:p w14:paraId="1B66A70F" w14:textId="77777777" w:rsidR="00933E6C" w:rsidRPr="005A4B67" w:rsidRDefault="00933E6C" w:rsidP="005A4B67">
      <w:pPr>
        <w:ind w:right="372"/>
        <w:jc w:val="both"/>
        <w:rPr>
          <w:rFonts w:ascii="Calibri" w:hAnsi="Calibri" w:cs="Calibri"/>
          <w:sz w:val="22"/>
          <w:szCs w:val="22"/>
          <w:lang w:val="lv-LV"/>
        </w:rPr>
      </w:pPr>
    </w:p>
    <w:p w14:paraId="4C239E00" w14:textId="77777777" w:rsidR="00933E6C" w:rsidRPr="005A4B67" w:rsidRDefault="00933E6C" w:rsidP="005A4B67">
      <w:pPr>
        <w:ind w:right="372"/>
        <w:jc w:val="both"/>
        <w:rPr>
          <w:b/>
          <w:bCs/>
          <w:lang w:val="lv-LV"/>
        </w:rPr>
      </w:pPr>
      <w:r w:rsidRPr="005A4B67">
        <w:rPr>
          <w:b/>
          <w:bCs/>
          <w:lang w:val="lv-LV"/>
        </w:rPr>
        <w:t xml:space="preserve">Jautājums: </w:t>
      </w:r>
    </w:p>
    <w:p w14:paraId="4C7CEED9" w14:textId="37A58F3E" w:rsidR="00933E6C" w:rsidRPr="005A4B67" w:rsidRDefault="00933E6C" w:rsidP="005A4B67">
      <w:pPr>
        <w:pStyle w:val="BodyText2"/>
        <w:ind w:right="372"/>
        <w:rPr>
          <w:rFonts w:ascii="Times New Roman" w:hAnsi="Times New Roman" w:cs="Times New Roman"/>
        </w:rPr>
      </w:pPr>
      <w:r w:rsidRPr="005A4B67">
        <w:rPr>
          <w:rFonts w:ascii="Times New Roman" w:hAnsi="Times New Roman" w:cs="Times New Roman"/>
        </w:rPr>
        <w:t xml:space="preserve">Vai, lūdzu, varētu paskaidrot šo punktu? Mūsu apliecinājums vajadzīgs, vai ražotāja? </w:t>
      </w:r>
    </w:p>
    <w:p w14:paraId="6FE3C96E" w14:textId="77777777" w:rsidR="00933E6C" w:rsidRPr="005A4B67" w:rsidRDefault="00933E6C" w:rsidP="005A4B67">
      <w:pPr>
        <w:ind w:right="372"/>
        <w:jc w:val="both"/>
        <w:rPr>
          <w:u w:val="single"/>
          <w:lang w:val="lv-LV"/>
        </w:rPr>
      </w:pPr>
      <w:r w:rsidRPr="005A4B67">
        <w:rPr>
          <w:u w:val="single"/>
          <w:lang w:val="lv-LV"/>
        </w:rPr>
        <w:t xml:space="preserve">17.2.5 Pretendents iesniedz  apliecinājumu, ka piedāvātajām Precēm ir legāla izcelsme. </w:t>
      </w:r>
    </w:p>
    <w:p w14:paraId="10B36F8F" w14:textId="77777777" w:rsidR="00933E6C" w:rsidRPr="005A4B67" w:rsidRDefault="00933E6C" w:rsidP="005A4B67">
      <w:pPr>
        <w:ind w:right="372"/>
        <w:jc w:val="both"/>
        <w:rPr>
          <w:lang w:val="lv-LV"/>
        </w:rPr>
      </w:pPr>
      <w:r w:rsidRPr="005A4B67">
        <w:rPr>
          <w:lang w:val="lv-LV"/>
        </w:rPr>
        <w:t xml:space="preserve">  </w:t>
      </w:r>
    </w:p>
    <w:p w14:paraId="4ECB7852" w14:textId="77777777" w:rsidR="00933E6C" w:rsidRPr="005A4B67" w:rsidRDefault="00933E6C" w:rsidP="005A4B67">
      <w:pPr>
        <w:ind w:right="372"/>
        <w:jc w:val="both"/>
        <w:rPr>
          <w:b/>
          <w:bCs/>
          <w:lang w:val="lv-LV"/>
        </w:rPr>
      </w:pPr>
      <w:r w:rsidRPr="005A4B67">
        <w:rPr>
          <w:b/>
          <w:bCs/>
          <w:lang w:val="lv-LV"/>
        </w:rPr>
        <w:t>Atbilde:</w:t>
      </w:r>
    </w:p>
    <w:p w14:paraId="179A7386" w14:textId="65750E4B" w:rsidR="00933E6C" w:rsidRDefault="00933E6C" w:rsidP="005A4B67">
      <w:pPr>
        <w:ind w:right="372"/>
        <w:jc w:val="both"/>
        <w:rPr>
          <w:lang w:val="lv-LV"/>
        </w:rPr>
      </w:pPr>
      <w:r w:rsidRPr="005A4B67">
        <w:rPr>
          <w:lang w:val="lv-LV"/>
        </w:rPr>
        <w:t>Lai Pasūtītājs varētu pārbaudīt preces legālo izcelsmi, lūdzam iesniegt preces Eiropas Savienības atbilstības deklarāciju (EU declaration of conformity).</w:t>
      </w:r>
    </w:p>
    <w:p w14:paraId="56B24C1B" w14:textId="111E8120" w:rsidR="005A4B67" w:rsidRDefault="005A4B67" w:rsidP="005A4B67">
      <w:pPr>
        <w:ind w:right="372"/>
        <w:jc w:val="both"/>
        <w:rPr>
          <w:lang w:val="lv-LV"/>
        </w:rPr>
      </w:pPr>
    </w:p>
    <w:p w14:paraId="5A4C6FE1" w14:textId="416D00FA" w:rsidR="005A4B67" w:rsidRDefault="005A4B67" w:rsidP="005A4B67">
      <w:pPr>
        <w:ind w:right="372"/>
        <w:jc w:val="both"/>
        <w:rPr>
          <w:lang w:val="lv-LV"/>
        </w:rPr>
      </w:pPr>
    </w:p>
    <w:p w14:paraId="0DCB426D" w14:textId="2FB981C5" w:rsidR="005A4B67" w:rsidRPr="005A4B67" w:rsidRDefault="005A4B67" w:rsidP="005A4B67">
      <w:pPr>
        <w:ind w:right="372"/>
        <w:jc w:val="both"/>
        <w:rPr>
          <w:lang w:val="lv-LV"/>
        </w:rPr>
      </w:pPr>
      <w:r>
        <w:rPr>
          <w:lang w:val="lv-LV"/>
        </w:rPr>
        <w:t xml:space="preserve">Iepirkumu komisijas priekšsēdētāja </w:t>
      </w:r>
      <w:r>
        <w:rPr>
          <w:lang w:val="lv-LV"/>
        </w:rPr>
        <w:tab/>
      </w:r>
      <w:r>
        <w:rPr>
          <w:lang w:val="lv-LV"/>
        </w:rPr>
        <w:tab/>
      </w:r>
      <w:r>
        <w:rPr>
          <w:lang w:val="lv-LV"/>
        </w:rPr>
        <w:tab/>
      </w:r>
      <w:r>
        <w:rPr>
          <w:lang w:val="lv-LV"/>
        </w:rPr>
        <w:tab/>
        <w:t>K.Meiberga</w:t>
      </w:r>
    </w:p>
    <w:sectPr w:rsidR="005A4B67" w:rsidRPr="005A4B67" w:rsidSect="009B03BA">
      <w:headerReference w:type="even" r:id="rId11"/>
      <w:headerReference w:type="default" r:id="rId12"/>
      <w:footerReference w:type="even" r:id="rId13"/>
      <w:footerReference w:type="default" r:id="rId14"/>
      <w:headerReference w:type="first" r:id="rId15"/>
      <w:footerReference w:type="first" r:id="rId16"/>
      <w:pgSz w:w="11900" w:h="16840" w:code="9"/>
      <w:pgMar w:top="1134" w:right="567" w:bottom="1134"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73E56" w14:textId="77777777" w:rsidR="00DE6FD5" w:rsidRDefault="00DE6FD5">
      <w:r>
        <w:separator/>
      </w:r>
    </w:p>
  </w:endnote>
  <w:endnote w:type="continuationSeparator" w:id="0">
    <w:p w14:paraId="61073E57" w14:textId="77777777" w:rsidR="00DE6FD5" w:rsidRDefault="00DE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Belwe Lt TL">
    <w:altName w:val="Cambria"/>
    <w:panose1 w:val="02060302050305020504"/>
    <w:charset w:val="BA"/>
    <w:family w:val="roman"/>
    <w:pitch w:val="variable"/>
    <w:sig w:usb0="800002AF"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73E54" w14:textId="77777777" w:rsidR="00DE6FD5" w:rsidRDefault="00DE6FD5">
      <w:r>
        <w:separator/>
      </w:r>
    </w:p>
  </w:footnote>
  <w:footnote w:type="continuationSeparator" w:id="0">
    <w:p w14:paraId="61073E55" w14:textId="77777777" w:rsidR="00DE6FD5" w:rsidRDefault="00DE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35C2043B"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52E0544D" w:rsidR="001B6FD9" w:rsidRDefault="001D644D" w:rsidP="00477D5C">
    <w:pPr>
      <w:pStyle w:val="Header"/>
      <w:tabs>
        <w:tab w:val="left" w:pos="426"/>
        <w:tab w:val="left" w:pos="1418"/>
      </w:tabs>
      <w:jc w:val="both"/>
    </w:pPr>
    <w:bookmarkStart w:id="2" w:name="docDate"/>
    <w:bookmarkStart w:id="3" w:name="docNr"/>
    <w:bookmarkEnd w:id="2"/>
    <w:bookmarkEnd w:id="3"/>
    <w:r>
      <w:t>02.02.2022.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3DA3"/>
    <w:rsid w:val="0004286D"/>
    <w:rsid w:val="000525F0"/>
    <w:rsid w:val="000E1AA8"/>
    <w:rsid w:val="00127A43"/>
    <w:rsid w:val="001528CE"/>
    <w:rsid w:val="001A6A27"/>
    <w:rsid w:val="001B000D"/>
    <w:rsid w:val="001B6FD9"/>
    <w:rsid w:val="001D644D"/>
    <w:rsid w:val="001E07DA"/>
    <w:rsid w:val="00233FCE"/>
    <w:rsid w:val="002E786C"/>
    <w:rsid w:val="00325A6F"/>
    <w:rsid w:val="00337403"/>
    <w:rsid w:val="0034617A"/>
    <w:rsid w:val="003546BF"/>
    <w:rsid w:val="00384C24"/>
    <w:rsid w:val="003877B2"/>
    <w:rsid w:val="003A76FA"/>
    <w:rsid w:val="00433E36"/>
    <w:rsid w:val="00446224"/>
    <w:rsid w:val="00454D63"/>
    <w:rsid w:val="00477D5C"/>
    <w:rsid w:val="00495061"/>
    <w:rsid w:val="004A0D6C"/>
    <w:rsid w:val="004C2F01"/>
    <w:rsid w:val="004F581B"/>
    <w:rsid w:val="0054525F"/>
    <w:rsid w:val="005A4B67"/>
    <w:rsid w:val="005D3F37"/>
    <w:rsid w:val="0060383F"/>
    <w:rsid w:val="00605FE2"/>
    <w:rsid w:val="006339F1"/>
    <w:rsid w:val="006874A7"/>
    <w:rsid w:val="006A672C"/>
    <w:rsid w:val="00712459"/>
    <w:rsid w:val="00756CAE"/>
    <w:rsid w:val="00776B70"/>
    <w:rsid w:val="007875D1"/>
    <w:rsid w:val="007A34BE"/>
    <w:rsid w:val="007D62F7"/>
    <w:rsid w:val="007E4429"/>
    <w:rsid w:val="00830454"/>
    <w:rsid w:val="008533C8"/>
    <w:rsid w:val="008C4EFF"/>
    <w:rsid w:val="008E4C93"/>
    <w:rsid w:val="008F37EE"/>
    <w:rsid w:val="00904B48"/>
    <w:rsid w:val="00933E6C"/>
    <w:rsid w:val="009B03BA"/>
    <w:rsid w:val="009C6D69"/>
    <w:rsid w:val="00A075D3"/>
    <w:rsid w:val="00A3285A"/>
    <w:rsid w:val="00A52673"/>
    <w:rsid w:val="00A555AB"/>
    <w:rsid w:val="00A55640"/>
    <w:rsid w:val="00A90154"/>
    <w:rsid w:val="00AA0E4F"/>
    <w:rsid w:val="00AB152E"/>
    <w:rsid w:val="00AD6993"/>
    <w:rsid w:val="00B120E3"/>
    <w:rsid w:val="00B17037"/>
    <w:rsid w:val="00B67B48"/>
    <w:rsid w:val="00BD7480"/>
    <w:rsid w:val="00BE690F"/>
    <w:rsid w:val="00BF7D80"/>
    <w:rsid w:val="00C234E1"/>
    <w:rsid w:val="00C950CD"/>
    <w:rsid w:val="00CA73ED"/>
    <w:rsid w:val="00D34A5D"/>
    <w:rsid w:val="00D43D83"/>
    <w:rsid w:val="00D61627"/>
    <w:rsid w:val="00D81F1C"/>
    <w:rsid w:val="00D86507"/>
    <w:rsid w:val="00DB6249"/>
    <w:rsid w:val="00DE6FD5"/>
    <w:rsid w:val="00EB089E"/>
    <w:rsid w:val="00F01C15"/>
    <w:rsid w:val="00F213A8"/>
    <w:rsid w:val="00F631D4"/>
    <w:rsid w:val="00FA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99"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uiPriority="99"/>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semiHidden/>
    <w:unhideWhenUsed/>
    <w:qFormat/>
    <w:locked/>
    <w:rsid w:val="00933E6C"/>
    <w:pPr>
      <w:jc w:val="center"/>
    </w:pPr>
    <w:rPr>
      <w:b/>
      <w:sz w:val="28"/>
      <w:szCs w:val="20"/>
      <w:lang w:val="lv-LV"/>
    </w:rPr>
  </w:style>
  <w:style w:type="paragraph" w:styleId="BodyText2">
    <w:name w:val="Body Text 2"/>
    <w:basedOn w:val="Normal"/>
    <w:link w:val="BodyText2Char"/>
    <w:uiPriority w:val="99"/>
    <w:unhideWhenUsed/>
    <w:locked/>
    <w:rsid w:val="00933E6C"/>
    <w:pPr>
      <w:jc w:val="both"/>
    </w:pPr>
    <w:rPr>
      <w:rFonts w:ascii="Belwe Lt TL" w:eastAsiaTheme="minorHAnsi" w:hAnsi="Belwe Lt TL" w:cs="Calibri"/>
      <w:lang w:val="lv-LV"/>
    </w:rPr>
  </w:style>
  <w:style w:type="character" w:customStyle="1" w:styleId="BodyText2Char">
    <w:name w:val="Body Text 2 Char"/>
    <w:basedOn w:val="DefaultParagraphFont"/>
    <w:link w:val="BodyText2"/>
    <w:uiPriority w:val="99"/>
    <w:rsid w:val="00933E6C"/>
    <w:rPr>
      <w:rFonts w:ascii="Belwe Lt TL" w:eastAsiaTheme="minorHAnsi" w:hAnsi="Belwe Lt TL" w:cs="Calibri"/>
      <w:sz w:val="24"/>
      <w:szCs w:val="24"/>
      <w:lang w:val="lv-LV" w:eastAsia="en-US"/>
    </w:rPr>
  </w:style>
  <w:style w:type="character" w:styleId="UnresolvedMention">
    <w:name w:val="Unresolved Mention"/>
    <w:basedOn w:val="DefaultParagraphFont"/>
    <w:uiPriority w:val="99"/>
    <w:semiHidden/>
    <w:unhideWhenUsed/>
    <w:rsid w:val="00933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867109112">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1728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3</cp:revision>
  <cp:lastPrinted>2021-09-09T02:05:00Z</cp:lastPrinted>
  <dcterms:created xsi:type="dcterms:W3CDTF">2022-02-02T14:14:00Z</dcterms:created>
  <dcterms:modified xsi:type="dcterms:W3CDTF">2022-02-02T14:18:00Z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ies>
</file>