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A3EF" w14:textId="49604E20" w:rsidR="00BA3806" w:rsidRPr="00290B7B" w:rsidRDefault="00BA3806" w:rsidP="00290B7B">
      <w:pPr>
        <w:ind w:left="720" w:right="374" w:hanging="720"/>
        <w:jc w:val="both"/>
        <w:rPr>
          <w:lang w:val="lv-LV"/>
        </w:rPr>
      </w:pPr>
    </w:p>
    <w:p w14:paraId="3A1C89F9" w14:textId="4A048372" w:rsidR="00FF423F" w:rsidRPr="007D5EBA" w:rsidRDefault="00EC1BA5" w:rsidP="007D5EBA">
      <w:pPr>
        <w:tabs>
          <w:tab w:val="left" w:pos="6237"/>
        </w:tabs>
        <w:ind w:right="374"/>
        <w:jc w:val="right"/>
        <w:rPr>
          <w:color w:val="5B9BD5" w:themeColor="accent5"/>
          <w:lang w:val="lv-LV"/>
        </w:rPr>
      </w:pPr>
      <w:r w:rsidRPr="00290B7B">
        <w:rPr>
          <w:b/>
          <w:bCs/>
          <w:lang w:val="lv-LV"/>
        </w:rPr>
        <w:t xml:space="preserve">                                                                                            </w:t>
      </w:r>
    </w:p>
    <w:p w14:paraId="6EB70CAC" w14:textId="626A84C2" w:rsidR="00ED287C" w:rsidRPr="00290B7B" w:rsidRDefault="00ED287C" w:rsidP="00290B7B">
      <w:pPr>
        <w:ind w:right="374"/>
        <w:jc w:val="both"/>
        <w:rPr>
          <w:i/>
          <w:lang w:val="lv-LV"/>
        </w:rPr>
      </w:pPr>
      <w:r w:rsidRPr="00290B7B">
        <w:rPr>
          <w:i/>
          <w:lang w:val="lv-LV"/>
        </w:rPr>
        <w:t xml:space="preserve">Par </w:t>
      </w:r>
      <w:r w:rsidR="002E5BC5" w:rsidRPr="00290B7B">
        <w:rPr>
          <w:i/>
          <w:lang w:val="lv-LV"/>
        </w:rPr>
        <w:t>iepirkuma procedūras</w:t>
      </w:r>
      <w:r w:rsidRPr="00290B7B">
        <w:rPr>
          <w:i/>
          <w:lang w:val="lv-LV"/>
        </w:rPr>
        <w:t xml:space="preserve"> </w:t>
      </w:r>
    </w:p>
    <w:p w14:paraId="01E5FD02" w14:textId="326BD2C9" w:rsidR="00ED287C" w:rsidRPr="00290B7B" w:rsidRDefault="00C71D15" w:rsidP="00290B7B">
      <w:pPr>
        <w:pStyle w:val="Default"/>
        <w:ind w:right="374"/>
        <w:jc w:val="both"/>
        <w:rPr>
          <w:rFonts w:ascii="Times New Roman" w:hAnsi="Times New Roman" w:cs="Times New Roman"/>
          <w:i/>
          <w:color w:val="auto"/>
        </w:rPr>
      </w:pPr>
      <w:r w:rsidRPr="00290B7B">
        <w:rPr>
          <w:rFonts w:ascii="Times New Roman" w:hAnsi="Times New Roman" w:cs="Times New Roman"/>
          <w:i/>
          <w:color w:val="auto"/>
        </w:rPr>
        <w:t>“</w:t>
      </w:r>
      <w:r w:rsidR="00AF4E91" w:rsidRPr="00290B7B">
        <w:rPr>
          <w:rFonts w:ascii="Times New Roman" w:hAnsi="Times New Roman" w:cs="Times New Roman"/>
          <w:i/>
          <w:color w:val="auto"/>
        </w:rPr>
        <w:t>Piecu apakšstaciju iekārtu piegāde (Nr. 3, 10, 22, 30 un Mežaparka prospekta apakšstacija)</w:t>
      </w:r>
      <w:r w:rsidR="00E96D73" w:rsidRPr="00290B7B">
        <w:rPr>
          <w:rFonts w:ascii="Times New Roman" w:hAnsi="Times New Roman" w:cs="Times New Roman"/>
          <w:i/>
          <w:color w:val="auto"/>
        </w:rPr>
        <w:t>”</w:t>
      </w:r>
      <w:r w:rsidR="00AF4E91" w:rsidRPr="00290B7B">
        <w:rPr>
          <w:rFonts w:ascii="Times New Roman" w:hAnsi="Times New Roman" w:cs="Times New Roman"/>
          <w:i/>
          <w:color w:val="auto"/>
        </w:rPr>
        <w:t xml:space="preserve"> </w:t>
      </w:r>
      <w:r w:rsidR="00ED287C" w:rsidRPr="00290B7B">
        <w:rPr>
          <w:rFonts w:ascii="Times New Roman" w:hAnsi="Times New Roman" w:cs="Times New Roman"/>
          <w:i/>
          <w:color w:val="auto"/>
        </w:rPr>
        <w:t>(ID Nr.RS/202</w:t>
      </w:r>
      <w:r w:rsidR="00141881" w:rsidRPr="00290B7B">
        <w:rPr>
          <w:rFonts w:ascii="Times New Roman" w:hAnsi="Times New Roman" w:cs="Times New Roman"/>
          <w:i/>
          <w:color w:val="auto"/>
        </w:rPr>
        <w:t>3/</w:t>
      </w:r>
      <w:r w:rsidR="004C13B4" w:rsidRPr="00290B7B">
        <w:rPr>
          <w:rFonts w:ascii="Times New Roman" w:hAnsi="Times New Roman" w:cs="Times New Roman"/>
          <w:i/>
          <w:color w:val="auto"/>
        </w:rPr>
        <w:t>4</w:t>
      </w:r>
      <w:r w:rsidR="00AF4E91" w:rsidRPr="00290B7B">
        <w:rPr>
          <w:rFonts w:ascii="Times New Roman" w:hAnsi="Times New Roman" w:cs="Times New Roman"/>
          <w:i/>
          <w:color w:val="auto"/>
        </w:rPr>
        <w:t>9</w:t>
      </w:r>
      <w:r w:rsidR="00ED287C" w:rsidRPr="00290B7B">
        <w:rPr>
          <w:rFonts w:ascii="Times New Roman" w:hAnsi="Times New Roman" w:cs="Times New Roman"/>
          <w:i/>
          <w:color w:val="auto"/>
        </w:rPr>
        <w:t>) nolikuma prasībām</w:t>
      </w:r>
    </w:p>
    <w:p w14:paraId="6F27DAAA" w14:textId="77777777" w:rsidR="00ED287C" w:rsidRPr="00290B7B" w:rsidRDefault="00ED287C" w:rsidP="00290B7B">
      <w:pPr>
        <w:ind w:right="374"/>
        <w:jc w:val="both"/>
        <w:rPr>
          <w:lang w:val="lv-LV"/>
        </w:rPr>
      </w:pPr>
    </w:p>
    <w:p w14:paraId="66FC9AA7" w14:textId="6902F43F" w:rsidR="00ED287C" w:rsidRPr="00290B7B" w:rsidRDefault="00ED287C" w:rsidP="00290B7B">
      <w:pPr>
        <w:ind w:right="374" w:firstLine="426"/>
        <w:jc w:val="both"/>
        <w:rPr>
          <w:lang w:val="lv-LV"/>
        </w:rPr>
      </w:pPr>
      <w:r w:rsidRPr="00290B7B">
        <w:rPr>
          <w:lang w:val="lv-LV"/>
        </w:rPr>
        <w:t>Rīgas pašvaldības sabiedrības ar ierobežotu atbildību „Rīgas satiksme” Iepirkuma komisija (turpmāk – Pasūtītājs) no iespējamā p</w:t>
      </w:r>
      <w:r w:rsidR="000D1F8E" w:rsidRPr="00290B7B">
        <w:rPr>
          <w:lang w:val="lv-LV"/>
        </w:rPr>
        <w:t>retendenta</w:t>
      </w:r>
      <w:r w:rsidRPr="00290B7B">
        <w:rPr>
          <w:lang w:val="lv-LV"/>
        </w:rPr>
        <w:t xml:space="preserve"> ir saņēmusi vēstuli ar lūgumu sniegt skaidrojumu par nolikumā ietvertajām prasībām. </w:t>
      </w:r>
    </w:p>
    <w:p w14:paraId="03C5E2FF" w14:textId="77777777" w:rsidR="00ED287C" w:rsidRPr="00290B7B" w:rsidRDefault="00ED287C" w:rsidP="00290B7B">
      <w:pPr>
        <w:ind w:right="374"/>
        <w:jc w:val="both"/>
        <w:rPr>
          <w:lang w:val="lv-LV"/>
        </w:rPr>
      </w:pPr>
    </w:p>
    <w:p w14:paraId="586301D7" w14:textId="1C96A1BF" w:rsidR="001C5053" w:rsidRPr="00290B7B" w:rsidRDefault="00C6178D" w:rsidP="00290B7B">
      <w:pPr>
        <w:pStyle w:val="ListParagraph"/>
        <w:numPr>
          <w:ilvl w:val="0"/>
          <w:numId w:val="13"/>
        </w:numPr>
        <w:ind w:left="284" w:right="374" w:hanging="284"/>
        <w:jc w:val="both"/>
        <w:rPr>
          <w:rFonts w:ascii="Times New Roman" w:hAnsi="Times New Roman" w:cs="Times New Roman"/>
          <w:b/>
          <w:bCs/>
          <w:sz w:val="24"/>
          <w:szCs w:val="24"/>
        </w:rPr>
      </w:pPr>
      <w:r w:rsidRPr="00290B7B">
        <w:rPr>
          <w:rFonts w:ascii="Times New Roman" w:hAnsi="Times New Roman" w:cs="Times New Roman"/>
          <w:b/>
          <w:bCs/>
          <w:sz w:val="24"/>
          <w:szCs w:val="24"/>
        </w:rPr>
        <w:t>j</w:t>
      </w:r>
      <w:r w:rsidR="00362DCC" w:rsidRPr="00290B7B">
        <w:rPr>
          <w:rFonts w:ascii="Times New Roman" w:hAnsi="Times New Roman" w:cs="Times New Roman"/>
          <w:b/>
          <w:bCs/>
          <w:sz w:val="24"/>
          <w:szCs w:val="24"/>
        </w:rPr>
        <w:t>autājums:</w:t>
      </w:r>
    </w:p>
    <w:p w14:paraId="59C7CEAA" w14:textId="77777777" w:rsidR="00C6178D" w:rsidRPr="00290B7B" w:rsidRDefault="00C6178D" w:rsidP="00290B7B">
      <w:pPr>
        <w:pStyle w:val="ListParagraph"/>
        <w:ind w:left="284" w:right="374"/>
        <w:jc w:val="both"/>
        <w:rPr>
          <w:rFonts w:ascii="Times New Roman" w:hAnsi="Times New Roman" w:cs="Times New Roman"/>
          <w:b/>
          <w:bCs/>
          <w:sz w:val="24"/>
          <w:szCs w:val="24"/>
        </w:rPr>
      </w:pPr>
    </w:p>
    <w:p w14:paraId="4221B6DE" w14:textId="33F2BA90"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b/>
          <w:bCs/>
          <w:sz w:val="24"/>
          <w:szCs w:val="24"/>
        </w:rPr>
        <w:t>Attiecībā uz Pārvietojamo apakšstaciju:</w:t>
      </w:r>
    </w:p>
    <w:p w14:paraId="22713047" w14:textId="77777777"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sz w:val="24"/>
          <w:szCs w:val="24"/>
        </w:rPr>
        <w:t xml:space="preserve">1) līnijas automāta ligzdā norādīts, ka nominālā strāva ir 2600 ADC. </w:t>
      </w:r>
      <w:proofErr w:type="spellStart"/>
      <w:r w:rsidRPr="00290B7B">
        <w:rPr>
          <w:rFonts w:ascii="Times New Roman" w:hAnsi="Times New Roman" w:cs="Times New Roman"/>
          <w:sz w:val="24"/>
          <w:szCs w:val="24"/>
        </w:rPr>
        <w:t>Secheron</w:t>
      </w:r>
      <w:proofErr w:type="spellEnd"/>
      <w:r w:rsidRPr="00290B7B">
        <w:rPr>
          <w:rFonts w:ascii="Times New Roman" w:hAnsi="Times New Roman" w:cs="Times New Roman"/>
          <w:sz w:val="24"/>
          <w:szCs w:val="24"/>
        </w:rPr>
        <w:t xml:space="preserve"> ķēdes slēdzis  nevar darboties 6. pārslodzes klasē (tas var vadīt  tikai 4800 ADC strāvu 1 minūti). Tajā pašā laikā taisngriezim nominālā izejas strāva norādīta  (pēc IEC 146-1-1) - 2000 ADC , izejas strāva pie 150% slodzes - 3000ADC (noturība vismaz 7200 </w:t>
      </w:r>
      <w:proofErr w:type="spellStart"/>
      <w:r w:rsidRPr="00290B7B">
        <w:rPr>
          <w:rFonts w:ascii="Times New Roman" w:hAnsi="Times New Roman" w:cs="Times New Roman"/>
          <w:sz w:val="24"/>
          <w:szCs w:val="24"/>
        </w:rPr>
        <w:t>sek</w:t>
      </w:r>
      <w:proofErr w:type="spellEnd"/>
      <w:r w:rsidRPr="00290B7B">
        <w:rPr>
          <w:rFonts w:ascii="Times New Roman" w:hAnsi="Times New Roman" w:cs="Times New Roman"/>
          <w:sz w:val="24"/>
          <w:szCs w:val="24"/>
        </w:rPr>
        <w:t xml:space="preserve">), izejas strāva pie 300% slodzes - 6000ADC (noturība vismaz 60 </w:t>
      </w:r>
      <w:proofErr w:type="spellStart"/>
      <w:r w:rsidRPr="00290B7B">
        <w:rPr>
          <w:rFonts w:ascii="Times New Roman" w:hAnsi="Times New Roman" w:cs="Times New Roman"/>
          <w:sz w:val="24"/>
          <w:szCs w:val="24"/>
        </w:rPr>
        <w:t>sek</w:t>
      </w:r>
      <w:proofErr w:type="spellEnd"/>
      <w:r w:rsidRPr="00290B7B">
        <w:rPr>
          <w:rFonts w:ascii="Times New Roman" w:hAnsi="Times New Roman" w:cs="Times New Roman"/>
          <w:sz w:val="24"/>
          <w:szCs w:val="24"/>
        </w:rPr>
        <w:t>) . Uzskatām, ka taisngriezim šī prasība ir lieka, jo apakšstacijā ir tikai viens automātiskais slēdzis un automātiskais slēdzis nevar 1 minūti vadīt cauri strāvu 6000ADC.</w:t>
      </w:r>
    </w:p>
    <w:p w14:paraId="571CBAAB" w14:textId="77777777"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6B55CE29" w14:textId="0432219E"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sz w:val="24"/>
          <w:szCs w:val="24"/>
        </w:rPr>
        <w:t xml:space="preserve">Ņemot vērā augstāk minēto, lūdzam atbildēt vai ir iespējams piedāvāt priekš pārvietojamās apakšstacijas  taisngriezi ar sekojošiem parametriem: Nominālā izejas strāva (pēc IEC 146-1-1) - 2400 ADC, 4800 ADC - noturība vismaz 60 </w:t>
      </w:r>
      <w:proofErr w:type="spellStart"/>
      <w:r w:rsidRPr="00290B7B">
        <w:rPr>
          <w:rFonts w:ascii="Times New Roman" w:hAnsi="Times New Roman" w:cs="Times New Roman"/>
          <w:sz w:val="24"/>
          <w:szCs w:val="24"/>
        </w:rPr>
        <w:t>sek</w:t>
      </w:r>
      <w:proofErr w:type="spellEnd"/>
      <w:r w:rsidRPr="00290B7B">
        <w:rPr>
          <w:rFonts w:ascii="Times New Roman" w:hAnsi="Times New Roman" w:cs="Times New Roman"/>
          <w:sz w:val="24"/>
          <w:szCs w:val="24"/>
        </w:rPr>
        <w:t>? Citādi prasības par taisngriezi pēc 6000 A līdzstrāvas konkrētajai apakšstacijai ir pārmērīgas.</w:t>
      </w:r>
    </w:p>
    <w:p w14:paraId="124068AB" w14:textId="4BFC196C"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531F37B5" w14:textId="279FCDCE" w:rsidR="00C6178D" w:rsidRPr="00290B7B" w:rsidRDefault="00C6178D" w:rsidP="00290B7B">
      <w:pPr>
        <w:pStyle w:val="NormalWeb"/>
        <w:spacing w:before="0" w:beforeAutospacing="0" w:after="0" w:afterAutospacing="0"/>
        <w:ind w:right="374"/>
        <w:jc w:val="both"/>
        <w:rPr>
          <w:rFonts w:ascii="Times New Roman" w:hAnsi="Times New Roman" w:cs="Times New Roman"/>
          <w:b/>
          <w:bCs/>
          <w:sz w:val="24"/>
          <w:szCs w:val="24"/>
        </w:rPr>
      </w:pPr>
      <w:r w:rsidRPr="00290B7B">
        <w:rPr>
          <w:rFonts w:ascii="Times New Roman" w:hAnsi="Times New Roman" w:cs="Times New Roman"/>
          <w:b/>
          <w:bCs/>
          <w:sz w:val="24"/>
          <w:szCs w:val="24"/>
        </w:rPr>
        <w:t>Atbilde:</w:t>
      </w:r>
    </w:p>
    <w:p w14:paraId="38FF5D34" w14:textId="77777777" w:rsidR="00C6178D" w:rsidRPr="00290B7B" w:rsidRDefault="00C6178D" w:rsidP="00290B7B">
      <w:pPr>
        <w:ind w:right="374"/>
        <w:jc w:val="both"/>
        <w:rPr>
          <w:lang w:val="lv-LV" w:eastAsia="lv-LV"/>
        </w:rPr>
      </w:pPr>
      <w:r w:rsidRPr="00290B7B">
        <w:rPr>
          <w:lang w:val="lv-LV"/>
        </w:rPr>
        <w:t>Projektētājs ir paredzējis uzstādīt lielākas jaudas taisngriezi, ņemot vērā, ka nākotnē var būt nepieciešama līnijas slodzes palielināšana. Sakarā ar to, ka apakšstacijas kompakto izmēru dēļ papildus rezerves automātus izvietot nebūs iespējams, būs jāparedz aizvietot esošo līnijas automātu ar lielākas jaudas automātu.  Esošā apakšstacijas iekārtu jauda ir ieprojektēta ar iespēju nākotnē to palielināt bez jauna taisngrieža un transformatora nomaiņas.</w:t>
      </w:r>
    </w:p>
    <w:p w14:paraId="416E495D" w14:textId="61502506"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5AA94C24" w14:textId="77777777"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43154B9B" w14:textId="797D33AF"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sz w:val="24"/>
          <w:szCs w:val="24"/>
        </w:rPr>
        <w:t>2) kabeļu atdalītajā ligzdā katram izejošās līnijas atdalītājam ir norādīta nominālā strāva - 4000 ADC, savukārt apakšstacijā līnijas automāta ligzdā ir tikai viens slēdzis ar nominālo strāvu - 2600 ADC. Vai kabeļu atdalītāju ligzdā var uzstādīt 2 atdalītājus ar nominālo strāvu 1250 A DC? Tādējādi apakšstacijā būs 2 kabeļu atdalītāja ligzdas un katrā  2 atdalītāji (katram ar nominālo strāvu 1250 A DC) un kopā visu izejošo līniju atvienotāju kopējā strāva - 5000 ADC.</w:t>
      </w:r>
    </w:p>
    <w:p w14:paraId="5334C6B2" w14:textId="2AB779E6"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5BCC4139" w14:textId="3E86323E" w:rsidR="00C6178D" w:rsidRPr="00290B7B" w:rsidRDefault="00C6178D" w:rsidP="00290B7B">
      <w:pPr>
        <w:pStyle w:val="NormalWeb"/>
        <w:spacing w:before="0" w:beforeAutospacing="0" w:after="0" w:afterAutospacing="0"/>
        <w:ind w:right="374"/>
        <w:jc w:val="both"/>
        <w:rPr>
          <w:rFonts w:ascii="Times New Roman" w:hAnsi="Times New Roman" w:cs="Times New Roman"/>
          <w:b/>
          <w:bCs/>
          <w:sz w:val="24"/>
          <w:szCs w:val="24"/>
        </w:rPr>
      </w:pPr>
      <w:r w:rsidRPr="00290B7B">
        <w:rPr>
          <w:rFonts w:ascii="Times New Roman" w:hAnsi="Times New Roman" w:cs="Times New Roman"/>
          <w:b/>
          <w:bCs/>
          <w:sz w:val="24"/>
          <w:szCs w:val="24"/>
        </w:rPr>
        <w:t>Atbilde:</w:t>
      </w:r>
    </w:p>
    <w:p w14:paraId="4F72BFA3" w14:textId="77777777" w:rsidR="00C6178D" w:rsidRPr="00290B7B" w:rsidRDefault="00C6178D" w:rsidP="00290B7B">
      <w:pPr>
        <w:ind w:right="374"/>
        <w:jc w:val="both"/>
        <w:rPr>
          <w:lang w:val="lv-LV" w:eastAsia="lv-LV"/>
        </w:rPr>
      </w:pPr>
      <w:r w:rsidRPr="00290B7B">
        <w:rPr>
          <w:lang w:val="lv-LV"/>
        </w:rPr>
        <w:t>Ir pieļaujams izvietot divus atdalītājus paralēli ar nominālo strāvu 1250 A DC viena atdalītāja vietā, bet nepārkāpjot ligzdas pieļaujamajos gabarītu izmērus apakšstacijas kompakto izmēru dēļ.</w:t>
      </w:r>
    </w:p>
    <w:p w14:paraId="3D424E83" w14:textId="77777777" w:rsidR="00C6178D" w:rsidRPr="00290B7B" w:rsidRDefault="00C6178D" w:rsidP="00290B7B">
      <w:pPr>
        <w:pStyle w:val="NormalWeb"/>
        <w:spacing w:before="0" w:beforeAutospacing="0" w:after="0" w:afterAutospacing="0"/>
        <w:ind w:right="374"/>
        <w:jc w:val="both"/>
        <w:rPr>
          <w:rFonts w:ascii="Times New Roman" w:hAnsi="Times New Roman" w:cs="Times New Roman"/>
          <w:b/>
          <w:bCs/>
          <w:sz w:val="24"/>
          <w:szCs w:val="24"/>
        </w:rPr>
      </w:pPr>
    </w:p>
    <w:p w14:paraId="2EDEF10F" w14:textId="77777777"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55CEA9D7" w14:textId="2BDAEFAD" w:rsidR="00C6178D" w:rsidRPr="00290B7B" w:rsidRDefault="00C6178D" w:rsidP="00290B7B">
      <w:pPr>
        <w:pStyle w:val="ListParagraph"/>
        <w:numPr>
          <w:ilvl w:val="0"/>
          <w:numId w:val="13"/>
        </w:numPr>
        <w:ind w:left="284" w:right="374" w:hanging="284"/>
        <w:jc w:val="both"/>
        <w:rPr>
          <w:rFonts w:ascii="Times New Roman" w:hAnsi="Times New Roman" w:cs="Times New Roman"/>
          <w:b/>
          <w:bCs/>
          <w:sz w:val="24"/>
          <w:szCs w:val="24"/>
        </w:rPr>
      </w:pPr>
      <w:r w:rsidRPr="00290B7B">
        <w:rPr>
          <w:rFonts w:ascii="Times New Roman" w:hAnsi="Times New Roman" w:cs="Times New Roman"/>
          <w:b/>
          <w:bCs/>
          <w:sz w:val="24"/>
          <w:szCs w:val="24"/>
        </w:rPr>
        <w:lastRenderedPageBreak/>
        <w:t>j</w:t>
      </w:r>
      <w:r w:rsidRPr="00290B7B">
        <w:rPr>
          <w:rFonts w:ascii="Times New Roman" w:hAnsi="Times New Roman" w:cs="Times New Roman"/>
          <w:b/>
          <w:bCs/>
          <w:sz w:val="24"/>
          <w:szCs w:val="24"/>
        </w:rPr>
        <w:t>autājums:</w:t>
      </w:r>
    </w:p>
    <w:p w14:paraId="09297739" w14:textId="77777777" w:rsidR="00C6178D" w:rsidRPr="00290B7B" w:rsidRDefault="00C6178D" w:rsidP="00290B7B">
      <w:pPr>
        <w:pStyle w:val="ListParagraph"/>
        <w:ind w:left="284" w:right="374"/>
        <w:jc w:val="both"/>
        <w:rPr>
          <w:rFonts w:ascii="Times New Roman" w:hAnsi="Times New Roman" w:cs="Times New Roman"/>
          <w:b/>
          <w:bCs/>
          <w:sz w:val="24"/>
          <w:szCs w:val="24"/>
        </w:rPr>
      </w:pPr>
    </w:p>
    <w:p w14:paraId="7524E1C9" w14:textId="6EA7420B"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b/>
          <w:bCs/>
          <w:sz w:val="24"/>
          <w:szCs w:val="24"/>
        </w:rPr>
        <w:t>Attiecībā uz visām apakšstacijām:</w:t>
      </w:r>
    </w:p>
    <w:p w14:paraId="22F6CA9E" w14:textId="77777777" w:rsidR="00C6178D" w:rsidRPr="00290B7B" w:rsidRDefault="00C6178D" w:rsidP="00290B7B">
      <w:pPr>
        <w:numPr>
          <w:ilvl w:val="0"/>
          <w:numId w:val="15"/>
        </w:numPr>
        <w:ind w:right="374"/>
        <w:jc w:val="both"/>
        <w:rPr>
          <w:lang w:val="lv-LV"/>
        </w:rPr>
      </w:pPr>
      <w:r w:rsidRPr="00290B7B">
        <w:rPr>
          <w:lang w:val="lv-LV"/>
        </w:rPr>
        <w:t xml:space="preserve">līnijas automāta ligzda, ligzdas platumi norādīti - ≤ 550 mm. </w:t>
      </w:r>
      <w:proofErr w:type="spellStart"/>
      <w:r w:rsidRPr="00290B7B">
        <w:rPr>
          <w:lang w:val="lv-LV"/>
        </w:rPr>
        <w:t>Virsskatā</w:t>
      </w:r>
      <w:proofErr w:type="spellEnd"/>
      <w:r w:rsidRPr="00290B7B">
        <w:rPr>
          <w:lang w:val="lv-LV"/>
        </w:rPr>
        <w:t xml:space="preserve"> norādīts izmērs 500 mm. Šie izmēri ir </w:t>
      </w:r>
      <w:proofErr w:type="spellStart"/>
      <w:r w:rsidRPr="00290B7B">
        <w:rPr>
          <w:lang w:val="lv-LV"/>
        </w:rPr>
        <w:t>Secheron</w:t>
      </w:r>
      <w:proofErr w:type="spellEnd"/>
      <w:r w:rsidRPr="00290B7B">
        <w:rPr>
          <w:lang w:val="lv-LV"/>
        </w:rPr>
        <w:t xml:space="preserve"> aprīkojuma standarta izmēri. Mūsu uzņēmuma aprīkojuma izmērs ir 600 mm. Lūdzam precizēt, vai varam piedāvāt elektroiekārtas ar saviem izmēriem, ja apakšstacijā visu piedāvāto iekārtu kopējais izmērs nepārsniedz konkursa prasībās noradīto?</w:t>
      </w:r>
    </w:p>
    <w:p w14:paraId="322C8EEC" w14:textId="7273AFAD"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5B2765AD" w14:textId="78C5F8AF" w:rsidR="00C6178D" w:rsidRPr="00290B7B" w:rsidRDefault="00C6178D" w:rsidP="00290B7B">
      <w:pPr>
        <w:pStyle w:val="NormalWeb"/>
        <w:spacing w:before="0" w:beforeAutospacing="0" w:after="0" w:afterAutospacing="0"/>
        <w:ind w:right="374"/>
        <w:jc w:val="both"/>
        <w:rPr>
          <w:rFonts w:ascii="Times New Roman" w:hAnsi="Times New Roman" w:cs="Times New Roman"/>
          <w:b/>
          <w:bCs/>
          <w:sz w:val="24"/>
          <w:szCs w:val="24"/>
        </w:rPr>
      </w:pPr>
      <w:r w:rsidRPr="00290B7B">
        <w:rPr>
          <w:rFonts w:ascii="Times New Roman" w:hAnsi="Times New Roman" w:cs="Times New Roman"/>
          <w:b/>
          <w:bCs/>
          <w:sz w:val="24"/>
          <w:szCs w:val="24"/>
        </w:rPr>
        <w:t>Atbilde:</w:t>
      </w:r>
    </w:p>
    <w:p w14:paraId="08F97138" w14:textId="16CF821A" w:rsidR="00C6178D" w:rsidRPr="00290B7B" w:rsidRDefault="00C6178D" w:rsidP="00290B7B">
      <w:pPr>
        <w:ind w:right="374"/>
        <w:jc w:val="both"/>
        <w:rPr>
          <w:lang w:val="lv-LV"/>
        </w:rPr>
      </w:pPr>
      <w:r w:rsidRPr="00290B7B">
        <w:rPr>
          <w:lang w:val="lv-LV"/>
        </w:rPr>
        <w:t xml:space="preserve">Piedāvātām iekārtām ir jāatbilst tehniskajās specifikācijas izvirzītajām prasībām, ņemot vērā, ka šo iekārtu gabarīti ir pakļauti būvprojektu tehnisko risinājumu prasībām.  </w:t>
      </w:r>
    </w:p>
    <w:p w14:paraId="64791442" w14:textId="77777777"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sz w:val="24"/>
          <w:szCs w:val="24"/>
        </w:rPr>
        <w:t> </w:t>
      </w:r>
    </w:p>
    <w:p w14:paraId="140B1A8C" w14:textId="77777777" w:rsidR="00C6178D" w:rsidRPr="00290B7B" w:rsidRDefault="00C6178D" w:rsidP="00290B7B">
      <w:pPr>
        <w:numPr>
          <w:ilvl w:val="0"/>
          <w:numId w:val="15"/>
        </w:numPr>
        <w:ind w:right="374"/>
        <w:jc w:val="both"/>
        <w:rPr>
          <w:lang w:val="lv-LV"/>
        </w:rPr>
      </w:pPr>
      <w:r w:rsidRPr="00290B7B">
        <w:rPr>
          <w:lang w:val="lv-LV"/>
        </w:rPr>
        <w:t>lūdzam nosūtīt apakšstaciju izmēru rasējumus (ar izmēriem), kurās tiks uzstādīta piedāvājumā prasītā iekārta.</w:t>
      </w:r>
    </w:p>
    <w:p w14:paraId="4E5C918E" w14:textId="5048E56D"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17967592" w14:textId="0BC42B81" w:rsidR="00C6178D" w:rsidRPr="00290B7B" w:rsidRDefault="00C6178D" w:rsidP="00290B7B">
      <w:pPr>
        <w:pStyle w:val="NormalWeb"/>
        <w:spacing w:before="0" w:beforeAutospacing="0" w:after="0" w:afterAutospacing="0"/>
        <w:ind w:right="374"/>
        <w:jc w:val="both"/>
        <w:rPr>
          <w:rFonts w:ascii="Times New Roman" w:hAnsi="Times New Roman" w:cs="Times New Roman"/>
          <w:b/>
          <w:bCs/>
          <w:sz w:val="24"/>
          <w:szCs w:val="24"/>
        </w:rPr>
      </w:pPr>
      <w:r w:rsidRPr="00290B7B">
        <w:rPr>
          <w:rFonts w:ascii="Times New Roman" w:hAnsi="Times New Roman" w:cs="Times New Roman"/>
          <w:b/>
          <w:bCs/>
          <w:sz w:val="24"/>
          <w:szCs w:val="24"/>
        </w:rPr>
        <w:t>Atbilde:</w:t>
      </w:r>
    </w:p>
    <w:p w14:paraId="4983C6E4" w14:textId="77777777"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sz w:val="24"/>
          <w:szCs w:val="24"/>
        </w:rPr>
        <w:t xml:space="preserve">Pasūtītāja ieskatā šāda informācija nav saistoša esošā iepirkuma ietvaros, jo projektos uzrādītie risinājumi netiks mainīti. </w:t>
      </w:r>
    </w:p>
    <w:p w14:paraId="5F71EF98" w14:textId="5CE27274"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sz w:val="24"/>
          <w:szCs w:val="24"/>
        </w:rPr>
        <w:t> </w:t>
      </w:r>
    </w:p>
    <w:p w14:paraId="764DBE8E" w14:textId="1F943570"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1B0B13C1" w14:textId="31BEE25C" w:rsidR="00C6178D" w:rsidRPr="00290B7B" w:rsidRDefault="00C6178D" w:rsidP="00290B7B">
      <w:pPr>
        <w:pStyle w:val="ListParagraph"/>
        <w:numPr>
          <w:ilvl w:val="0"/>
          <w:numId w:val="13"/>
        </w:numPr>
        <w:ind w:left="284" w:right="374" w:hanging="284"/>
        <w:jc w:val="both"/>
        <w:rPr>
          <w:rFonts w:ascii="Times New Roman" w:hAnsi="Times New Roman" w:cs="Times New Roman"/>
          <w:b/>
          <w:bCs/>
          <w:sz w:val="24"/>
          <w:szCs w:val="24"/>
        </w:rPr>
      </w:pPr>
      <w:r w:rsidRPr="00290B7B">
        <w:rPr>
          <w:rFonts w:ascii="Times New Roman" w:hAnsi="Times New Roman" w:cs="Times New Roman"/>
          <w:b/>
          <w:bCs/>
          <w:sz w:val="24"/>
          <w:szCs w:val="24"/>
        </w:rPr>
        <w:t>jautājums:</w:t>
      </w:r>
    </w:p>
    <w:p w14:paraId="02FE9EC5" w14:textId="77777777" w:rsidR="00C6178D" w:rsidRPr="00290B7B" w:rsidRDefault="00C6178D" w:rsidP="00290B7B">
      <w:pPr>
        <w:pStyle w:val="ListParagraph"/>
        <w:ind w:left="284" w:right="374"/>
        <w:jc w:val="both"/>
        <w:rPr>
          <w:rFonts w:ascii="Times New Roman" w:hAnsi="Times New Roman" w:cs="Times New Roman"/>
          <w:b/>
          <w:bCs/>
          <w:sz w:val="24"/>
          <w:szCs w:val="24"/>
        </w:rPr>
      </w:pPr>
    </w:p>
    <w:p w14:paraId="31018119" w14:textId="1F5EDD47"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b/>
          <w:bCs/>
          <w:sz w:val="24"/>
          <w:szCs w:val="24"/>
        </w:rPr>
        <w:t>Attiecībā uz apakšstaciju Nr.3:</w:t>
      </w:r>
    </w:p>
    <w:p w14:paraId="21C25E9F" w14:textId="77777777" w:rsidR="00C6178D" w:rsidRPr="00290B7B" w:rsidRDefault="00C6178D" w:rsidP="00290B7B">
      <w:pPr>
        <w:numPr>
          <w:ilvl w:val="0"/>
          <w:numId w:val="16"/>
        </w:numPr>
        <w:ind w:left="567" w:right="374"/>
        <w:jc w:val="both"/>
        <w:rPr>
          <w:lang w:val="lv-LV"/>
        </w:rPr>
      </w:pPr>
      <w:r w:rsidRPr="00290B7B">
        <w:rPr>
          <w:lang w:val="lv-LV"/>
        </w:rPr>
        <w:t xml:space="preserve">Šīs apakšstacijas aprīkojuma prasībās kā piegādātājs norādīts </w:t>
      </w:r>
      <w:proofErr w:type="spellStart"/>
      <w:r w:rsidRPr="00290B7B">
        <w:rPr>
          <w:lang w:val="lv-LV"/>
        </w:rPr>
        <w:t>Secheron</w:t>
      </w:r>
      <w:proofErr w:type="spellEnd"/>
      <w:r w:rsidRPr="00290B7B">
        <w:rPr>
          <w:lang w:val="lv-LV"/>
        </w:rPr>
        <w:t xml:space="preserve">. Vai par šo apakšstaciju tiek pieņemti priekšlikumi no iekārtu ražotājiem, kas nav </w:t>
      </w:r>
      <w:proofErr w:type="spellStart"/>
      <w:r w:rsidRPr="00290B7B">
        <w:rPr>
          <w:lang w:val="lv-LV"/>
        </w:rPr>
        <w:t>Secheron</w:t>
      </w:r>
      <w:proofErr w:type="spellEnd"/>
      <w:r w:rsidRPr="00290B7B">
        <w:rPr>
          <w:lang w:val="lv-LV"/>
        </w:rPr>
        <w:t>?</w:t>
      </w:r>
    </w:p>
    <w:p w14:paraId="38B4B8A1" w14:textId="77777777"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3B3C7470" w14:textId="40E6077B" w:rsidR="00C6178D" w:rsidRPr="00290B7B" w:rsidRDefault="00C6178D" w:rsidP="00290B7B">
      <w:pPr>
        <w:ind w:right="374"/>
        <w:jc w:val="both"/>
        <w:rPr>
          <w:b/>
          <w:bCs/>
          <w:lang w:val="lv-LV"/>
        </w:rPr>
      </w:pPr>
      <w:r w:rsidRPr="00290B7B">
        <w:rPr>
          <w:b/>
          <w:bCs/>
          <w:lang w:val="lv-LV"/>
        </w:rPr>
        <w:t>Atbilde:</w:t>
      </w:r>
    </w:p>
    <w:p w14:paraId="081BBB2E" w14:textId="47FFCBDB" w:rsidR="00C6178D" w:rsidRPr="00290B7B" w:rsidRDefault="00C6178D" w:rsidP="00290B7B">
      <w:pPr>
        <w:ind w:right="374"/>
        <w:jc w:val="both"/>
        <w:rPr>
          <w:lang w:val="lv-LV"/>
        </w:rPr>
      </w:pPr>
      <w:r w:rsidRPr="00290B7B">
        <w:rPr>
          <w:lang w:val="lv-LV"/>
        </w:rPr>
        <w:t>Konkrēts iekārtu ražotājs tika norādīts, par cik 3. apakšstacijas pārbūvei un iekārtu nomaiņai daļa iekārtu jau ir iegādāta un atrodas mūsu noliktavā. Projektētājs ir paredzējis pielāgot un nokomplektēt atlikušās iekārtas ar tāda paša ražotāja iekārtām,  izmantot oriģinālās ražotāja shēmas un iekārtu darbības algoritmus.</w:t>
      </w:r>
    </w:p>
    <w:p w14:paraId="2AE87A27" w14:textId="77777777"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33A2E49D" w14:textId="1CDA577F"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sz w:val="24"/>
          <w:szCs w:val="24"/>
        </w:rPr>
        <w:t> </w:t>
      </w:r>
    </w:p>
    <w:p w14:paraId="72E1FF7B" w14:textId="77777777" w:rsidR="00C6178D" w:rsidRPr="00290B7B" w:rsidRDefault="00C6178D" w:rsidP="00290B7B">
      <w:pPr>
        <w:pStyle w:val="ListParagraph"/>
        <w:numPr>
          <w:ilvl w:val="0"/>
          <w:numId w:val="13"/>
        </w:numPr>
        <w:ind w:left="284" w:right="374" w:hanging="284"/>
        <w:jc w:val="both"/>
        <w:rPr>
          <w:rFonts w:ascii="Times New Roman" w:hAnsi="Times New Roman" w:cs="Times New Roman"/>
          <w:b/>
          <w:bCs/>
          <w:sz w:val="24"/>
          <w:szCs w:val="24"/>
        </w:rPr>
      </w:pPr>
      <w:r w:rsidRPr="00290B7B">
        <w:rPr>
          <w:rFonts w:ascii="Times New Roman" w:hAnsi="Times New Roman" w:cs="Times New Roman"/>
          <w:b/>
          <w:bCs/>
          <w:sz w:val="24"/>
          <w:szCs w:val="24"/>
        </w:rPr>
        <w:t>jautājums:</w:t>
      </w:r>
    </w:p>
    <w:p w14:paraId="0B292897" w14:textId="4860C37F" w:rsidR="00C6178D" w:rsidRPr="00290B7B" w:rsidRDefault="00C6178D" w:rsidP="00290B7B">
      <w:pPr>
        <w:pStyle w:val="NormalWeb"/>
        <w:spacing w:before="0" w:beforeAutospacing="0" w:after="0" w:afterAutospacing="0"/>
        <w:ind w:right="374"/>
        <w:jc w:val="both"/>
        <w:rPr>
          <w:rStyle w:val="m-588494195488420852m7340897993396569639gmail-apple-converted-space"/>
          <w:rFonts w:ascii="Times New Roman" w:hAnsi="Times New Roman" w:cs="Times New Roman"/>
          <w:sz w:val="24"/>
          <w:szCs w:val="24"/>
        </w:rPr>
      </w:pPr>
      <w:r w:rsidRPr="00290B7B">
        <w:rPr>
          <w:rFonts w:ascii="Times New Roman" w:hAnsi="Times New Roman" w:cs="Times New Roman"/>
          <w:sz w:val="24"/>
          <w:szCs w:val="24"/>
        </w:rPr>
        <w:t>Lai sagatavotu kompleksu tehnisko risinājumu un sagatavotu Pasūtītājam optimālāko variantu, lūdzam pagarināt konkursa termiņu līdz 2023.gada 20.oktobrim.</w:t>
      </w:r>
      <w:r w:rsidRPr="00290B7B">
        <w:rPr>
          <w:rStyle w:val="m-588494195488420852m7340897993396569639gmail-apple-converted-space"/>
          <w:rFonts w:ascii="Times New Roman" w:hAnsi="Times New Roman" w:cs="Times New Roman"/>
          <w:sz w:val="24"/>
          <w:szCs w:val="24"/>
        </w:rPr>
        <w:t> </w:t>
      </w:r>
    </w:p>
    <w:p w14:paraId="4506DC42" w14:textId="4338B71A"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p>
    <w:p w14:paraId="71D543B9" w14:textId="066C1EDD" w:rsidR="00C6178D" w:rsidRPr="00290B7B" w:rsidRDefault="00C6178D" w:rsidP="00290B7B">
      <w:pPr>
        <w:pStyle w:val="NormalWeb"/>
        <w:spacing w:before="0" w:beforeAutospacing="0" w:after="0" w:afterAutospacing="0"/>
        <w:ind w:right="374"/>
        <w:jc w:val="both"/>
        <w:rPr>
          <w:rFonts w:ascii="Times New Roman" w:hAnsi="Times New Roman" w:cs="Times New Roman"/>
          <w:b/>
          <w:bCs/>
          <w:sz w:val="24"/>
          <w:szCs w:val="24"/>
        </w:rPr>
      </w:pPr>
      <w:r w:rsidRPr="00290B7B">
        <w:rPr>
          <w:rFonts w:ascii="Times New Roman" w:hAnsi="Times New Roman" w:cs="Times New Roman"/>
          <w:b/>
          <w:bCs/>
          <w:sz w:val="24"/>
          <w:szCs w:val="24"/>
        </w:rPr>
        <w:t>Atbilde:</w:t>
      </w:r>
    </w:p>
    <w:p w14:paraId="333C9AAE" w14:textId="09094C8E" w:rsidR="00C6178D" w:rsidRPr="00290B7B" w:rsidRDefault="00C6178D" w:rsidP="00290B7B">
      <w:pPr>
        <w:pStyle w:val="NormalWeb"/>
        <w:spacing w:before="0" w:beforeAutospacing="0" w:after="0" w:afterAutospacing="0"/>
        <w:ind w:right="374"/>
        <w:jc w:val="both"/>
        <w:rPr>
          <w:rFonts w:ascii="Times New Roman" w:hAnsi="Times New Roman" w:cs="Times New Roman"/>
          <w:sz w:val="24"/>
          <w:szCs w:val="24"/>
        </w:rPr>
      </w:pPr>
      <w:r w:rsidRPr="00290B7B">
        <w:rPr>
          <w:rFonts w:ascii="Times New Roman" w:hAnsi="Times New Roman" w:cs="Times New Roman"/>
          <w:sz w:val="24"/>
          <w:szCs w:val="24"/>
        </w:rPr>
        <w:t>Ņ</w:t>
      </w:r>
      <w:r w:rsidRPr="00290B7B">
        <w:rPr>
          <w:rFonts w:ascii="Times New Roman" w:hAnsi="Times New Roman" w:cs="Times New Roman"/>
          <w:sz w:val="24"/>
          <w:szCs w:val="24"/>
        </w:rPr>
        <w:t>emot vērā, ka par iepirkuma priekšmetu ar tehnisko specifikāciju tika rīkot tirgus dalībnieku apspriede, Pasūtītājs nepagarinās iepirkuma termiņu .</w:t>
      </w:r>
    </w:p>
    <w:p w14:paraId="18035F5E" w14:textId="7D1D99A5" w:rsidR="00686645" w:rsidRPr="00290B7B" w:rsidRDefault="00686645" w:rsidP="00290B7B">
      <w:pPr>
        <w:ind w:right="374"/>
        <w:jc w:val="both"/>
        <w:rPr>
          <w:rFonts w:eastAsiaTheme="minorHAnsi"/>
          <w:lang w:val="lv-LV"/>
        </w:rPr>
      </w:pPr>
    </w:p>
    <w:p w14:paraId="2C8D816A" w14:textId="4BAA9201" w:rsidR="00C6178D" w:rsidRPr="00290B7B" w:rsidRDefault="00C6178D" w:rsidP="00290B7B">
      <w:pPr>
        <w:ind w:right="374"/>
        <w:jc w:val="both"/>
        <w:rPr>
          <w:rFonts w:eastAsiaTheme="minorHAnsi"/>
          <w:lang w:val="lv-LV"/>
        </w:rPr>
      </w:pPr>
    </w:p>
    <w:p w14:paraId="4A1A8E6D" w14:textId="77777777" w:rsidR="00C6178D" w:rsidRPr="00290B7B" w:rsidRDefault="00C6178D" w:rsidP="00290B7B">
      <w:pPr>
        <w:pStyle w:val="ListParagraph"/>
        <w:numPr>
          <w:ilvl w:val="0"/>
          <w:numId w:val="13"/>
        </w:numPr>
        <w:ind w:left="284" w:right="374" w:hanging="284"/>
        <w:jc w:val="both"/>
        <w:rPr>
          <w:rFonts w:ascii="Times New Roman" w:hAnsi="Times New Roman" w:cs="Times New Roman"/>
          <w:b/>
          <w:bCs/>
          <w:sz w:val="24"/>
          <w:szCs w:val="24"/>
        </w:rPr>
      </w:pPr>
      <w:r w:rsidRPr="00290B7B">
        <w:rPr>
          <w:rFonts w:ascii="Times New Roman" w:hAnsi="Times New Roman" w:cs="Times New Roman"/>
          <w:b/>
          <w:bCs/>
          <w:sz w:val="24"/>
          <w:szCs w:val="24"/>
        </w:rPr>
        <w:t>jautājums:</w:t>
      </w:r>
    </w:p>
    <w:p w14:paraId="65740E77" w14:textId="305BDD33" w:rsidR="00C6178D" w:rsidRPr="00290B7B" w:rsidRDefault="00C6178D" w:rsidP="00290B7B">
      <w:pPr>
        <w:ind w:right="374"/>
        <w:jc w:val="both"/>
        <w:rPr>
          <w:rFonts w:eastAsiaTheme="minorHAnsi"/>
          <w:lang w:val="lv-LV"/>
        </w:rPr>
      </w:pPr>
    </w:p>
    <w:p w14:paraId="77FF671E" w14:textId="6EDE474E" w:rsidR="00C6178D" w:rsidRPr="00290B7B" w:rsidRDefault="00C6178D" w:rsidP="00290B7B">
      <w:pPr>
        <w:ind w:right="374"/>
        <w:jc w:val="both"/>
        <w:rPr>
          <w:lang w:val="lv-LV"/>
        </w:rPr>
      </w:pPr>
      <w:r w:rsidRPr="00290B7B">
        <w:rPr>
          <w:lang w:val="lv-LV"/>
        </w:rPr>
        <w:t xml:space="preserve">Atbilstoši konkursa prasībām par «4.1. Vilces transformatori 10/0,516kV - 1500 </w:t>
      </w:r>
      <w:proofErr w:type="spellStart"/>
      <w:r w:rsidRPr="00290B7B">
        <w:rPr>
          <w:lang w:val="lv-LV"/>
        </w:rPr>
        <w:t>kVA</w:t>
      </w:r>
      <w:proofErr w:type="spellEnd"/>
      <w:r w:rsidRPr="00290B7B">
        <w:rPr>
          <w:lang w:val="lv-LV"/>
        </w:rPr>
        <w:t xml:space="preserve">» un «Vilces transformatori 10/0,516kV - 1800 </w:t>
      </w:r>
      <w:proofErr w:type="spellStart"/>
      <w:r w:rsidRPr="00290B7B">
        <w:rPr>
          <w:lang w:val="lv-LV"/>
        </w:rPr>
        <w:t>kVA</w:t>
      </w:r>
      <w:proofErr w:type="spellEnd"/>
      <w:r w:rsidRPr="00290B7B">
        <w:rPr>
          <w:lang w:val="lv-LV"/>
        </w:rPr>
        <w:t>» tas ir nepieciešams «Vektoru grupa: Dd0Dy11». Bet Primārā tinuma, kā saprotam, ir tikai viena, tāpēc Vektoru grupa: Dd0y11. Lūdzu, apstipriniet, ka Dd0y11 ir pareizs.</w:t>
      </w:r>
    </w:p>
    <w:p w14:paraId="60625D44" w14:textId="77777777" w:rsidR="00C6178D" w:rsidRPr="00290B7B" w:rsidRDefault="00C6178D" w:rsidP="00290B7B">
      <w:pPr>
        <w:ind w:right="374"/>
        <w:jc w:val="both"/>
        <w:rPr>
          <w:lang w:val="lv-LV"/>
        </w:rPr>
      </w:pPr>
    </w:p>
    <w:p w14:paraId="73BCE73A" w14:textId="749A18BB" w:rsidR="00C6178D" w:rsidRPr="00290B7B" w:rsidRDefault="00C6178D" w:rsidP="00290B7B">
      <w:pPr>
        <w:ind w:right="374"/>
        <w:jc w:val="both"/>
        <w:rPr>
          <w:b/>
          <w:bCs/>
          <w:lang w:val="lv-LV"/>
        </w:rPr>
      </w:pPr>
      <w:r w:rsidRPr="00290B7B">
        <w:rPr>
          <w:b/>
          <w:bCs/>
          <w:lang w:val="lv-LV"/>
        </w:rPr>
        <w:t>Atbilde:</w:t>
      </w:r>
    </w:p>
    <w:p w14:paraId="41FFD8F0" w14:textId="2A337998" w:rsidR="00C6178D" w:rsidRPr="00290B7B" w:rsidRDefault="00C6178D" w:rsidP="00290B7B">
      <w:pPr>
        <w:ind w:right="374"/>
        <w:jc w:val="both"/>
        <w:rPr>
          <w:lang w:val="lv-LV"/>
        </w:rPr>
      </w:pPr>
      <w:r w:rsidRPr="00290B7B">
        <w:rPr>
          <w:lang w:val="lv-LV"/>
        </w:rPr>
        <w:t xml:space="preserve">Apstiprinām, ka vilces transformatoriem 10/0,516kV - 1500 </w:t>
      </w:r>
      <w:proofErr w:type="spellStart"/>
      <w:r w:rsidRPr="00290B7B">
        <w:rPr>
          <w:lang w:val="lv-LV"/>
        </w:rPr>
        <w:t>kVA</w:t>
      </w:r>
      <w:proofErr w:type="spellEnd"/>
      <w:r w:rsidRPr="00290B7B">
        <w:rPr>
          <w:lang w:val="lv-LV"/>
        </w:rPr>
        <w:t xml:space="preserve"> un 10/0,516kV - 1800 </w:t>
      </w:r>
      <w:proofErr w:type="spellStart"/>
      <w:r w:rsidRPr="00290B7B">
        <w:rPr>
          <w:lang w:val="lv-LV"/>
        </w:rPr>
        <w:t>kVA</w:t>
      </w:r>
      <w:proofErr w:type="spellEnd"/>
      <w:r w:rsidRPr="00290B7B">
        <w:rPr>
          <w:lang w:val="lv-LV"/>
        </w:rPr>
        <w:t xml:space="preserve">  vektoru grupa Dd0Dy11 ir norādīta precīzi</w:t>
      </w:r>
      <w:r w:rsidRPr="00290B7B">
        <w:rPr>
          <w:lang w:val="lv-LV"/>
        </w:rPr>
        <w:t>.</w:t>
      </w:r>
    </w:p>
    <w:p w14:paraId="0F363245" w14:textId="77777777" w:rsidR="00C6178D" w:rsidRPr="00290B7B" w:rsidRDefault="00C6178D" w:rsidP="00290B7B">
      <w:pPr>
        <w:ind w:right="374"/>
        <w:jc w:val="both"/>
        <w:rPr>
          <w:lang w:val="lv-LV"/>
        </w:rPr>
      </w:pPr>
    </w:p>
    <w:p w14:paraId="4C0210A8" w14:textId="77777777" w:rsidR="00C6178D" w:rsidRPr="00290B7B" w:rsidRDefault="00C6178D" w:rsidP="00290B7B">
      <w:pPr>
        <w:pStyle w:val="ListParagraph"/>
        <w:numPr>
          <w:ilvl w:val="0"/>
          <w:numId w:val="13"/>
        </w:numPr>
        <w:ind w:left="284" w:right="374" w:hanging="284"/>
        <w:jc w:val="both"/>
        <w:rPr>
          <w:rFonts w:ascii="Times New Roman" w:hAnsi="Times New Roman" w:cs="Times New Roman"/>
          <w:b/>
          <w:bCs/>
          <w:sz w:val="24"/>
          <w:szCs w:val="24"/>
        </w:rPr>
      </w:pPr>
      <w:r w:rsidRPr="00290B7B">
        <w:rPr>
          <w:rFonts w:ascii="Times New Roman" w:hAnsi="Times New Roman" w:cs="Times New Roman"/>
          <w:b/>
          <w:bCs/>
          <w:sz w:val="24"/>
          <w:szCs w:val="24"/>
        </w:rPr>
        <w:t>jautājums:</w:t>
      </w:r>
    </w:p>
    <w:p w14:paraId="1181053A" w14:textId="7FB550F0" w:rsidR="00C6178D" w:rsidRPr="00290B7B" w:rsidRDefault="00C6178D" w:rsidP="00290B7B">
      <w:pPr>
        <w:ind w:right="374"/>
        <w:jc w:val="both"/>
        <w:rPr>
          <w:lang w:val="lv-LV"/>
        </w:rPr>
      </w:pPr>
      <w:r w:rsidRPr="00290B7B">
        <w:rPr>
          <w:lang w:val="lv-LV"/>
        </w:rPr>
        <w:t>Saskaņā ar konkursa prasībām 4.8 Ātrdarbīgā līnijas automāta ligzda ir minēts «Iebūvētas divas kopņu sistēmas: galvenās un rezerves kopnes», kas nozīmē atvienotājs rezerves kopnēm, bet pie «Pārvietojamās vilces apakšstacijas» nav Ātrdarbīgā rezerves automāta ligzda.</w:t>
      </w:r>
      <w:r w:rsidRPr="00290B7B">
        <w:rPr>
          <w:lang w:val="lv-LV"/>
        </w:rPr>
        <w:br/>
      </w:r>
      <w:r w:rsidRPr="00290B7B">
        <w:rPr>
          <w:lang w:val="lv-LV"/>
        </w:rPr>
        <w:br/>
        <w:t xml:space="preserve">Vai pareizi saprotam, ka «Pārvietojamās vilces apakšstacijas» rezerves kopnes </w:t>
      </w:r>
      <w:proofErr w:type="spellStart"/>
      <w:r w:rsidRPr="00290B7B">
        <w:rPr>
          <w:lang w:val="lv-LV"/>
        </w:rPr>
        <w:t>and</w:t>
      </w:r>
      <w:proofErr w:type="spellEnd"/>
      <w:r w:rsidRPr="00290B7B">
        <w:rPr>
          <w:lang w:val="lv-LV"/>
        </w:rPr>
        <w:t xml:space="preserve"> </w:t>
      </w:r>
      <w:proofErr w:type="spellStart"/>
      <w:r w:rsidRPr="00290B7B">
        <w:rPr>
          <w:lang w:val="lv-LV"/>
        </w:rPr>
        <w:t>disconnector</w:t>
      </w:r>
      <w:proofErr w:type="spellEnd"/>
      <w:r w:rsidRPr="00290B7B">
        <w:rPr>
          <w:lang w:val="lv-LV"/>
        </w:rPr>
        <w:t xml:space="preserve"> </w:t>
      </w:r>
      <w:proofErr w:type="spellStart"/>
      <w:r w:rsidRPr="00290B7B">
        <w:rPr>
          <w:lang w:val="lv-LV"/>
        </w:rPr>
        <w:t>for</w:t>
      </w:r>
      <w:proofErr w:type="spellEnd"/>
      <w:r w:rsidRPr="00290B7B">
        <w:rPr>
          <w:lang w:val="lv-LV"/>
        </w:rPr>
        <w:t xml:space="preserve"> rezerves kopnes </w:t>
      </w:r>
      <w:proofErr w:type="spellStart"/>
      <w:r w:rsidRPr="00290B7B">
        <w:rPr>
          <w:lang w:val="lv-LV"/>
        </w:rPr>
        <w:t>in</w:t>
      </w:r>
      <w:proofErr w:type="spellEnd"/>
      <w:r w:rsidRPr="00290B7B">
        <w:rPr>
          <w:lang w:val="lv-LV"/>
        </w:rPr>
        <w:t xml:space="preserve"> 4.8 Ātrdarbīgā līnijas automāta ligzda nav nepieciešama?</w:t>
      </w:r>
    </w:p>
    <w:p w14:paraId="69EEF867" w14:textId="77777777" w:rsidR="00C6178D" w:rsidRPr="00290B7B" w:rsidRDefault="00C6178D" w:rsidP="00290B7B">
      <w:pPr>
        <w:ind w:right="374"/>
        <w:jc w:val="both"/>
        <w:rPr>
          <w:lang w:val="lv-LV" w:eastAsia="lv-LV"/>
        </w:rPr>
      </w:pPr>
    </w:p>
    <w:p w14:paraId="18FA0E44" w14:textId="2C2E38AF" w:rsidR="00C6178D" w:rsidRPr="00290B7B" w:rsidRDefault="00C6178D" w:rsidP="00290B7B">
      <w:pPr>
        <w:ind w:right="374"/>
        <w:jc w:val="both"/>
        <w:rPr>
          <w:b/>
          <w:bCs/>
          <w:lang w:val="lv-LV" w:eastAsia="lv-LV"/>
        </w:rPr>
      </w:pPr>
      <w:r w:rsidRPr="00290B7B">
        <w:rPr>
          <w:b/>
          <w:bCs/>
          <w:lang w:val="lv-LV" w:eastAsia="lv-LV"/>
        </w:rPr>
        <w:t>Atbilde:</w:t>
      </w:r>
    </w:p>
    <w:p w14:paraId="3B329CFB" w14:textId="77777777" w:rsidR="00C6178D" w:rsidRPr="00290B7B" w:rsidRDefault="00C6178D" w:rsidP="00290B7B">
      <w:pPr>
        <w:ind w:right="374"/>
        <w:jc w:val="both"/>
        <w:rPr>
          <w:lang w:val="lv-LV" w:eastAsia="lv-LV"/>
        </w:rPr>
      </w:pPr>
      <w:r w:rsidRPr="00290B7B">
        <w:rPr>
          <w:lang w:val="lv-LV"/>
        </w:rPr>
        <w:t>Pārvietojamā vilces apakšstacijā ātrdarbīga rezerves automāta ierīkošana nav paredzēta.</w:t>
      </w:r>
    </w:p>
    <w:p w14:paraId="4F41AB91" w14:textId="25A5ECD1" w:rsidR="00C6178D" w:rsidRPr="00290B7B" w:rsidRDefault="00C6178D" w:rsidP="00290B7B">
      <w:pPr>
        <w:ind w:right="374"/>
        <w:jc w:val="both"/>
        <w:rPr>
          <w:rFonts w:eastAsiaTheme="minorHAnsi"/>
          <w:lang w:val="lv-LV"/>
        </w:rPr>
      </w:pPr>
    </w:p>
    <w:p w14:paraId="697ACCCA" w14:textId="270F4A6F" w:rsidR="00290B7B" w:rsidRPr="00290B7B" w:rsidRDefault="00290B7B" w:rsidP="00290B7B">
      <w:pPr>
        <w:ind w:right="374"/>
        <w:jc w:val="both"/>
        <w:rPr>
          <w:rFonts w:eastAsiaTheme="minorHAnsi"/>
          <w:lang w:val="lv-LV"/>
        </w:rPr>
      </w:pPr>
    </w:p>
    <w:p w14:paraId="10A75121" w14:textId="77777777" w:rsidR="00290B7B" w:rsidRPr="00290B7B" w:rsidRDefault="00290B7B" w:rsidP="00290B7B">
      <w:pPr>
        <w:ind w:right="374"/>
        <w:jc w:val="both"/>
        <w:rPr>
          <w:rFonts w:eastAsiaTheme="minorHAnsi"/>
          <w:lang w:val="lv-LV"/>
        </w:rPr>
      </w:pPr>
    </w:p>
    <w:p w14:paraId="2280D695" w14:textId="77777777" w:rsidR="000D1F8E" w:rsidRPr="00290B7B" w:rsidRDefault="000D1F8E" w:rsidP="00290B7B">
      <w:pPr>
        <w:ind w:right="374"/>
        <w:jc w:val="both"/>
        <w:rPr>
          <w:rFonts w:eastAsiaTheme="minorHAnsi"/>
          <w:lang w:val="lv-LV"/>
        </w:rPr>
      </w:pPr>
    </w:p>
    <w:p w14:paraId="7054CEC5" w14:textId="18A6A08B" w:rsidR="00ED287C" w:rsidRPr="00290B7B" w:rsidRDefault="00ED287C" w:rsidP="00290B7B">
      <w:pPr>
        <w:ind w:right="374"/>
        <w:jc w:val="both"/>
        <w:outlineLvl w:val="0"/>
        <w:rPr>
          <w:lang w:val="lv-LV"/>
        </w:rPr>
      </w:pPr>
      <w:r w:rsidRPr="00290B7B">
        <w:rPr>
          <w:lang w:val="lv-LV"/>
        </w:rPr>
        <w:t xml:space="preserve">Iepirkumu komisijas priekšsēdētāja                                                                          </w:t>
      </w:r>
      <w:r w:rsidR="00DF0270" w:rsidRPr="00290B7B">
        <w:rPr>
          <w:lang w:val="lv-LV"/>
        </w:rPr>
        <w:t xml:space="preserve"> </w:t>
      </w:r>
      <w:r w:rsidR="006A6145" w:rsidRPr="00290B7B">
        <w:rPr>
          <w:lang w:val="lv-LV"/>
        </w:rPr>
        <w:t xml:space="preserve"> </w:t>
      </w:r>
      <w:r w:rsidR="0061319C" w:rsidRPr="00290B7B">
        <w:rPr>
          <w:lang w:val="lv-LV"/>
        </w:rPr>
        <w:t xml:space="preserve">       </w:t>
      </w:r>
      <w:r w:rsidRPr="00290B7B">
        <w:rPr>
          <w:lang w:val="lv-LV"/>
        </w:rPr>
        <w:t xml:space="preserve"> </w:t>
      </w:r>
      <w:proofErr w:type="spellStart"/>
      <w:r w:rsidR="000D1F8E" w:rsidRPr="00290B7B">
        <w:rPr>
          <w:lang w:val="lv-LV"/>
        </w:rPr>
        <w:t>K.Meiberga</w:t>
      </w:r>
      <w:proofErr w:type="spellEnd"/>
    </w:p>
    <w:p w14:paraId="4B69A4F9" w14:textId="77777777" w:rsidR="000D1F8E" w:rsidRPr="00290B7B" w:rsidRDefault="000D1F8E" w:rsidP="00290B7B">
      <w:pPr>
        <w:ind w:right="374"/>
        <w:jc w:val="both"/>
        <w:outlineLvl w:val="0"/>
        <w:rPr>
          <w:lang w:val="lv-LV"/>
        </w:rPr>
      </w:pPr>
    </w:p>
    <w:p w14:paraId="55ADFC89" w14:textId="13CC7325" w:rsidR="00684FF7" w:rsidRPr="00290B7B" w:rsidRDefault="00684FF7" w:rsidP="00290B7B">
      <w:pPr>
        <w:ind w:right="374"/>
        <w:jc w:val="center"/>
        <w:rPr>
          <w:lang w:val="lv-LV"/>
        </w:rPr>
      </w:pPr>
    </w:p>
    <w:sectPr w:rsidR="00684FF7" w:rsidRPr="00290B7B"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4D6F" w14:textId="77777777" w:rsidR="0030309A" w:rsidRDefault="0030309A">
      <w:r>
        <w:separator/>
      </w:r>
    </w:p>
  </w:endnote>
  <w:endnote w:type="continuationSeparator" w:id="0">
    <w:p w14:paraId="57B85FA0" w14:textId="77777777" w:rsidR="0030309A" w:rsidRDefault="0030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A2F2" w14:textId="77777777" w:rsidR="0030309A" w:rsidRDefault="0030309A">
      <w:r>
        <w:separator/>
      </w:r>
    </w:p>
  </w:footnote>
  <w:footnote w:type="continuationSeparator" w:id="0">
    <w:p w14:paraId="52F0ACA1" w14:textId="77777777" w:rsidR="0030309A" w:rsidRDefault="0030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4D6A854"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7D5EBA">
      <w:t>02.10.2023.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C30076"/>
    <w:multiLevelType w:val="hybridMultilevel"/>
    <w:tmpl w:val="F1CA6E52"/>
    <w:lvl w:ilvl="0" w:tplc="EFCAC1F8">
      <w:start w:val="1"/>
      <w:numFmt w:val="decimal"/>
      <w:lvlText w:val="%1)"/>
      <w:lvlJc w:val="left"/>
      <w:pPr>
        <w:ind w:left="420" w:hanging="360"/>
      </w:pPr>
      <w:rPr>
        <w:color w:val="00000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7"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E623DFC"/>
    <w:multiLevelType w:val="hybridMultilevel"/>
    <w:tmpl w:val="FD56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447E2"/>
    <w:multiLevelType w:val="hybridMultilevel"/>
    <w:tmpl w:val="53543354"/>
    <w:lvl w:ilvl="0" w:tplc="DBBC5542">
      <w:start w:val="1"/>
      <w:numFmt w:val="decimal"/>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3346010">
    <w:abstractNumId w:val="0"/>
  </w:num>
  <w:num w:numId="2" w16cid:durableId="1007446087">
    <w:abstractNumId w:val="7"/>
  </w:num>
  <w:num w:numId="3" w16cid:durableId="1214611221">
    <w:abstractNumId w:val="12"/>
  </w:num>
  <w:num w:numId="4" w16cid:durableId="1621188116">
    <w:abstractNumId w:val="1"/>
  </w:num>
  <w:num w:numId="5" w16cid:durableId="1366634695">
    <w:abstractNumId w:val="9"/>
  </w:num>
  <w:num w:numId="6" w16cid:durableId="1471315599">
    <w:abstractNumId w:val="4"/>
  </w:num>
  <w:num w:numId="7" w16cid:durableId="16280093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9044636">
    <w:abstractNumId w:val="10"/>
  </w:num>
  <w:num w:numId="9" w16cid:durableId="1802108987">
    <w:abstractNumId w:val="5"/>
  </w:num>
  <w:num w:numId="10" w16cid:durableId="1929346777">
    <w:abstractNumId w:val="2"/>
  </w:num>
  <w:num w:numId="11" w16cid:durableId="130666415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694188">
    <w:abstractNumId w:val="13"/>
  </w:num>
  <w:num w:numId="13" w16cid:durableId="733548429">
    <w:abstractNumId w:val="3"/>
  </w:num>
  <w:num w:numId="14" w16cid:durableId="2135636543">
    <w:abstractNumId w:val="14"/>
  </w:num>
  <w:num w:numId="15" w16cid:durableId="1803034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77779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A1E"/>
    <w:rsid w:val="00012860"/>
    <w:rsid w:val="0001357B"/>
    <w:rsid w:val="0001453B"/>
    <w:rsid w:val="00014AAA"/>
    <w:rsid w:val="00015838"/>
    <w:rsid w:val="000311C0"/>
    <w:rsid w:val="0004076F"/>
    <w:rsid w:val="0004286D"/>
    <w:rsid w:val="00044AEE"/>
    <w:rsid w:val="000513F6"/>
    <w:rsid w:val="000525F0"/>
    <w:rsid w:val="00052CD7"/>
    <w:rsid w:val="000604EE"/>
    <w:rsid w:val="000616A3"/>
    <w:rsid w:val="00072933"/>
    <w:rsid w:val="000B0105"/>
    <w:rsid w:val="000B6FD1"/>
    <w:rsid w:val="000C2F69"/>
    <w:rsid w:val="000D1F8E"/>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530"/>
    <w:rsid w:val="00191138"/>
    <w:rsid w:val="001A4C62"/>
    <w:rsid w:val="001A6133"/>
    <w:rsid w:val="001A6A27"/>
    <w:rsid w:val="001B000D"/>
    <w:rsid w:val="001B2AD7"/>
    <w:rsid w:val="001B6718"/>
    <w:rsid w:val="001B6FD9"/>
    <w:rsid w:val="001C5053"/>
    <w:rsid w:val="002001E4"/>
    <w:rsid w:val="002222DE"/>
    <w:rsid w:val="00233FCE"/>
    <w:rsid w:val="00234157"/>
    <w:rsid w:val="00234C11"/>
    <w:rsid w:val="00250C8B"/>
    <w:rsid w:val="002519F8"/>
    <w:rsid w:val="0026220C"/>
    <w:rsid w:val="00263228"/>
    <w:rsid w:val="002671CE"/>
    <w:rsid w:val="00274245"/>
    <w:rsid w:val="002747E5"/>
    <w:rsid w:val="00290B7B"/>
    <w:rsid w:val="002B1A94"/>
    <w:rsid w:val="002C178C"/>
    <w:rsid w:val="002C786C"/>
    <w:rsid w:val="002D303C"/>
    <w:rsid w:val="002E10DC"/>
    <w:rsid w:val="002E43A6"/>
    <w:rsid w:val="002E5BC5"/>
    <w:rsid w:val="002E786C"/>
    <w:rsid w:val="00300D5F"/>
    <w:rsid w:val="003014F9"/>
    <w:rsid w:val="00301EF1"/>
    <w:rsid w:val="0030309A"/>
    <w:rsid w:val="003130A2"/>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13B4"/>
    <w:rsid w:val="004C2F01"/>
    <w:rsid w:val="004D636B"/>
    <w:rsid w:val="004E3581"/>
    <w:rsid w:val="004F098D"/>
    <w:rsid w:val="004F0DA4"/>
    <w:rsid w:val="004F581B"/>
    <w:rsid w:val="00514C32"/>
    <w:rsid w:val="00517B44"/>
    <w:rsid w:val="00521B07"/>
    <w:rsid w:val="0052354F"/>
    <w:rsid w:val="0052581A"/>
    <w:rsid w:val="00526FFA"/>
    <w:rsid w:val="0054525F"/>
    <w:rsid w:val="0056186C"/>
    <w:rsid w:val="00570E1F"/>
    <w:rsid w:val="00573C21"/>
    <w:rsid w:val="00574553"/>
    <w:rsid w:val="00576258"/>
    <w:rsid w:val="00576EBE"/>
    <w:rsid w:val="005A0903"/>
    <w:rsid w:val="005B1FDE"/>
    <w:rsid w:val="005D3F37"/>
    <w:rsid w:val="005D47D5"/>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6645"/>
    <w:rsid w:val="006874A7"/>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5033F"/>
    <w:rsid w:val="00756CAE"/>
    <w:rsid w:val="00761DC2"/>
    <w:rsid w:val="007666D6"/>
    <w:rsid w:val="00780537"/>
    <w:rsid w:val="00781423"/>
    <w:rsid w:val="00781934"/>
    <w:rsid w:val="007875D1"/>
    <w:rsid w:val="00792BCA"/>
    <w:rsid w:val="007A34BE"/>
    <w:rsid w:val="007B1AFB"/>
    <w:rsid w:val="007B3E19"/>
    <w:rsid w:val="007C7D70"/>
    <w:rsid w:val="007D161A"/>
    <w:rsid w:val="007D343F"/>
    <w:rsid w:val="007D4DAC"/>
    <w:rsid w:val="007D5EBA"/>
    <w:rsid w:val="007D62F7"/>
    <w:rsid w:val="007E1B98"/>
    <w:rsid w:val="007F411B"/>
    <w:rsid w:val="00803136"/>
    <w:rsid w:val="00803A1A"/>
    <w:rsid w:val="00804B9C"/>
    <w:rsid w:val="008100AA"/>
    <w:rsid w:val="00811234"/>
    <w:rsid w:val="0082594E"/>
    <w:rsid w:val="00825FA6"/>
    <w:rsid w:val="00830C0F"/>
    <w:rsid w:val="008324A5"/>
    <w:rsid w:val="008533C8"/>
    <w:rsid w:val="00857D3F"/>
    <w:rsid w:val="00863CC3"/>
    <w:rsid w:val="00872B4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5730"/>
    <w:rsid w:val="00983AFB"/>
    <w:rsid w:val="00984992"/>
    <w:rsid w:val="009950FF"/>
    <w:rsid w:val="00996DDD"/>
    <w:rsid w:val="009A3987"/>
    <w:rsid w:val="009B03BA"/>
    <w:rsid w:val="009B6D80"/>
    <w:rsid w:val="009B7901"/>
    <w:rsid w:val="009C289F"/>
    <w:rsid w:val="009D1FF6"/>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4E91"/>
    <w:rsid w:val="00AF6DD2"/>
    <w:rsid w:val="00B05285"/>
    <w:rsid w:val="00B05C16"/>
    <w:rsid w:val="00B120E3"/>
    <w:rsid w:val="00B12BD6"/>
    <w:rsid w:val="00B17037"/>
    <w:rsid w:val="00B20B4D"/>
    <w:rsid w:val="00B36E79"/>
    <w:rsid w:val="00B40C08"/>
    <w:rsid w:val="00B41AA2"/>
    <w:rsid w:val="00B45069"/>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6178D"/>
    <w:rsid w:val="00C653CC"/>
    <w:rsid w:val="00C71C92"/>
    <w:rsid w:val="00C71D15"/>
    <w:rsid w:val="00C82B02"/>
    <w:rsid w:val="00C91D95"/>
    <w:rsid w:val="00C950CD"/>
    <w:rsid w:val="00CA0385"/>
    <w:rsid w:val="00CA73ED"/>
    <w:rsid w:val="00CB3ACB"/>
    <w:rsid w:val="00CB7671"/>
    <w:rsid w:val="00CC5B28"/>
    <w:rsid w:val="00CD01E0"/>
    <w:rsid w:val="00CE03A1"/>
    <w:rsid w:val="00D019CA"/>
    <w:rsid w:val="00D05222"/>
    <w:rsid w:val="00D317EC"/>
    <w:rsid w:val="00D34A22"/>
    <w:rsid w:val="00D35504"/>
    <w:rsid w:val="00D408A4"/>
    <w:rsid w:val="00D43D83"/>
    <w:rsid w:val="00D56440"/>
    <w:rsid w:val="00D77F55"/>
    <w:rsid w:val="00D81F1C"/>
    <w:rsid w:val="00D86507"/>
    <w:rsid w:val="00D93E06"/>
    <w:rsid w:val="00DB2C78"/>
    <w:rsid w:val="00DB6249"/>
    <w:rsid w:val="00DC04D9"/>
    <w:rsid w:val="00DC6EAE"/>
    <w:rsid w:val="00DD6FE2"/>
    <w:rsid w:val="00DE6FD5"/>
    <w:rsid w:val="00DF0040"/>
    <w:rsid w:val="00DF0270"/>
    <w:rsid w:val="00DF14C4"/>
    <w:rsid w:val="00DF6D93"/>
    <w:rsid w:val="00E00F55"/>
    <w:rsid w:val="00E030A1"/>
    <w:rsid w:val="00E064E9"/>
    <w:rsid w:val="00E07F7D"/>
    <w:rsid w:val="00E34732"/>
    <w:rsid w:val="00E42D5D"/>
    <w:rsid w:val="00E43013"/>
    <w:rsid w:val="00E47F88"/>
    <w:rsid w:val="00E50CF3"/>
    <w:rsid w:val="00E52032"/>
    <w:rsid w:val="00E718B5"/>
    <w:rsid w:val="00E71B3D"/>
    <w:rsid w:val="00E71DD0"/>
    <w:rsid w:val="00E80785"/>
    <w:rsid w:val="00E842ED"/>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EDA"/>
    <w:rsid w:val="00F213A8"/>
    <w:rsid w:val="00F2385E"/>
    <w:rsid w:val="00F321BF"/>
    <w:rsid w:val="00F428CF"/>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 w:type="character" w:customStyle="1" w:styleId="m-588494195488420852m7340897993396569639gmail-apple-converted-space">
    <w:name w:val="m_-588494195488420852m7340897993396569639gmail-apple-converted-space"/>
    <w:basedOn w:val="DefaultParagraphFont"/>
    <w:rsid w:val="00C6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270669602">
      <w:bodyDiv w:val="1"/>
      <w:marLeft w:val="0"/>
      <w:marRight w:val="0"/>
      <w:marTop w:val="0"/>
      <w:marBottom w:val="0"/>
      <w:divBdr>
        <w:top w:val="none" w:sz="0" w:space="0" w:color="auto"/>
        <w:left w:val="none" w:sz="0" w:space="0" w:color="auto"/>
        <w:bottom w:val="none" w:sz="0" w:space="0" w:color="auto"/>
        <w:right w:val="none" w:sz="0" w:space="0" w:color="auto"/>
      </w:divBdr>
    </w:div>
    <w:div w:id="386034390">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53162476">
      <w:bodyDiv w:val="1"/>
      <w:marLeft w:val="0"/>
      <w:marRight w:val="0"/>
      <w:marTop w:val="0"/>
      <w:marBottom w:val="0"/>
      <w:divBdr>
        <w:top w:val="none" w:sz="0" w:space="0" w:color="auto"/>
        <w:left w:val="none" w:sz="0" w:space="0" w:color="auto"/>
        <w:bottom w:val="none" w:sz="0" w:space="0" w:color="auto"/>
        <w:right w:val="none" w:sz="0" w:space="0" w:color="auto"/>
      </w:divBdr>
    </w:div>
    <w:div w:id="957881319">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24355680">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72215608">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41432671">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4893459">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 w:id="21350588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2.xml><?xml version="1.0" encoding="utf-8"?>
<ds:datastoreItem xmlns:ds="http://schemas.openxmlformats.org/officeDocument/2006/customXml" ds:itemID="{4B4AB88F-E598-4851-8C62-B2F493D64DA4}">
  <ds:schemaRefs>
    <ds:schemaRef ds:uri="http://schemas.openxmlformats.org/officeDocument/2006/bibliography"/>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4726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2023-10-02T10:53:00Z</dcterms:created>
  <dcterms:modified xsi:type="dcterms:W3CDTF">2023-10-02T10:53:00Z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