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E81B7" w14:textId="1AAFF13E" w:rsidR="000B7353" w:rsidRPr="008C7178" w:rsidRDefault="000B7353" w:rsidP="000B7353">
      <w:pPr>
        <w:jc w:val="right"/>
        <w:rPr>
          <w:lang w:val="lv-LV"/>
        </w:rPr>
      </w:pPr>
    </w:p>
    <w:p w14:paraId="361E2A01" w14:textId="0F75BFDF" w:rsidR="00713E87" w:rsidRPr="009406E6" w:rsidRDefault="00713E87" w:rsidP="009406E6">
      <w:pPr>
        <w:jc w:val="both"/>
        <w:rPr>
          <w:i/>
          <w:iCs/>
          <w:lang w:val="lv-LV"/>
        </w:rPr>
      </w:pPr>
      <w:r w:rsidRPr="009406E6">
        <w:rPr>
          <w:i/>
          <w:iCs/>
          <w:lang w:val="lv-LV"/>
        </w:rPr>
        <w:t>Par atbil</w:t>
      </w:r>
      <w:r w:rsidR="009406E6" w:rsidRPr="009406E6">
        <w:rPr>
          <w:i/>
          <w:iCs/>
          <w:lang w:val="lv-LV"/>
        </w:rPr>
        <w:t>žu</w:t>
      </w:r>
      <w:r w:rsidRPr="009406E6">
        <w:rPr>
          <w:i/>
          <w:iCs/>
          <w:lang w:val="lv-LV"/>
        </w:rPr>
        <w:t xml:space="preserve"> sniegšanu </w:t>
      </w:r>
    </w:p>
    <w:p w14:paraId="3E3E4786" w14:textId="47EBE5EB" w:rsidR="00713E87" w:rsidRPr="009406E6" w:rsidRDefault="00713E87" w:rsidP="009406E6">
      <w:pPr>
        <w:jc w:val="both"/>
        <w:rPr>
          <w:i/>
          <w:iCs/>
          <w:lang w:val="lv-LV"/>
        </w:rPr>
      </w:pPr>
      <w:r w:rsidRPr="009406E6">
        <w:rPr>
          <w:i/>
          <w:iCs/>
          <w:lang w:val="lv-LV"/>
        </w:rPr>
        <w:t xml:space="preserve">par </w:t>
      </w:r>
      <w:r w:rsidR="004A12E8" w:rsidRPr="009406E6">
        <w:rPr>
          <w:i/>
          <w:iCs/>
          <w:lang w:val="lv-LV"/>
        </w:rPr>
        <w:t>iepirkuma procedūras</w:t>
      </w:r>
      <w:r w:rsidRPr="009406E6">
        <w:rPr>
          <w:i/>
          <w:iCs/>
          <w:lang w:val="lv-LV"/>
        </w:rPr>
        <w:t xml:space="preserve"> “</w:t>
      </w:r>
      <w:r w:rsidR="000321AC" w:rsidRPr="009406E6">
        <w:rPr>
          <w:i/>
          <w:iCs/>
          <w:lang w:val="lv-LV"/>
        </w:rPr>
        <w:t>Finanšu pārskata revīzijas un ilgtspējas ziņojuma apliecinājuma pakalpojumi</w:t>
      </w:r>
      <w:r w:rsidRPr="009406E6">
        <w:rPr>
          <w:i/>
          <w:iCs/>
          <w:lang w:val="lv-LV"/>
        </w:rPr>
        <w:t>” (ID Nr. RS/2026/</w:t>
      </w:r>
      <w:r w:rsidR="000321AC" w:rsidRPr="009406E6">
        <w:rPr>
          <w:i/>
          <w:iCs/>
          <w:lang w:val="lv-LV"/>
        </w:rPr>
        <w:t>29</w:t>
      </w:r>
      <w:r w:rsidRPr="009406E6">
        <w:rPr>
          <w:i/>
          <w:iCs/>
          <w:lang w:val="lv-LV"/>
        </w:rPr>
        <w:t>) nolikuma prasībām</w:t>
      </w:r>
    </w:p>
    <w:p w14:paraId="6DC509E5" w14:textId="77777777" w:rsidR="000C5391" w:rsidRPr="009406E6" w:rsidRDefault="000C5391" w:rsidP="009406E6">
      <w:pPr>
        <w:jc w:val="both"/>
        <w:rPr>
          <w:i/>
          <w:iCs/>
          <w:lang w:val="lv-LV"/>
        </w:rPr>
      </w:pPr>
    </w:p>
    <w:p w14:paraId="06B1A3B8" w14:textId="2DA2F898" w:rsidR="005A7A9C" w:rsidRPr="009406E6" w:rsidRDefault="005A7A9C" w:rsidP="009406E6">
      <w:pPr>
        <w:ind w:right="-8" w:firstLine="720"/>
        <w:jc w:val="both"/>
        <w:rPr>
          <w:b/>
          <w:bCs/>
          <w:lang w:val="lv-LV"/>
        </w:rPr>
      </w:pPr>
      <w:r w:rsidRPr="009406E6">
        <w:rPr>
          <w:lang w:val="lv-LV"/>
        </w:rPr>
        <w:t>Rīgas pašvaldības sabiedrības ar ierobežotu atbildību “Rīgas satiksme” Iepirkuma komisija (turpmāk – Pasūtītājs) no iespējamā pretendenta ir saņēmusi vēstuli ar lūgumu sniegt skaidrojumu par iepirkuma procedūras “</w:t>
      </w:r>
      <w:r w:rsidR="000321AC" w:rsidRPr="009406E6">
        <w:rPr>
          <w:lang w:val="lv-LV"/>
        </w:rPr>
        <w:t>Finanšu pārskata revīzijas un ilgtspējas ziņojuma apliecinājuma pakalpojumi</w:t>
      </w:r>
      <w:r w:rsidRPr="009406E6">
        <w:rPr>
          <w:lang w:val="lv-LV"/>
        </w:rPr>
        <w:t>” (ID Nr. RS/2026/</w:t>
      </w:r>
      <w:r w:rsidR="000321AC" w:rsidRPr="009406E6">
        <w:rPr>
          <w:lang w:val="lv-LV"/>
        </w:rPr>
        <w:t>29</w:t>
      </w:r>
      <w:r w:rsidRPr="009406E6">
        <w:rPr>
          <w:i/>
          <w:iCs/>
          <w:lang w:val="lv-LV"/>
        </w:rPr>
        <w:t xml:space="preserve">) </w:t>
      </w:r>
      <w:r w:rsidRPr="009406E6">
        <w:rPr>
          <w:lang w:val="lv-LV"/>
        </w:rPr>
        <w:t>nolikumā (turpmāk – Nolikums) ietvertajām prasībām.</w:t>
      </w:r>
    </w:p>
    <w:p w14:paraId="00850BCC" w14:textId="77777777" w:rsidR="005A7A9C" w:rsidRPr="009406E6" w:rsidRDefault="005A7A9C" w:rsidP="009406E6">
      <w:pPr>
        <w:ind w:right="-8"/>
        <w:jc w:val="both"/>
        <w:rPr>
          <w:lang w:val="lv-LV"/>
        </w:rPr>
      </w:pPr>
    </w:p>
    <w:p w14:paraId="5D28982C" w14:textId="6DFD6B6D" w:rsidR="00F13A9E" w:rsidRDefault="009406E6" w:rsidP="00F13A9E">
      <w:pPr>
        <w:pStyle w:val="ListParagraph"/>
        <w:numPr>
          <w:ilvl w:val="0"/>
          <w:numId w:val="6"/>
        </w:numPr>
        <w:ind w:left="284" w:right="-8" w:hanging="284"/>
        <w:jc w:val="both"/>
        <w:rPr>
          <w:b/>
          <w:bCs/>
          <w:lang w:val="lv-LV"/>
        </w:rPr>
      </w:pPr>
      <w:r w:rsidRPr="009406E6">
        <w:rPr>
          <w:b/>
          <w:bCs/>
          <w:lang w:val="lv-LV"/>
        </w:rPr>
        <w:t>j</w:t>
      </w:r>
      <w:r w:rsidR="002779F5" w:rsidRPr="009406E6">
        <w:rPr>
          <w:b/>
          <w:bCs/>
          <w:lang w:val="lv-LV"/>
        </w:rPr>
        <w:t>autājums</w:t>
      </w:r>
      <w:r w:rsidR="004C200B" w:rsidRPr="009406E6">
        <w:rPr>
          <w:b/>
          <w:bCs/>
          <w:lang w:val="lv-LV"/>
        </w:rPr>
        <w:t>:</w:t>
      </w:r>
    </w:p>
    <w:p w14:paraId="3E596288" w14:textId="77777777" w:rsidR="009D45C1" w:rsidRPr="00F13A9E" w:rsidRDefault="009D45C1" w:rsidP="009D45C1">
      <w:pPr>
        <w:pStyle w:val="ListParagraph"/>
        <w:ind w:left="284" w:right="-8"/>
        <w:jc w:val="both"/>
        <w:rPr>
          <w:b/>
          <w:bCs/>
          <w:lang w:val="lv-LV"/>
        </w:rPr>
      </w:pPr>
    </w:p>
    <w:p w14:paraId="14365E97" w14:textId="6B17C34F" w:rsidR="00F13A9E" w:rsidRDefault="009406E6" w:rsidP="009406E6">
      <w:pPr>
        <w:jc w:val="both"/>
        <w:rPr>
          <w:rFonts w:eastAsia="Arial"/>
          <w:b/>
          <w:lang w:val="lv-LV"/>
        </w:rPr>
      </w:pPr>
      <w:r w:rsidRPr="009406E6">
        <w:rPr>
          <w:rFonts w:eastAsia="Arial"/>
          <w:b/>
          <w:lang w:val="lv-LV"/>
        </w:rPr>
        <w:t>I</w:t>
      </w:r>
      <w:r w:rsidRPr="009406E6">
        <w:rPr>
          <w:rFonts w:eastAsia="Arial"/>
          <w:b/>
          <w:i/>
          <w:iCs/>
          <w:lang w:val="lv-LV"/>
        </w:rPr>
        <w:t xml:space="preserve"> </w:t>
      </w:r>
      <w:r w:rsidRPr="009406E6">
        <w:rPr>
          <w:rFonts w:eastAsia="Arial"/>
          <w:b/>
          <w:lang w:val="lv-LV"/>
        </w:rPr>
        <w:t>Pamatojums atsevišķu līgumu nepieciešamībai</w:t>
      </w:r>
    </w:p>
    <w:p w14:paraId="7275DA72" w14:textId="77777777" w:rsidR="009D45C1" w:rsidRPr="009406E6" w:rsidRDefault="009D45C1" w:rsidP="009406E6">
      <w:pPr>
        <w:jc w:val="both"/>
        <w:rPr>
          <w:rFonts w:eastAsia="Arial"/>
          <w:b/>
          <w:lang w:val="lv-LV"/>
        </w:rPr>
      </w:pPr>
    </w:p>
    <w:p w14:paraId="40ECDDE3" w14:textId="77777777" w:rsidR="009406E6" w:rsidRPr="009406E6" w:rsidRDefault="009406E6" w:rsidP="009406E6">
      <w:pPr>
        <w:jc w:val="both"/>
        <w:rPr>
          <w:rFonts w:eastAsia="Arial"/>
          <w:lang w:val="lv-LV"/>
        </w:rPr>
      </w:pPr>
      <w:r w:rsidRPr="009406E6">
        <w:rPr>
          <w:rFonts w:eastAsia="Arial"/>
          <w:lang w:val="lv-LV"/>
        </w:rPr>
        <w:t>Pamatojoties uz Revīzijas pakalpojumu likumu un piemērojamo profesionālo standartu prasībām, situācijās, kad zvērināts revidents sniedz gan finanšu pārskata revīzijas (audita) pakalpojumu, gan ilgtspējas ziņojuma ierobežotās pārbaudes (apliecinājuma) pakalpojumu, ir pamatoti un atbilstoši slēgt divus atsevišķus līgumus, jo šie ir divi atšķirīgi revīzijas pakalpojumu veidi ar atšķirīgu regulējumu un standartiem. Saskaņā ar Revīzijas pakalpojumu likumu “revīzijas pakalpojums” ietver dažādus uzdevumu veidus, tostarp:</w:t>
      </w:r>
    </w:p>
    <w:p w14:paraId="5A0929ED" w14:textId="77777777" w:rsidR="009406E6" w:rsidRPr="009406E6" w:rsidRDefault="009406E6" w:rsidP="008143E1">
      <w:pPr>
        <w:pStyle w:val="ListParagraph"/>
        <w:numPr>
          <w:ilvl w:val="0"/>
          <w:numId w:val="7"/>
        </w:numPr>
        <w:ind w:left="567"/>
        <w:jc w:val="both"/>
        <w:rPr>
          <w:rFonts w:eastAsia="Arial"/>
          <w:lang w:val="lv-LV"/>
        </w:rPr>
      </w:pPr>
      <w:r w:rsidRPr="009406E6">
        <w:rPr>
          <w:rFonts w:eastAsia="Arial"/>
          <w:lang w:val="lv-LV"/>
        </w:rPr>
        <w:t>finanšu pārskatu revīziju ar revidenta ziņojuma sniegšanu,</w:t>
      </w:r>
    </w:p>
    <w:p w14:paraId="2C9A487C" w14:textId="77777777" w:rsidR="009406E6" w:rsidRPr="009406E6" w:rsidRDefault="009406E6" w:rsidP="008143E1">
      <w:pPr>
        <w:pStyle w:val="ListParagraph"/>
        <w:numPr>
          <w:ilvl w:val="0"/>
          <w:numId w:val="7"/>
        </w:numPr>
        <w:ind w:left="567"/>
        <w:jc w:val="both"/>
        <w:rPr>
          <w:rFonts w:eastAsia="Arial"/>
          <w:lang w:val="lv-LV"/>
        </w:rPr>
      </w:pPr>
      <w:r w:rsidRPr="009406E6">
        <w:rPr>
          <w:rFonts w:eastAsia="Arial"/>
          <w:lang w:val="lv-LV"/>
        </w:rPr>
        <w:t>kā arī citos normatīvajos aktos vai līgumā paredzētus revīzijas vai pārbaudes uzdevumus, tostarp ierobežotās pārbaudes.</w:t>
      </w:r>
    </w:p>
    <w:p w14:paraId="35DB794A" w14:textId="77777777" w:rsidR="009406E6" w:rsidRPr="009406E6" w:rsidRDefault="009406E6" w:rsidP="009406E6">
      <w:pPr>
        <w:jc w:val="both"/>
        <w:rPr>
          <w:rFonts w:eastAsia="Arial"/>
          <w:lang w:val="lv-LV"/>
        </w:rPr>
      </w:pPr>
      <w:r w:rsidRPr="009406E6">
        <w:rPr>
          <w:rFonts w:eastAsia="Arial"/>
          <w:lang w:val="lv-LV"/>
        </w:rPr>
        <w:t>Tas nozīmē, ka katrs no šiem uzdevumiem juridiski tiek uzskatīts par atsevišķu pakalpojumu ar atšķirīgu saturu un mērķi, un attiecīgi atsevišķu pakalpojuma sniegšanas līgumu. Vēlamies norādīt, ka šī nostāja ir saskaņā ar Latvijas Zvērinātu revidentu asociācijas (LZRA) viedokli.</w:t>
      </w:r>
    </w:p>
    <w:p w14:paraId="3FC8E739" w14:textId="77777777" w:rsidR="009406E6" w:rsidRPr="009406E6" w:rsidRDefault="009406E6" w:rsidP="009406E6">
      <w:pPr>
        <w:jc w:val="both"/>
        <w:rPr>
          <w:rFonts w:eastAsia="Arial"/>
          <w:lang w:val="lv-LV"/>
        </w:rPr>
      </w:pPr>
      <w:r w:rsidRPr="009406E6">
        <w:rPr>
          <w:rFonts w:eastAsia="Arial"/>
          <w:lang w:val="lv-LV"/>
        </w:rPr>
        <w:t>Šiem pakalpojumiem ir atšķirīgs priekšmets (finanšu informācija pret nefinanšu/ilgtspējas informāciju), tiek piemēroti atšķirīgi profesionālie standarti un metodoloģija, kā arī ir atšķirīgs apliecinājuma līmenis un ziņojuma forma. Turklāt Revīzijas pakalpojumu likuma mērķis ir nodrošināt revidentu neatkarību, objektivitāti un profesionālo atbildību katra konkrētā uzdevuma ietvaros, kas praksē nozīmē nepieciešamību skaidri nodalīt katra uzdevuma apjomu, definēt atbildību, atlīdzību un izpildes rezultātus.</w:t>
      </w:r>
    </w:p>
    <w:p w14:paraId="195B394C" w14:textId="77777777" w:rsidR="009406E6" w:rsidRPr="009406E6" w:rsidRDefault="009406E6" w:rsidP="009406E6">
      <w:pPr>
        <w:jc w:val="both"/>
        <w:rPr>
          <w:rFonts w:eastAsia="Arial"/>
          <w:lang w:val="lv-LV"/>
        </w:rPr>
      </w:pPr>
      <w:r w:rsidRPr="009406E6">
        <w:rPr>
          <w:rFonts w:eastAsia="Arial"/>
          <w:lang w:val="lv-LV"/>
        </w:rPr>
        <w:t>Ņemot vērā, ka finanšu pārskata revīzija un ilgtspējas ziņojuma ierobežotā pārbaude ir divi atšķirīgi revīzijas pakalpojumu veidi ar atšķirīgu tiesisko regulējumu, piemērojamiem starptautiskajiem standartiem, apliecinājuma līmeni un rezultātiem, to sniegšana vienā līgumā nav iespējama. Atsevišķu līgumu slēgšana nodrošina skaidru uzdevumu nošķiršanu, caurskatāmību, atbildības sadalījumu un atbilstību Revīzijas pakalpojumu likuma un profesionālo standartu prasībām.</w:t>
      </w:r>
    </w:p>
    <w:p w14:paraId="5BB1C5F1" w14:textId="77777777" w:rsidR="009406E6" w:rsidRPr="009406E6" w:rsidRDefault="009406E6" w:rsidP="009406E6">
      <w:pPr>
        <w:jc w:val="both"/>
        <w:rPr>
          <w:rFonts w:eastAsia="Arial"/>
          <w:lang w:val="lv-LV"/>
        </w:rPr>
      </w:pPr>
      <w:r w:rsidRPr="009406E6">
        <w:rPr>
          <w:rFonts w:eastAsia="Arial"/>
          <w:lang w:val="lv-LV"/>
        </w:rPr>
        <w:t>Attiecībā uz ilgtspējas ziņojuma apliecinājuma uzdevumu līgumu, tajā ir skaidri jādefinē pakalpojums, kas ir ierobežotas pārliecības apliecinājuma uzdevums par ilgtspējas ziņojumu un tas iekļauj:</w:t>
      </w:r>
    </w:p>
    <w:p w14:paraId="4E038445" w14:textId="77777777" w:rsidR="009406E6" w:rsidRPr="009406E6" w:rsidRDefault="009406E6" w:rsidP="00714707">
      <w:pPr>
        <w:pStyle w:val="ListParagraph"/>
        <w:numPr>
          <w:ilvl w:val="0"/>
          <w:numId w:val="8"/>
        </w:numPr>
        <w:ind w:left="567"/>
        <w:jc w:val="both"/>
        <w:rPr>
          <w:rFonts w:eastAsia="Arial"/>
          <w:lang w:val="lv-LV"/>
        </w:rPr>
      </w:pPr>
      <w:r w:rsidRPr="009406E6">
        <w:rPr>
          <w:rFonts w:eastAsia="Arial"/>
          <w:lang w:val="lv-LV"/>
        </w:rPr>
        <w:t>Atbilstības pārbaudi Komisijas deleģētās regulas (ES) 2023/2772 (2023. gada 31. jūlijs), ar ko Eiropas Parlamenta un Padomes Direktīvu 2013/34/ES papildina attiecībā uz ilgtspējas ziņu sniegšanas standartiem (turpmāk arī ESRS)</w:t>
      </w:r>
    </w:p>
    <w:p w14:paraId="77F61D1C" w14:textId="77777777" w:rsidR="009406E6" w:rsidRPr="009406E6" w:rsidRDefault="009406E6" w:rsidP="00714707">
      <w:pPr>
        <w:pStyle w:val="ListParagraph"/>
        <w:numPr>
          <w:ilvl w:val="0"/>
          <w:numId w:val="8"/>
        </w:numPr>
        <w:ind w:left="567"/>
        <w:jc w:val="both"/>
        <w:rPr>
          <w:rFonts w:eastAsia="Arial"/>
          <w:lang w:val="lv-LV"/>
        </w:rPr>
      </w:pPr>
      <w:r w:rsidRPr="009406E6">
        <w:rPr>
          <w:rFonts w:eastAsia="Arial"/>
          <w:lang w:val="lv-LV"/>
        </w:rPr>
        <w:lastRenderedPageBreak/>
        <w:t>ilgtspējas informācijas identificēšanas jeb dubultā būtiskuma novērtējuma procesa atbilstību ESRS prasībām</w:t>
      </w:r>
    </w:p>
    <w:p w14:paraId="37C7B767" w14:textId="77777777" w:rsidR="009406E6" w:rsidRPr="009406E6" w:rsidRDefault="009406E6" w:rsidP="00714707">
      <w:pPr>
        <w:pStyle w:val="ListParagraph"/>
        <w:numPr>
          <w:ilvl w:val="0"/>
          <w:numId w:val="8"/>
        </w:numPr>
        <w:ind w:left="567"/>
        <w:jc w:val="both"/>
        <w:rPr>
          <w:rFonts w:eastAsia="Arial"/>
          <w:lang w:val="lv-LV"/>
        </w:rPr>
      </w:pPr>
      <w:r w:rsidRPr="009406E6">
        <w:rPr>
          <w:rFonts w:eastAsia="Arial"/>
          <w:lang w:val="lv-LV"/>
        </w:rPr>
        <w:t>Taksonomijas regulas prasību izpildi</w:t>
      </w:r>
    </w:p>
    <w:p w14:paraId="03D3CA8E" w14:textId="77777777" w:rsidR="009406E6" w:rsidRPr="009406E6" w:rsidRDefault="009406E6" w:rsidP="00714707">
      <w:pPr>
        <w:pStyle w:val="ListParagraph"/>
        <w:numPr>
          <w:ilvl w:val="0"/>
          <w:numId w:val="8"/>
        </w:numPr>
        <w:ind w:left="567"/>
        <w:jc w:val="both"/>
        <w:rPr>
          <w:rFonts w:eastAsia="Arial"/>
          <w:lang w:val="lv-LV"/>
        </w:rPr>
      </w:pPr>
      <w:r w:rsidRPr="009406E6">
        <w:rPr>
          <w:rFonts w:eastAsia="Arial"/>
          <w:lang w:val="lv-LV"/>
        </w:rPr>
        <w:t xml:space="preserve">Marķēšanas prasību pārbaudi, ja tās ir attiecināmas, saskaņā ar piemērojamo regulējumu pakalpojuma sniegšanas brīdī. </w:t>
      </w:r>
    </w:p>
    <w:p w14:paraId="6F0E5EC8" w14:textId="77777777" w:rsidR="009406E6" w:rsidRPr="009406E6" w:rsidRDefault="009406E6" w:rsidP="009406E6">
      <w:pPr>
        <w:jc w:val="both"/>
        <w:rPr>
          <w:rFonts w:eastAsia="Arial"/>
          <w:lang w:val="lv-LV"/>
        </w:rPr>
      </w:pPr>
      <w:r w:rsidRPr="009406E6">
        <w:rPr>
          <w:rFonts w:eastAsia="Arial"/>
          <w:lang w:val="lv-LV"/>
        </w:rPr>
        <w:t xml:space="preserve">Papildus vēršam uzmanību, ka korporatīvās pārvaldības ziņojums, saskaņā ar Ilgtspējas informācijas atklāšanas likumu, nav uzskatāms par ilgtspējas ziņojuma sastāvdaļu un par to nav sniedzams apliecinājums, tādējādi, pat abstrahējoties no tā, ka tiem ir jābūt diviem atsevišķiem līgumiem, šī brīža līguma sagataves 1.1. punkta pēdējais teikums ir pretrunā ar tehniskajā specifikācijā norādīto iepirkuma priekšmetu. </w:t>
      </w:r>
    </w:p>
    <w:p w14:paraId="43F26EFA" w14:textId="77777777" w:rsidR="004E4C4F" w:rsidRPr="009406E6" w:rsidRDefault="004E4C4F" w:rsidP="009406E6">
      <w:pPr>
        <w:jc w:val="both"/>
        <w:rPr>
          <w:b/>
          <w:bCs/>
          <w:lang w:val="lv-LV"/>
        </w:rPr>
      </w:pPr>
    </w:p>
    <w:p w14:paraId="740EBA09" w14:textId="323A5F92" w:rsidR="00AC79C5" w:rsidRPr="009406E6" w:rsidRDefault="00AC79C5" w:rsidP="009406E6">
      <w:pPr>
        <w:jc w:val="both"/>
        <w:rPr>
          <w:b/>
          <w:bCs/>
          <w:lang w:val="lv-LV"/>
        </w:rPr>
      </w:pPr>
      <w:r w:rsidRPr="009406E6">
        <w:rPr>
          <w:b/>
          <w:bCs/>
          <w:lang w:val="lv-LV"/>
        </w:rPr>
        <w:t>Atbilde:</w:t>
      </w:r>
    </w:p>
    <w:p w14:paraId="7AA10116" w14:textId="77777777" w:rsidR="00CF2573" w:rsidRPr="00CF2573" w:rsidRDefault="00CF2573" w:rsidP="00CF2573">
      <w:pPr>
        <w:jc w:val="both"/>
        <w:rPr>
          <w:lang w:val="lv-LV"/>
        </w:rPr>
      </w:pPr>
      <w:r w:rsidRPr="00CF2573">
        <w:rPr>
          <w:lang w:val="lv-LV"/>
        </w:rPr>
        <w:t>Pasūtītājs paskaidro, ka iepirkuma procedūrā paredzēts viens iepirkuma līgums, kura ietvaros tiek nošķirti vairāki savstarpēji saistīti, bet pēc būtības atšķirīgi revīzijas pakalpojumi – finanšu pārskata revīzija un ilgtspējas ziņojuma apliecinājuma uzdevums.</w:t>
      </w:r>
    </w:p>
    <w:p w14:paraId="0DB39378" w14:textId="77777777" w:rsidR="00CF2573" w:rsidRPr="00CF2573" w:rsidRDefault="00CF2573" w:rsidP="00CF2573">
      <w:pPr>
        <w:jc w:val="both"/>
        <w:rPr>
          <w:lang w:val="lv-LV"/>
        </w:rPr>
      </w:pPr>
      <w:r w:rsidRPr="00CF2573">
        <w:rPr>
          <w:lang w:val="lv-LV"/>
        </w:rPr>
        <w:t>Revīzijas pakalpojumu likums neparedz aizliegumu ietvert vairākus revīzijas pakalpojumu uzdevumus vienā līgumā, ja:</w:t>
      </w:r>
    </w:p>
    <w:p w14:paraId="3D2D1A6A" w14:textId="77777777" w:rsidR="00CF2573" w:rsidRPr="00CF2573" w:rsidRDefault="00CF2573" w:rsidP="00CF2573">
      <w:pPr>
        <w:numPr>
          <w:ilvl w:val="0"/>
          <w:numId w:val="9"/>
        </w:numPr>
        <w:ind w:left="567"/>
        <w:jc w:val="both"/>
        <w:rPr>
          <w:lang w:val="lv-LV"/>
        </w:rPr>
      </w:pPr>
      <w:r w:rsidRPr="00CF2573">
        <w:rPr>
          <w:lang w:val="lv-LV"/>
        </w:rPr>
        <w:t>katra uzdevuma apjoms, mērķis, piemērojamie standarti un apliecinājuma līmenis ir skaidri nodalīti;</w:t>
      </w:r>
    </w:p>
    <w:p w14:paraId="065B3AB7" w14:textId="77777777" w:rsidR="00CF2573" w:rsidRPr="00CF2573" w:rsidRDefault="00CF2573" w:rsidP="00CF2573">
      <w:pPr>
        <w:numPr>
          <w:ilvl w:val="0"/>
          <w:numId w:val="9"/>
        </w:numPr>
        <w:ind w:left="567"/>
        <w:jc w:val="both"/>
        <w:rPr>
          <w:lang w:val="lv-LV"/>
        </w:rPr>
      </w:pPr>
      <w:r w:rsidRPr="00CF2573">
        <w:rPr>
          <w:lang w:val="lv-LV"/>
        </w:rPr>
        <w:t>tiek nodrošināta zvērināta revidenta neatkarība, objektivitāte un profesionālā atbildība katra uzdevuma ietvaros.</w:t>
      </w:r>
    </w:p>
    <w:p w14:paraId="74E828AA" w14:textId="77777777" w:rsidR="00CF2573" w:rsidRPr="00CF2573" w:rsidRDefault="00CF2573" w:rsidP="00CF2573">
      <w:pPr>
        <w:jc w:val="both"/>
        <w:rPr>
          <w:lang w:val="lv-LV"/>
        </w:rPr>
      </w:pPr>
      <w:r w:rsidRPr="00CF2573">
        <w:rPr>
          <w:lang w:val="lv-LV"/>
        </w:rPr>
        <w:t>Iepirkuma nolikumā, tehniskajā specifikācijā un līguma projektā:</w:t>
      </w:r>
    </w:p>
    <w:p w14:paraId="096CE5B7" w14:textId="77777777" w:rsidR="00CF2573" w:rsidRPr="00CF2573" w:rsidRDefault="00CF2573" w:rsidP="00CF2573">
      <w:pPr>
        <w:numPr>
          <w:ilvl w:val="0"/>
          <w:numId w:val="9"/>
        </w:numPr>
        <w:ind w:left="567"/>
        <w:jc w:val="both"/>
        <w:rPr>
          <w:lang w:val="lv-LV"/>
        </w:rPr>
      </w:pPr>
      <w:r w:rsidRPr="00CF2573">
        <w:rPr>
          <w:lang w:val="lv-LV"/>
        </w:rPr>
        <w:t>finanšu pārskata revīzijas uzdevumi tiek veikti saskaņā ar Starptautiskajiem revīzijas standartiem;</w:t>
      </w:r>
    </w:p>
    <w:p w14:paraId="31B55CF2" w14:textId="77777777" w:rsidR="00CF2573" w:rsidRPr="00CF2573" w:rsidRDefault="00CF2573" w:rsidP="00CF2573">
      <w:pPr>
        <w:numPr>
          <w:ilvl w:val="0"/>
          <w:numId w:val="9"/>
        </w:numPr>
        <w:ind w:left="567"/>
        <w:jc w:val="both"/>
        <w:rPr>
          <w:lang w:val="lv-LV"/>
        </w:rPr>
      </w:pPr>
      <w:r w:rsidRPr="00CF2573">
        <w:rPr>
          <w:lang w:val="lv-LV"/>
        </w:rPr>
        <w:t>ilgtspējas ziņojuma apliecinājuma uzdevums – saskaņā ar Ilgtspējas informācijas atklāšanas likumu, ESRS un Starptautisko apliecinājuma uzdevumu standartu ISAE 3000;</w:t>
      </w:r>
    </w:p>
    <w:p w14:paraId="15BB83FD" w14:textId="77777777" w:rsidR="00CF2573" w:rsidRDefault="00CF2573" w:rsidP="00CF2573">
      <w:pPr>
        <w:numPr>
          <w:ilvl w:val="0"/>
          <w:numId w:val="9"/>
        </w:numPr>
        <w:jc w:val="both"/>
        <w:rPr>
          <w:lang w:val="lv-LV"/>
        </w:rPr>
      </w:pPr>
      <w:r w:rsidRPr="00CF2573">
        <w:rPr>
          <w:lang w:val="lv-LV"/>
        </w:rPr>
        <w:t>apliecinājuma līmenis ir noteikts kā ierobežotas pārliecības apliecinājums.</w:t>
      </w:r>
    </w:p>
    <w:p w14:paraId="5FF20CC6" w14:textId="77777777" w:rsidR="00CF2573" w:rsidRPr="00CF2573" w:rsidRDefault="00CF2573" w:rsidP="00CF2573">
      <w:pPr>
        <w:ind w:left="720"/>
        <w:jc w:val="both"/>
        <w:rPr>
          <w:lang w:val="lv-LV"/>
        </w:rPr>
      </w:pPr>
    </w:p>
    <w:p w14:paraId="55C32CBE" w14:textId="77777777" w:rsidR="00CF2573" w:rsidRPr="00CF2573" w:rsidRDefault="00CF2573" w:rsidP="00CF2573">
      <w:pPr>
        <w:jc w:val="both"/>
        <w:rPr>
          <w:lang w:val="lv-LV"/>
        </w:rPr>
      </w:pPr>
      <w:r w:rsidRPr="00CF2573">
        <w:rPr>
          <w:lang w:val="lv-LV"/>
        </w:rPr>
        <w:t>Līdz ar to Pasūtītājs uzskata, ka iepirkuma dokumentācijā ir nodrošināta skaidra uzdevumu nošķiršana un atbilstība Revīzijas pakalpojumu likuma prasībām, un atsevišķu līgumu slēgšana nav obligāta.</w:t>
      </w:r>
    </w:p>
    <w:p w14:paraId="3622528B" w14:textId="77777777" w:rsidR="00713E87" w:rsidRPr="009406E6" w:rsidRDefault="00713E87" w:rsidP="009406E6">
      <w:pPr>
        <w:jc w:val="both"/>
        <w:rPr>
          <w:i/>
          <w:iCs/>
          <w:lang w:val="lv-LV"/>
        </w:rPr>
      </w:pPr>
    </w:p>
    <w:p w14:paraId="1A3FB0D7" w14:textId="77777777" w:rsidR="00561390" w:rsidRPr="009406E6" w:rsidRDefault="00561390" w:rsidP="009406E6">
      <w:pPr>
        <w:ind w:right="372"/>
        <w:jc w:val="both"/>
        <w:outlineLvl w:val="0"/>
        <w:rPr>
          <w:lang w:val="lv-LV"/>
        </w:rPr>
      </w:pPr>
    </w:p>
    <w:p w14:paraId="5A96D30C" w14:textId="728A5017" w:rsidR="009406E6" w:rsidRDefault="00DD5687" w:rsidP="009406E6">
      <w:pPr>
        <w:pStyle w:val="ListParagraph"/>
        <w:numPr>
          <w:ilvl w:val="0"/>
          <w:numId w:val="6"/>
        </w:numPr>
        <w:ind w:left="284" w:right="372" w:hanging="284"/>
        <w:jc w:val="both"/>
        <w:outlineLvl w:val="0"/>
        <w:rPr>
          <w:b/>
          <w:bCs/>
          <w:lang w:val="lv-LV"/>
        </w:rPr>
      </w:pPr>
      <w:r>
        <w:rPr>
          <w:b/>
          <w:bCs/>
          <w:lang w:val="lv-LV"/>
        </w:rPr>
        <w:t>j</w:t>
      </w:r>
      <w:r w:rsidR="009406E6" w:rsidRPr="009406E6">
        <w:rPr>
          <w:b/>
          <w:bCs/>
          <w:lang w:val="lv-LV"/>
        </w:rPr>
        <w:t>autājums</w:t>
      </w:r>
      <w:r>
        <w:rPr>
          <w:b/>
          <w:bCs/>
          <w:lang w:val="lv-LV"/>
        </w:rPr>
        <w:t>:</w:t>
      </w:r>
    </w:p>
    <w:p w14:paraId="1BAF3007" w14:textId="77777777" w:rsidR="00915A7C" w:rsidRPr="009406E6" w:rsidRDefault="00915A7C" w:rsidP="00915A7C">
      <w:pPr>
        <w:pStyle w:val="ListParagraph"/>
        <w:ind w:left="284" w:right="372"/>
        <w:jc w:val="both"/>
        <w:outlineLvl w:val="0"/>
        <w:rPr>
          <w:b/>
          <w:bCs/>
          <w:lang w:val="lv-LV"/>
        </w:rPr>
      </w:pPr>
    </w:p>
    <w:p w14:paraId="6AA6A86C" w14:textId="2A1E96C2" w:rsidR="009406E6" w:rsidRDefault="009406E6" w:rsidP="009406E6">
      <w:pPr>
        <w:jc w:val="both"/>
        <w:rPr>
          <w:rFonts w:eastAsia="Arial"/>
          <w:b/>
          <w:lang w:val="lv-LV"/>
        </w:rPr>
      </w:pPr>
      <w:r w:rsidRPr="009406E6">
        <w:rPr>
          <w:rFonts w:eastAsia="Arial"/>
          <w:b/>
          <w:lang w:val="lv-LV"/>
        </w:rPr>
        <w:t>II Nepilnības tehniskajā specifikācijā</w:t>
      </w:r>
    </w:p>
    <w:p w14:paraId="5E75FF62" w14:textId="77777777" w:rsidR="00590EF5" w:rsidRPr="009406E6" w:rsidRDefault="00590EF5" w:rsidP="009406E6">
      <w:pPr>
        <w:jc w:val="both"/>
        <w:rPr>
          <w:rFonts w:eastAsia="Arial"/>
          <w:b/>
          <w:lang w:val="lv-LV"/>
        </w:rPr>
      </w:pPr>
    </w:p>
    <w:p w14:paraId="169818A5" w14:textId="77777777" w:rsidR="009406E6" w:rsidRPr="009406E6" w:rsidRDefault="009406E6" w:rsidP="009406E6">
      <w:pPr>
        <w:jc w:val="both"/>
        <w:rPr>
          <w:rFonts w:eastAsia="Arial"/>
          <w:lang w:val="lv-LV"/>
        </w:rPr>
      </w:pPr>
      <w:r w:rsidRPr="009406E6">
        <w:rPr>
          <w:rFonts w:eastAsia="Arial"/>
          <w:b/>
          <w:bCs/>
          <w:lang w:val="lv-LV"/>
        </w:rPr>
        <w:t>1)</w:t>
      </w:r>
      <w:r w:rsidRPr="009406E6">
        <w:rPr>
          <w:rFonts w:eastAsia="Arial"/>
          <w:lang w:val="lv-LV"/>
        </w:rPr>
        <w:t xml:space="preserve"> Sadaļā “Vispārējs iepirkuma apraksts” ir norādīts sekojošais </w:t>
      </w:r>
      <w:r w:rsidRPr="009406E6">
        <w:rPr>
          <w:rFonts w:eastAsia="Arial"/>
          <w:i/>
          <w:lang w:val="lv-LV"/>
        </w:rPr>
        <w:t>“ilgtspējas ziņu iezīmēšanas (marķēšanas) prasību atbilstību Eiropas Parlamenta un Padomes 2020. gada 18. jūnija regulas (ES) 2020/852 par regulējuma izveidi ilgtspējīgu ieguldījumu veicināšanai un ar ko groza regulu (ES) 2019/2088 8. pantā noteiktajām ziņošanas prasībām”</w:t>
      </w:r>
      <w:r w:rsidRPr="009406E6">
        <w:rPr>
          <w:rFonts w:eastAsia="Arial"/>
          <w:lang w:val="lv-LV"/>
        </w:rPr>
        <w:t>. Sniegtais apgalvojums ir nekorekts, jo Eiropas Parlamenta un Padomes 2020. gada 18. jūnija regulas (ES) 2020/852 par regulējuma izveidi ilgtspējīgu ieguldījumu veicināšanai un ar ko groza regulu (ES) 2019/2088 8. pantā noteiktās ziņošanas prasības nav attiecināms uz marķēšanas pienākumu, bet gan paredz prasības Taksonomijas ziņojuma sagatavošanai, kas saskaņā ar Ilgtspējas informācijas atklāšanas likumu ir neatņemama ilgtspējas ziņojuma sastāvdaļa, un arī šī Taksonimijas ziņojuma daļa ir marķējama. Saskaņā ar likuma 16. pantu likuma subjekts nodrošina, ka zvērināts revidents vai zvērinātu revidentu komercsabiedrība reizi gadā — gada pārskata un konsolidētā gada pārskata revīzijas laikā — apliecina:</w:t>
      </w:r>
    </w:p>
    <w:p w14:paraId="63F62A83" w14:textId="77777777" w:rsidR="009406E6" w:rsidRPr="009406E6" w:rsidRDefault="009406E6" w:rsidP="00915A7C">
      <w:pPr>
        <w:pStyle w:val="ListParagraph"/>
        <w:numPr>
          <w:ilvl w:val="0"/>
          <w:numId w:val="8"/>
        </w:numPr>
        <w:ind w:left="567"/>
        <w:jc w:val="both"/>
        <w:rPr>
          <w:rFonts w:eastAsia="Arial"/>
          <w:lang w:val="lv-LV"/>
        </w:rPr>
      </w:pPr>
      <w:r w:rsidRPr="009406E6">
        <w:rPr>
          <w:rFonts w:eastAsia="Arial"/>
          <w:lang w:val="lv-LV"/>
        </w:rPr>
        <w:t>ilgtspējas ziņojuma un konsolidētā ilgtspējas ziņojuma (ja ir pienākums tādu sagatavot) atbilstību Ilgtspējas informācijas atklāšanas likuma prasībām un ilgtspējas ziņu sniegšanas standartiem;</w:t>
      </w:r>
    </w:p>
    <w:p w14:paraId="75C9C2BF" w14:textId="14904EE3" w:rsidR="009406E6" w:rsidRDefault="009406E6" w:rsidP="00915A7C">
      <w:pPr>
        <w:pStyle w:val="ListParagraph"/>
        <w:numPr>
          <w:ilvl w:val="0"/>
          <w:numId w:val="8"/>
        </w:numPr>
        <w:ind w:left="567"/>
        <w:jc w:val="both"/>
        <w:rPr>
          <w:rFonts w:eastAsia="Arial"/>
          <w:lang w:val="lv-LV"/>
        </w:rPr>
      </w:pPr>
      <w:r w:rsidRPr="009406E6">
        <w:rPr>
          <w:rFonts w:eastAsia="Arial"/>
          <w:lang w:val="lv-LV"/>
        </w:rPr>
        <w:lastRenderedPageBreak/>
        <w:t>ilgtspējas ziņojuma un konsolidētā ilgtspējas ziņojuma (ja ir pienākums tādu sagatavot) formāta un tajos ietverto ziņu iezīmēšanas (marķēšanas) prasību atbilstību šā likuma 12. pantam, kā arī Regulas (ES) Nr. 2020/852 8. pantam</w:t>
      </w:r>
      <w:r w:rsidR="00590EF5">
        <w:rPr>
          <w:rFonts w:eastAsia="Arial"/>
          <w:lang w:val="lv-LV"/>
        </w:rPr>
        <w:t>.</w:t>
      </w:r>
    </w:p>
    <w:p w14:paraId="4E10C760" w14:textId="77777777" w:rsidR="00590EF5" w:rsidRPr="009406E6" w:rsidRDefault="00590EF5" w:rsidP="00590EF5">
      <w:pPr>
        <w:pStyle w:val="ListParagraph"/>
        <w:jc w:val="both"/>
        <w:rPr>
          <w:rFonts w:eastAsia="Arial"/>
          <w:lang w:val="lv-LV"/>
        </w:rPr>
      </w:pPr>
    </w:p>
    <w:p w14:paraId="58410D73" w14:textId="77777777" w:rsidR="009406E6" w:rsidRDefault="009406E6" w:rsidP="009406E6">
      <w:pPr>
        <w:jc w:val="both"/>
        <w:rPr>
          <w:rFonts w:eastAsia="Arial"/>
          <w:lang w:val="lv-LV"/>
        </w:rPr>
      </w:pPr>
      <w:r w:rsidRPr="009406E6">
        <w:rPr>
          <w:rFonts w:eastAsia="Arial"/>
          <w:b/>
          <w:bCs/>
          <w:lang w:val="lv-LV"/>
        </w:rPr>
        <w:t>2)</w:t>
      </w:r>
      <w:r w:rsidRPr="009406E6">
        <w:rPr>
          <w:rFonts w:eastAsia="Arial"/>
          <w:lang w:val="lv-LV"/>
        </w:rPr>
        <w:t xml:space="preserve"> Ja uzņēmumam ir pienākums sagatavot konsolidēto gada pārskatu, tad saskaņā ar Ilgtspējas informācijas atklāšanas likumu, uzņēmuma pienākums ir sagatavot konsolidēto ilgtspējas ziņojumu. Šobrīd tehniskā specifikācija neparedz šīs likuma prasību ievērošanu, jo tiek norādīts, ka Pasūtītājs gatavos ilgtspējas ziņojumu nevis konsolidēto ilgtspējas ziņojumu (ja būs pienākums tādu sagatavot).</w:t>
      </w:r>
    </w:p>
    <w:p w14:paraId="24575CD0" w14:textId="77777777" w:rsidR="00590EF5" w:rsidRPr="009406E6" w:rsidRDefault="00590EF5" w:rsidP="009406E6">
      <w:pPr>
        <w:jc w:val="both"/>
        <w:rPr>
          <w:rFonts w:eastAsia="Arial"/>
          <w:lang w:val="lv-LV"/>
        </w:rPr>
      </w:pPr>
    </w:p>
    <w:p w14:paraId="52ADDC8D" w14:textId="77777777" w:rsidR="009406E6" w:rsidRDefault="009406E6" w:rsidP="009406E6">
      <w:pPr>
        <w:jc w:val="both"/>
        <w:rPr>
          <w:rFonts w:eastAsia="Arial"/>
          <w:lang w:val="lv-LV"/>
        </w:rPr>
      </w:pPr>
      <w:r w:rsidRPr="009406E6">
        <w:rPr>
          <w:rFonts w:eastAsia="Arial"/>
          <w:b/>
          <w:bCs/>
          <w:lang w:val="lv-LV"/>
        </w:rPr>
        <w:t>3)</w:t>
      </w:r>
      <w:r w:rsidRPr="009406E6">
        <w:rPr>
          <w:rFonts w:eastAsia="Arial"/>
          <w:lang w:val="lv-LV"/>
        </w:rPr>
        <w:t xml:space="preserve"> Ņemot vērā ilgtspējas ziņojuma sagatavošanas brīdī piemērojamo regulējumu, iespējams, ka būs veicama ilgtspējas ziņu vienotā elektroniskā ziņošanas formāta (xHTML) un tajā iezīmēto daļu (iXBRL) atbilstības pārbaude. Lai veiktu šādu pārbaudi, ir nepieciešams skaidri definēt sniedzamās pārliecības līmeni (ierobežota vai pietiekama). Šobrīd Revīzijas pakalpojumu likuma 1. panta pirmās daļas 1. punkts nosaka, </w:t>
      </w:r>
      <w:r w:rsidRPr="009406E6">
        <w:rPr>
          <w:rFonts w:eastAsia="Arial"/>
          <w:u w:val="single"/>
          <w:lang w:val="lv-LV"/>
        </w:rPr>
        <w:t>ka zvērinātam revidentam atzinumā ir jāsniedz viedoklis par to, vai gada pārskats vai konsolidētais gada pārskats atbilst normatīvo aktu prasībām</w:t>
      </w:r>
      <w:r w:rsidRPr="009406E6">
        <w:rPr>
          <w:rFonts w:eastAsia="Arial"/>
          <w:lang w:val="lv-LV"/>
        </w:rPr>
        <w:t>, tostarp Eiropas Komisijas Regulas Nr. 2019/815 prasībām. Minētā prasība šobrīd attiecas tikai uz gada pārskatu vai konsolidēto gada pārskatu, jo piedāvājuma iesniegšanas brīdī Eiropas Komisija un Latvijas likumdošana nav apstiprinājušas regulējumu ilgtspējas pārskata vienotā elektroniskā ziņošanas formāta (xHTML) un to iezīmēto daļu (iXBRL) atbilstības pārbaudei. Saskaņā ar spēkā esošajiem Revīzijas pakalpojumu likuma noteikumiem iXBRL pārbaude gada pārskatiem un konsolidētajiem gada pārskatiem tiek veikta ar pietiekamas pārliecības līmeni. Tādējādi šobrīd var secināt, ka arī attiecībā uz ilgtspējas pārskata elektroniskā ziņošanas formāta un iezīmēto daļu atbilstību būtu sniedzama pilnas pārliecības atbilstības pārbaude.</w:t>
      </w:r>
    </w:p>
    <w:p w14:paraId="2A72FB19" w14:textId="77777777" w:rsidR="00590EF5" w:rsidRPr="009406E6" w:rsidRDefault="00590EF5" w:rsidP="009406E6">
      <w:pPr>
        <w:jc w:val="both"/>
        <w:rPr>
          <w:rFonts w:eastAsia="Arial"/>
          <w:lang w:val="lv-LV"/>
        </w:rPr>
      </w:pPr>
    </w:p>
    <w:p w14:paraId="72F2FD03" w14:textId="77777777" w:rsidR="009406E6" w:rsidRPr="009406E6" w:rsidRDefault="009406E6" w:rsidP="009406E6">
      <w:pPr>
        <w:jc w:val="both"/>
        <w:rPr>
          <w:rFonts w:eastAsia="Arial"/>
          <w:lang w:val="lv-LV"/>
        </w:rPr>
      </w:pPr>
      <w:r w:rsidRPr="009406E6">
        <w:rPr>
          <w:rFonts w:eastAsia="Arial"/>
          <w:b/>
          <w:bCs/>
          <w:lang w:val="lv-LV"/>
        </w:rPr>
        <w:t>4)</w:t>
      </w:r>
      <w:r w:rsidRPr="009406E6">
        <w:rPr>
          <w:rFonts w:eastAsia="Arial"/>
          <w:lang w:val="lv-LV"/>
        </w:rPr>
        <w:t xml:space="preserve"> Pasūtītājam, ņemot vērā noteikto termiņu par 2027. gada ilgtspējas ziņojuma apliecinājuma ziņojuma sniegšanas datumu nosakot 2028. gada 10. martu, ir skaidri jāparedz pienākums ievērot ilgtspējas ziņojuma starpperioda pārbaudes procesa nepieciešamību. Lai norādītais termiņš būtu sasniedzams, Pasūtītājam jābūt gatavam sniegt revidentam sekojošu informāciju:</w:t>
      </w:r>
    </w:p>
    <w:p w14:paraId="6EE15C97" w14:textId="77777777" w:rsidR="009406E6" w:rsidRPr="009406E6" w:rsidRDefault="009406E6" w:rsidP="001B1570">
      <w:pPr>
        <w:pStyle w:val="ListParagraph"/>
        <w:numPr>
          <w:ilvl w:val="0"/>
          <w:numId w:val="8"/>
        </w:numPr>
        <w:ind w:left="567"/>
        <w:jc w:val="both"/>
        <w:rPr>
          <w:rFonts w:eastAsia="Arial"/>
          <w:lang w:val="lv-LV"/>
        </w:rPr>
      </w:pPr>
      <w:r w:rsidRPr="009406E6">
        <w:rPr>
          <w:rFonts w:eastAsia="Arial"/>
          <w:lang w:val="lv-LV"/>
        </w:rPr>
        <w:t>pilnīgu dokumentāciju attiecībā uz veikto dubultā būtiskuma novērtējumu līdz 2027. gada 1. novembrim;</w:t>
      </w:r>
    </w:p>
    <w:p w14:paraId="56A9FA79" w14:textId="77777777" w:rsidR="009406E6" w:rsidRPr="009406E6" w:rsidRDefault="009406E6" w:rsidP="001B1570">
      <w:pPr>
        <w:pStyle w:val="ListParagraph"/>
        <w:numPr>
          <w:ilvl w:val="0"/>
          <w:numId w:val="8"/>
        </w:numPr>
        <w:ind w:left="567"/>
        <w:jc w:val="both"/>
        <w:rPr>
          <w:rFonts w:eastAsia="Arial"/>
          <w:lang w:val="lv-LV"/>
        </w:rPr>
      </w:pPr>
      <w:r w:rsidRPr="009406E6">
        <w:rPr>
          <w:rFonts w:eastAsia="Arial"/>
          <w:lang w:val="lv-LV"/>
        </w:rPr>
        <w:t>ilgtspējas ziņojuma pirmais projekts iesniedzams līdz 2027. gada 1. decembrim;</w:t>
      </w:r>
    </w:p>
    <w:p w14:paraId="51FAEA45" w14:textId="77777777" w:rsidR="009406E6" w:rsidRPr="009406E6" w:rsidRDefault="009406E6" w:rsidP="001B1570">
      <w:pPr>
        <w:pStyle w:val="ListParagraph"/>
        <w:numPr>
          <w:ilvl w:val="0"/>
          <w:numId w:val="8"/>
        </w:numPr>
        <w:ind w:left="567"/>
        <w:jc w:val="both"/>
        <w:rPr>
          <w:rFonts w:eastAsia="Arial"/>
          <w:lang w:val="lv-LV"/>
        </w:rPr>
      </w:pPr>
      <w:r w:rsidRPr="009406E6">
        <w:rPr>
          <w:rFonts w:eastAsia="Arial"/>
          <w:lang w:val="lv-LV"/>
        </w:rPr>
        <w:t xml:space="preserve">9 mēnešu nefinanšu rādītāji, kas paredzēti atspoguļošanai ilgtspējas ziņojumā, kā arī to aprēķināšanai piemērotās metodoloģijas apraksts, iesniedzams ne vēlāk kā līdz 2027. gada 1. decembrim. </w:t>
      </w:r>
    </w:p>
    <w:p w14:paraId="21FA2BA4" w14:textId="77777777" w:rsidR="009406E6" w:rsidRPr="009406E6" w:rsidRDefault="009406E6" w:rsidP="001B1570">
      <w:pPr>
        <w:pStyle w:val="ListParagraph"/>
        <w:numPr>
          <w:ilvl w:val="0"/>
          <w:numId w:val="8"/>
        </w:numPr>
        <w:ind w:left="567"/>
        <w:jc w:val="both"/>
        <w:rPr>
          <w:rFonts w:eastAsia="Arial"/>
          <w:lang w:val="lv-LV"/>
        </w:rPr>
      </w:pPr>
      <w:r w:rsidRPr="009406E6">
        <w:rPr>
          <w:rFonts w:eastAsia="Arial"/>
          <w:lang w:val="lv-LV"/>
        </w:rPr>
        <w:t>ilgtspējas ziņojuma otrais projekts, kas satur 12 mēnešu datus, iesniedzams  līdz 2028. gada 1. februārim;</w:t>
      </w:r>
    </w:p>
    <w:p w14:paraId="1568EC80" w14:textId="77777777" w:rsidR="009406E6" w:rsidRPr="009406E6" w:rsidRDefault="009406E6" w:rsidP="001B1570">
      <w:pPr>
        <w:pStyle w:val="ListParagraph"/>
        <w:numPr>
          <w:ilvl w:val="0"/>
          <w:numId w:val="8"/>
        </w:numPr>
        <w:ind w:left="567"/>
        <w:jc w:val="both"/>
        <w:rPr>
          <w:rFonts w:eastAsia="Arial"/>
          <w:lang w:val="lv-LV"/>
        </w:rPr>
      </w:pPr>
      <w:r w:rsidRPr="009406E6">
        <w:rPr>
          <w:rFonts w:eastAsia="Arial"/>
          <w:lang w:val="lv-LV"/>
        </w:rPr>
        <w:t>Ilgtspējas ziņojuma gala versija iesniedzama līdz 2028. gada 15. februārim.</w:t>
      </w:r>
    </w:p>
    <w:p w14:paraId="7545ADA2" w14:textId="77777777" w:rsidR="009406E6" w:rsidRDefault="009406E6" w:rsidP="009406E6">
      <w:pPr>
        <w:jc w:val="both"/>
        <w:rPr>
          <w:rFonts w:eastAsia="Arial"/>
          <w:lang w:val="lv-LV"/>
        </w:rPr>
      </w:pPr>
      <w:r w:rsidRPr="009406E6">
        <w:rPr>
          <w:rFonts w:eastAsia="Arial"/>
          <w:lang w:val="lv-LV"/>
        </w:rPr>
        <w:t xml:space="preserve">Ja Pasūtītājs neievēro noteiktos starpperioda pārbaudes noteiktos datu iesniegšanas termiņus, atzinuma sniegšana līdz 2028. gada 10. martam nav iespējama, jo pieredze rāda, ka pirmajā ziņošanas gadā uzņēmumi saskaras ar lieliem izaicinājumiem, lai nodrošinātu sagatavotā ilgtspējas ziņojuma atbilstību piemērotajam regulējumam. </w:t>
      </w:r>
    </w:p>
    <w:p w14:paraId="5FBFE40C" w14:textId="77777777" w:rsidR="00590EF5" w:rsidRPr="009406E6" w:rsidRDefault="00590EF5" w:rsidP="009406E6">
      <w:pPr>
        <w:jc w:val="both"/>
        <w:rPr>
          <w:rFonts w:eastAsia="Arial"/>
          <w:lang w:val="lv-LV"/>
        </w:rPr>
      </w:pPr>
    </w:p>
    <w:p w14:paraId="0D231677" w14:textId="77777777" w:rsidR="009406E6" w:rsidRPr="009406E6" w:rsidRDefault="009406E6" w:rsidP="009406E6">
      <w:pPr>
        <w:jc w:val="both"/>
        <w:rPr>
          <w:rFonts w:eastAsia="Arial"/>
          <w:lang w:val="lv-LV"/>
        </w:rPr>
      </w:pPr>
      <w:r w:rsidRPr="009406E6">
        <w:rPr>
          <w:rFonts w:eastAsia="Arial"/>
          <w:b/>
          <w:bCs/>
          <w:lang w:val="lv-LV"/>
        </w:rPr>
        <w:t>5)</w:t>
      </w:r>
      <w:r w:rsidRPr="009406E6">
        <w:rPr>
          <w:rFonts w:eastAsia="Arial"/>
          <w:lang w:val="lv-LV"/>
        </w:rPr>
        <w:t xml:space="preserve"> Tehniskajā specifikācijā ir noteikts, ka </w:t>
      </w:r>
      <w:r w:rsidRPr="009406E6">
        <w:rPr>
          <w:rFonts w:eastAsia="Arial"/>
          <w:i/>
          <w:lang w:val="lv-LV"/>
        </w:rPr>
        <w:t>"Izpildītājam ir jānodrošina latviešu valodā sagatavoto finanšu pārskatu, koncerna finanšu pārskata un ilgtspējas ziņojuma apliecinājuma tulkojums angļu valodā"</w:t>
      </w:r>
      <w:r w:rsidRPr="009406E6">
        <w:rPr>
          <w:rFonts w:eastAsia="Arial"/>
          <w:lang w:val="lv-LV"/>
        </w:rPr>
        <w:t>. Vēlamies precizēt šīs prasības formulējumu, vai Pasūtītājs sagaida, ka zvērināts revidents veic finanšu pārskata un koncerna finanšu pārskata tulkojumus angļu valodā? Ja tā, tad vēlamies vērst uzmanību, ka, lai ievērotu zvērināta revidenta neatkarību, mēs nedrīkstam Pasūtītāja vietā veikt finanšu pārskatu tulkošanu. Pasūtītājs var paredzēt pienākumu zvērinātam revidentam veikt tulkotu pārskatu izskatīšanu, lai pārliecinātos, ka tie atbilst latviešu versijas pārskatiem.</w:t>
      </w:r>
    </w:p>
    <w:p w14:paraId="16219B64" w14:textId="77777777" w:rsidR="009406E6" w:rsidRDefault="009406E6" w:rsidP="009406E6">
      <w:pPr>
        <w:jc w:val="both"/>
        <w:rPr>
          <w:rFonts w:eastAsia="Arial"/>
          <w:lang w:val="lv-LV"/>
        </w:rPr>
      </w:pPr>
      <w:r w:rsidRPr="009406E6">
        <w:rPr>
          <w:rFonts w:eastAsia="Arial"/>
          <w:lang w:val="lv-LV"/>
        </w:rPr>
        <w:lastRenderedPageBreak/>
        <w:t xml:space="preserve">Ja Pasūtītājs vēlas saņemt angļu valodā tulkotus audita ziņojumus, tad šīs Tehniskās specifikācijas punkts ir attiecīgi jāprecizē. </w:t>
      </w:r>
    </w:p>
    <w:p w14:paraId="145BA1EC" w14:textId="77777777" w:rsidR="00590EF5" w:rsidRPr="009406E6" w:rsidRDefault="00590EF5" w:rsidP="009406E6">
      <w:pPr>
        <w:jc w:val="both"/>
        <w:rPr>
          <w:rFonts w:eastAsia="Arial"/>
          <w:lang w:val="lv-LV"/>
        </w:rPr>
      </w:pPr>
    </w:p>
    <w:p w14:paraId="2252FBBC" w14:textId="77777777" w:rsidR="009406E6" w:rsidRPr="009406E6" w:rsidRDefault="009406E6" w:rsidP="009406E6">
      <w:pPr>
        <w:jc w:val="both"/>
        <w:rPr>
          <w:rFonts w:eastAsia="Arial"/>
          <w:lang w:val="lv-LV"/>
        </w:rPr>
      </w:pPr>
      <w:r w:rsidRPr="009406E6">
        <w:rPr>
          <w:rFonts w:eastAsia="Arial"/>
          <w:b/>
          <w:bCs/>
          <w:lang w:val="lv-LV"/>
        </w:rPr>
        <w:t>6)</w:t>
      </w:r>
      <w:r w:rsidRPr="009406E6">
        <w:rPr>
          <w:rFonts w:eastAsia="Arial"/>
          <w:lang w:val="lv-LV"/>
        </w:rPr>
        <w:t xml:space="preserve"> Pēc mūsu rīcībā esošās informācijas, Pasūtītāja finanšu pārskati šobrīd tiek gatavoti saskaņā ar starptautiskajiem finanšu pārskatu standartiem. Savukārt no iepirkumā pievienotā līguma un iepirkuma dokumentācijas izriet, ka finanšu pārskati tiks sagatavoti pēc vietējās likumdošanas. Lūdzam skaidri norādīt pamatojoties uz kādu regulējumu tiks sagatavoti Pasūtītāja 2026. gada un 2027. gada finanšu pārskati, lai izvairītos no interpretācijas riskiem. </w:t>
      </w:r>
    </w:p>
    <w:p w14:paraId="0DBC2F19" w14:textId="77777777" w:rsidR="009406E6" w:rsidRDefault="009406E6" w:rsidP="009406E6">
      <w:pPr>
        <w:ind w:right="372"/>
        <w:jc w:val="both"/>
        <w:outlineLvl w:val="0"/>
        <w:rPr>
          <w:b/>
          <w:bCs/>
          <w:lang w:val="lv-LV"/>
        </w:rPr>
      </w:pPr>
    </w:p>
    <w:p w14:paraId="2451206E" w14:textId="1AB45930" w:rsidR="001B1570" w:rsidRDefault="001B1570" w:rsidP="009406E6">
      <w:pPr>
        <w:ind w:right="372"/>
        <w:jc w:val="both"/>
        <w:outlineLvl w:val="0"/>
        <w:rPr>
          <w:b/>
          <w:bCs/>
          <w:lang w:val="lv-LV"/>
        </w:rPr>
      </w:pPr>
      <w:r>
        <w:rPr>
          <w:b/>
          <w:bCs/>
          <w:lang w:val="lv-LV"/>
        </w:rPr>
        <w:t>Atbilde:</w:t>
      </w:r>
    </w:p>
    <w:p w14:paraId="7981BE5C" w14:textId="7E765CEC" w:rsidR="001B1570" w:rsidRDefault="001B1570" w:rsidP="009406E6">
      <w:pPr>
        <w:ind w:right="372"/>
        <w:jc w:val="both"/>
        <w:outlineLvl w:val="0"/>
        <w:rPr>
          <w:lang w:val="lv-LV"/>
        </w:rPr>
      </w:pPr>
      <w:r>
        <w:rPr>
          <w:lang w:val="lv-LV"/>
        </w:rPr>
        <w:t xml:space="preserve">Pasūtītājs informē, ka </w:t>
      </w:r>
      <w:r w:rsidRPr="001B1570">
        <w:rPr>
          <w:lang w:val="lv-LV"/>
        </w:rPr>
        <w:t xml:space="preserve">ir veikti grozījumi </w:t>
      </w:r>
      <w:r>
        <w:rPr>
          <w:lang w:val="lv-LV"/>
        </w:rPr>
        <w:t>iepirkuma procedūras n</w:t>
      </w:r>
      <w:r w:rsidRPr="001B1570">
        <w:rPr>
          <w:lang w:val="lv-LV"/>
        </w:rPr>
        <w:t>olikumā. Lūdzam skatī</w:t>
      </w:r>
      <w:r>
        <w:rPr>
          <w:lang w:val="lv-LV"/>
        </w:rPr>
        <w:t>t Elektronisko iepirkumu sistēmā un Pasūtītāja mājaslapā</w:t>
      </w:r>
      <w:r w:rsidR="000E68E4">
        <w:rPr>
          <w:lang w:val="lv-LV"/>
        </w:rPr>
        <w:t xml:space="preserve"> (atbildot uz 1</w:t>
      </w:r>
      <w:r w:rsidR="00620F1F">
        <w:rPr>
          <w:lang w:val="lv-LV"/>
        </w:rPr>
        <w:t>), 2), 3), 4) un 6)).</w:t>
      </w:r>
    </w:p>
    <w:p w14:paraId="5F362651" w14:textId="77777777" w:rsidR="001B1570" w:rsidRDefault="001B1570" w:rsidP="009406E6">
      <w:pPr>
        <w:ind w:right="372"/>
        <w:jc w:val="both"/>
        <w:outlineLvl w:val="0"/>
        <w:rPr>
          <w:lang w:val="lv-LV"/>
        </w:rPr>
      </w:pPr>
    </w:p>
    <w:p w14:paraId="68E9DF2E" w14:textId="29CA8F8E" w:rsidR="001B1570" w:rsidRDefault="001B1570" w:rsidP="009406E6">
      <w:pPr>
        <w:ind w:right="372"/>
        <w:jc w:val="both"/>
        <w:outlineLvl w:val="0"/>
        <w:rPr>
          <w:lang w:val="lv-LV"/>
        </w:rPr>
      </w:pPr>
      <w:r w:rsidRPr="001B1570">
        <w:rPr>
          <w:lang w:val="lv-LV"/>
        </w:rPr>
        <w:t>Papildus norādām, ka ņemot vērā finanšu pārskata specifisko terminoloģija, uzskatām par pamatotu prasību, ka finanšu pārskata tulkojumu angļu valodā nodrošina revīzijas pakalpojuma sniedzējs. Uzskatām, ka tulkošanas pakalpojuma sniegšana neietekmē revidenta neatkarību, jo teksta tulkošanas procesā nav iespējams mainīt vai sagrozīt finanšu pārskatā norādītos datus. Arī iepriekš uzņēmuma praksē finanšu pārskata tulkošanu nodrošināja revīzijas pakalpojuma sniedzējs un problēmas saistībā ar šīs pakalpojuma daļas izpildi nav radušās</w:t>
      </w:r>
      <w:r w:rsidR="004F7FC7">
        <w:rPr>
          <w:lang w:val="lv-LV"/>
        </w:rPr>
        <w:t xml:space="preserve"> (atbildot uz 5)).</w:t>
      </w:r>
    </w:p>
    <w:p w14:paraId="2086D8E0" w14:textId="77777777" w:rsidR="004F7FC7" w:rsidRDefault="004F7FC7" w:rsidP="009406E6">
      <w:pPr>
        <w:ind w:right="372"/>
        <w:jc w:val="both"/>
        <w:outlineLvl w:val="0"/>
        <w:rPr>
          <w:lang w:val="lv-LV"/>
        </w:rPr>
      </w:pPr>
    </w:p>
    <w:p w14:paraId="1823EC1A" w14:textId="77777777" w:rsidR="004F7FC7" w:rsidRPr="001B1570" w:rsidRDefault="004F7FC7" w:rsidP="009406E6">
      <w:pPr>
        <w:ind w:right="372"/>
        <w:jc w:val="both"/>
        <w:outlineLvl w:val="0"/>
        <w:rPr>
          <w:lang w:val="lv-LV"/>
        </w:rPr>
      </w:pPr>
    </w:p>
    <w:p w14:paraId="03CEFE06" w14:textId="16719530" w:rsidR="00561390" w:rsidRPr="001B1570" w:rsidRDefault="00561390" w:rsidP="009406E6">
      <w:pPr>
        <w:ind w:right="372"/>
        <w:jc w:val="both"/>
        <w:outlineLvl w:val="0"/>
        <w:rPr>
          <w:lang w:val="lv-LV"/>
        </w:rPr>
      </w:pPr>
      <w:r w:rsidRPr="001B1570">
        <w:rPr>
          <w:lang w:val="lv-LV"/>
        </w:rPr>
        <w:t>Iepirkumu komisijas priekšsēdētāja                                                                     Karīna Meiberga</w:t>
      </w:r>
    </w:p>
    <w:p w14:paraId="36F3EB6C" w14:textId="77777777" w:rsidR="00561390" w:rsidRPr="009406E6" w:rsidRDefault="00561390" w:rsidP="009406E6">
      <w:pPr>
        <w:jc w:val="both"/>
        <w:rPr>
          <w:lang w:val="lv-LV"/>
        </w:rPr>
      </w:pPr>
    </w:p>
    <w:p w14:paraId="469B4D66" w14:textId="77777777" w:rsidR="00561390" w:rsidRPr="009406E6" w:rsidRDefault="00561390" w:rsidP="009406E6">
      <w:pPr>
        <w:jc w:val="both"/>
        <w:rPr>
          <w:lang w:val="lv-LV"/>
        </w:rPr>
      </w:pPr>
    </w:p>
    <w:p w14:paraId="1FD8FE2E" w14:textId="59EBC869" w:rsidR="00B67B48" w:rsidRPr="009406E6" w:rsidRDefault="00B67B48" w:rsidP="009406E6">
      <w:pPr>
        <w:jc w:val="both"/>
        <w:rPr>
          <w:lang w:val="lv-LV"/>
        </w:rPr>
      </w:pPr>
    </w:p>
    <w:p w14:paraId="45745476" w14:textId="1AD9176C" w:rsidR="001D43D0" w:rsidRPr="009406E6" w:rsidRDefault="001D43D0" w:rsidP="009406E6">
      <w:pPr>
        <w:jc w:val="both"/>
        <w:rPr>
          <w:lang w:val="lv-LV"/>
        </w:rPr>
      </w:pPr>
    </w:p>
    <w:p w14:paraId="15645AEF" w14:textId="77777777" w:rsidR="001D43D0" w:rsidRPr="009406E6" w:rsidRDefault="001D43D0" w:rsidP="009406E6">
      <w:pPr>
        <w:jc w:val="both"/>
        <w:rPr>
          <w:lang w:val="lv-LV"/>
        </w:rPr>
      </w:pPr>
    </w:p>
    <w:p w14:paraId="2EE61468" w14:textId="59A844A5" w:rsidR="00AD6E80" w:rsidRPr="009406E6" w:rsidRDefault="00AD6E80" w:rsidP="009406E6">
      <w:pPr>
        <w:tabs>
          <w:tab w:val="left" w:pos="1603"/>
        </w:tabs>
        <w:jc w:val="both"/>
        <w:rPr>
          <w:lang w:val="lv-LV"/>
        </w:rPr>
      </w:pPr>
    </w:p>
    <w:sectPr w:rsidR="00AD6E80" w:rsidRPr="009406E6" w:rsidSect="00AD6E80">
      <w:headerReference w:type="even" r:id="rId12"/>
      <w:headerReference w:type="default" r:id="rId13"/>
      <w:footerReference w:type="default" r:id="rId14"/>
      <w:headerReference w:type="first" r:id="rId15"/>
      <w:footerReference w:type="first" r:id="rId16"/>
      <w:pgSz w:w="11900" w:h="16840" w:code="9"/>
      <w:pgMar w:top="1134" w:right="851" w:bottom="1134"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D1C93" w14:textId="77777777" w:rsidR="00383BF8" w:rsidRDefault="00383BF8">
      <w:r>
        <w:separator/>
      </w:r>
    </w:p>
  </w:endnote>
  <w:endnote w:type="continuationSeparator" w:id="0">
    <w:p w14:paraId="3DE439AA" w14:textId="77777777" w:rsidR="00383BF8" w:rsidRDefault="00383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794372"/>
      <w:docPartObj>
        <w:docPartGallery w:val="Page Numbers (Bottom of Page)"/>
        <w:docPartUnique/>
      </w:docPartObj>
    </w:sdtPr>
    <w:sdtEndPr/>
    <w:sdtContent>
      <w:p w14:paraId="16F49A90" w14:textId="3FB115D6" w:rsidR="00AD6E80" w:rsidRDefault="00AD6E80">
        <w:pPr>
          <w:pStyle w:val="Footer"/>
          <w:jc w:val="right"/>
        </w:pPr>
        <w:r>
          <w:fldChar w:fldCharType="begin"/>
        </w:r>
        <w:r>
          <w:instrText>PAGE   \* MERGEFORMAT</w:instrText>
        </w:r>
        <w:r>
          <w:fldChar w:fldCharType="separate"/>
        </w:r>
        <w:r>
          <w:rPr>
            <w:lang w:val="lv-LV"/>
          </w:rPr>
          <w:t>2</w:t>
        </w:r>
        <w:r>
          <w:fldChar w:fldCharType="end"/>
        </w:r>
      </w:p>
    </w:sdtContent>
  </w:sdt>
  <w:p w14:paraId="4664754B" w14:textId="77777777" w:rsidR="00AD6E80" w:rsidRDefault="00AD6E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81AE" w14:textId="71848762" w:rsidR="00904B48" w:rsidRDefault="00611305" w:rsidP="00611305">
    <w:pPr>
      <w:pStyle w:val="Footer"/>
      <w:tabs>
        <w:tab w:val="clear" w:pos="4153"/>
        <w:tab w:val="clear" w:pos="8306"/>
        <w:tab w:val="left" w:pos="600"/>
        <w:tab w:val="left" w:pos="2310"/>
      </w:tabs>
      <w:jc w:val="center"/>
    </w:pPr>
    <w:r>
      <w:rPr>
        <w:noProof/>
        <w:lang w:val="lv-LV" w:eastAsia="lv-LV"/>
      </w:rPr>
      <w:drawing>
        <wp:inline distT="0" distB="0" distL="0" distR="0" wp14:anchorId="044ABF4E" wp14:editId="4299BAD3">
          <wp:extent cx="2883414" cy="396241"/>
          <wp:effectExtent l="0" t="0" r="0" b="381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veidlapa_FOOTER-02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3414" cy="39624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62826" w14:textId="77777777" w:rsidR="00383BF8" w:rsidRDefault="00383BF8">
      <w:r>
        <w:separator/>
      </w:r>
    </w:p>
  </w:footnote>
  <w:footnote w:type="continuationSeparator" w:id="0">
    <w:p w14:paraId="03298FB3" w14:textId="77777777" w:rsidR="00383BF8" w:rsidRDefault="00383B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D862" w14:textId="77777777" w:rsidR="00756CAE" w:rsidRDefault="00CA73ED">
    <w:pPr>
      <w:pStyle w:val="HeaderFooterA"/>
      <w:tabs>
        <w:tab w:val="clear" w:pos="9360"/>
        <w:tab w:val="right" w:pos="8782"/>
      </w:tabs>
      <w:rPr>
        <w:rFonts w:ascii="Times New Roman" w:eastAsia="Times New Roman" w:hAnsi="Times New Roman"/>
        <w:color w:val="auto"/>
        <w:lang w:bidi="x-none"/>
      </w:rPr>
    </w:pPr>
    <w:r>
      <w:rPr>
        <w:noProof/>
        <w:lang w:val="lv-LV"/>
      </w:rPr>
      <mc:AlternateContent>
        <mc:Choice Requires="wps">
          <w:drawing>
            <wp:inline distT="0" distB="0" distL="0" distR="0" wp14:anchorId="6E8DD364" wp14:editId="51F3936C">
              <wp:extent cx="5575935" cy="2012950"/>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93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0A5D27" id="AutoShape 1" o:spid="_x0000_s1026" style="width:439.0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" filled="f" stroked="f">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C8A8" w14:textId="77777777" w:rsidR="00756CAE" w:rsidRDefault="00756CAE">
    <w:pPr>
      <w:pStyle w:val="HeaderFooterA"/>
      <w:tabs>
        <w:tab w:val="clear" w:pos="9360"/>
        <w:tab w:val="right" w:pos="8782"/>
      </w:tabs>
      <w:rPr>
        <w:rFonts w:ascii="Times New Roman" w:eastAsia="Times New Roman" w:hAnsi="Times New Roman"/>
        <w:color w:val="auto"/>
        <w:lang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3877D" w14:textId="3C1ADCE1" w:rsidR="00756CAE" w:rsidRDefault="00E3203C" w:rsidP="00F631D4">
    <w:pPr>
      <w:pStyle w:val="Header"/>
      <w:tabs>
        <w:tab w:val="left" w:pos="426"/>
        <w:tab w:val="left" w:pos="1418"/>
      </w:tabs>
    </w:pPr>
    <w:r>
      <w:rPr>
        <w:noProof/>
      </w:rPr>
      <w:drawing>
        <wp:inline distT="0" distB="0" distL="0" distR="0" wp14:anchorId="6D986B24" wp14:editId="61EA3D9C">
          <wp:extent cx="5537200" cy="1587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Pamatveidlapa_ar_FOOTER-01.png"/>
                  <pic:cNvPicPr/>
                </pic:nvPicPr>
                <pic:blipFill>
                  <a:blip r:embed="rId1">
                    <a:extLst>
                      <a:ext uri="{28A0092B-C50C-407E-A947-70E740481C1C}">
                        <a14:useLocalDpi xmlns:a14="http://schemas.microsoft.com/office/drawing/2010/main" val="0"/>
                      </a:ext>
                    </a:extLst>
                  </a:blip>
                  <a:stretch>
                    <a:fillRect/>
                  </a:stretch>
                </pic:blipFill>
                <pic:spPr>
                  <a:xfrm>
                    <a:off x="0" y="0"/>
                    <a:ext cx="5537200" cy="1587500"/>
                  </a:xfrm>
                  <a:prstGeom prst="rect">
                    <a:avLst/>
                  </a:prstGeom>
                </pic:spPr>
              </pic:pic>
            </a:graphicData>
          </a:graphic>
        </wp:inline>
      </w:drawing>
    </w:r>
  </w:p>
  <w:p w14:paraId="2E3C67A7" w14:textId="5A42A3CB" w:rsidR="00C96B4F" w:rsidRPr="00BA1D4B" w:rsidRDefault="00BA1D4B" w:rsidP="00BA1D4B">
    <w:pPr>
      <w:pStyle w:val="Header"/>
      <w:tabs>
        <w:tab w:val="left" w:pos="426"/>
        <w:tab w:val="left" w:pos="1418"/>
      </w:tabs>
      <w:jc w:val="center"/>
      <w:rPr>
        <w:lang w:val="lv-LV"/>
      </w:rPr>
    </w:pPr>
    <w:r w:rsidRPr="00BA1D4B">
      <w:rPr>
        <w:lang w:val="lv-LV"/>
      </w:rPr>
      <w:t>Rīgā</w:t>
    </w:r>
  </w:p>
  <w:p w14:paraId="4992808E" w14:textId="145AB150" w:rsidR="00BA1D4B" w:rsidRPr="00BA1D4B" w:rsidRDefault="00BA1D4B" w:rsidP="00BA1D4B">
    <w:pPr>
      <w:pStyle w:val="Header"/>
      <w:tabs>
        <w:tab w:val="left" w:pos="426"/>
        <w:tab w:val="left" w:pos="1418"/>
      </w:tabs>
      <w:jc w:val="center"/>
      <w:rPr>
        <w:lang w:val="lv-LV"/>
      </w:rPr>
    </w:pPr>
  </w:p>
  <w:p w14:paraId="765108D9" w14:textId="7AE623DE" w:rsidR="00BA1D4B" w:rsidRDefault="00BA1D4B" w:rsidP="00BA1D4B">
    <w:pPr>
      <w:pStyle w:val="Header"/>
      <w:tabs>
        <w:tab w:val="left" w:pos="426"/>
        <w:tab w:val="left" w:pos="1418"/>
      </w:tabs>
      <w:jc w:val="both"/>
    </w:pPr>
    <w:bookmarkStart w:id="0" w:name="docDate"/>
    <w:bookmarkEnd w:id="0"/>
    <w:r>
      <w:t xml:space="preserve"> </w:t>
    </w:r>
    <w:bookmarkStart w:id="1" w:name="docNr"/>
    <w:bookmarkEnd w:id="1"/>
    <w:r w:rsidR="00AE582A">
      <w:t>06.05.2026.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2C61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18A1B6B"/>
    <w:multiLevelType w:val="hybridMultilevel"/>
    <w:tmpl w:val="27E6F980"/>
    <w:lvl w:ilvl="0" w:tplc="BFDE1AEC">
      <w:start w:val="4"/>
      <w:numFmt w:val="bullet"/>
      <w:lvlText w:val="-"/>
      <w:lvlJc w:val="left"/>
      <w:pPr>
        <w:ind w:left="720" w:hanging="360"/>
      </w:pPr>
      <w:rPr>
        <w:rFonts w:ascii="Aptos" w:eastAsia="Aptos" w:hAnsi="Aptos"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1FDA330E"/>
    <w:multiLevelType w:val="hybridMultilevel"/>
    <w:tmpl w:val="2D52FBDE"/>
    <w:lvl w:ilvl="0" w:tplc="0502607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1316EB"/>
    <w:multiLevelType w:val="hybridMultilevel"/>
    <w:tmpl w:val="D6E82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3D2F40"/>
    <w:multiLevelType w:val="hybridMultilevel"/>
    <w:tmpl w:val="0E7AA254"/>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E47CE2"/>
    <w:multiLevelType w:val="hybridMultilevel"/>
    <w:tmpl w:val="8D5EE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35C419B"/>
    <w:multiLevelType w:val="hybridMultilevel"/>
    <w:tmpl w:val="3D66DF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8F74583"/>
    <w:multiLevelType w:val="hybridMultilevel"/>
    <w:tmpl w:val="7C1CA1B6"/>
    <w:lvl w:ilvl="0" w:tplc="3A34570E">
      <w:start w:val="1"/>
      <w:numFmt w:val="decimal"/>
      <w:lvlText w:val="%1)"/>
      <w:lvlJc w:val="left"/>
      <w:pPr>
        <w:ind w:left="1800" w:hanging="360"/>
      </w:pPr>
      <w:rPr>
        <w:rFonts w:ascii="Trebuchet MS" w:eastAsia="Calibri" w:hAnsi="Trebuchet MS"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AB31907"/>
    <w:multiLevelType w:val="hybridMultilevel"/>
    <w:tmpl w:val="A00C82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20429434">
    <w:abstractNumId w:val="0"/>
  </w:num>
  <w:num w:numId="2" w16cid:durableId="701059122">
    <w:abstractNumId w:val="8"/>
  </w:num>
  <w:num w:numId="3" w16cid:durableId="2134520668">
    <w:abstractNumId w:val="2"/>
  </w:num>
  <w:num w:numId="4" w16cid:durableId="300891100">
    <w:abstractNumId w:val="7"/>
  </w:num>
  <w:num w:numId="5" w16cid:durableId="1942446139">
    <w:abstractNumId w:val="5"/>
  </w:num>
  <w:num w:numId="6" w16cid:durableId="211384678">
    <w:abstractNumId w:val="6"/>
  </w:num>
  <w:num w:numId="7" w16cid:durableId="838622735">
    <w:abstractNumId w:val="3"/>
  </w:num>
  <w:num w:numId="8" w16cid:durableId="721102184">
    <w:abstractNumId w:val="4"/>
  </w:num>
  <w:num w:numId="9" w16cid:durableId="506335516">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7"/>
    <w:rsid w:val="00004F0D"/>
    <w:rsid w:val="00007685"/>
    <w:rsid w:val="00013AED"/>
    <w:rsid w:val="00016DD0"/>
    <w:rsid w:val="000321AC"/>
    <w:rsid w:val="000423D3"/>
    <w:rsid w:val="0004286D"/>
    <w:rsid w:val="000525F0"/>
    <w:rsid w:val="00056D3B"/>
    <w:rsid w:val="00082DBE"/>
    <w:rsid w:val="00083E27"/>
    <w:rsid w:val="000B7353"/>
    <w:rsid w:val="000C5391"/>
    <w:rsid w:val="000D3C79"/>
    <w:rsid w:val="000D4653"/>
    <w:rsid w:val="000E68E4"/>
    <w:rsid w:val="000E77C8"/>
    <w:rsid w:val="000F6DD0"/>
    <w:rsid w:val="00122E8F"/>
    <w:rsid w:val="0013132D"/>
    <w:rsid w:val="00134738"/>
    <w:rsid w:val="0013503B"/>
    <w:rsid w:val="00152882"/>
    <w:rsid w:val="001712E9"/>
    <w:rsid w:val="00173F24"/>
    <w:rsid w:val="00176AEB"/>
    <w:rsid w:val="00181ECD"/>
    <w:rsid w:val="00194B33"/>
    <w:rsid w:val="001A069B"/>
    <w:rsid w:val="001B000D"/>
    <w:rsid w:val="001B1570"/>
    <w:rsid w:val="001B4C0C"/>
    <w:rsid w:val="001B73F0"/>
    <w:rsid w:val="001C1098"/>
    <w:rsid w:val="001D1604"/>
    <w:rsid w:val="001D199E"/>
    <w:rsid w:val="001D43D0"/>
    <w:rsid w:val="001D50AC"/>
    <w:rsid w:val="001E00C6"/>
    <w:rsid w:val="001E4BDB"/>
    <w:rsid w:val="001E6EA3"/>
    <w:rsid w:val="00212AD7"/>
    <w:rsid w:val="00233FCE"/>
    <w:rsid w:val="00243F10"/>
    <w:rsid w:val="00244DD0"/>
    <w:rsid w:val="00265DC0"/>
    <w:rsid w:val="002746D8"/>
    <w:rsid w:val="002779F5"/>
    <w:rsid w:val="00291F56"/>
    <w:rsid w:val="002C3981"/>
    <w:rsid w:val="002E0214"/>
    <w:rsid w:val="002E786C"/>
    <w:rsid w:val="00313DB1"/>
    <w:rsid w:val="00325A6F"/>
    <w:rsid w:val="0033324E"/>
    <w:rsid w:val="00334B60"/>
    <w:rsid w:val="00371AB5"/>
    <w:rsid w:val="0037357A"/>
    <w:rsid w:val="00376377"/>
    <w:rsid w:val="00383BF8"/>
    <w:rsid w:val="00384C24"/>
    <w:rsid w:val="003877B2"/>
    <w:rsid w:val="003A2C1C"/>
    <w:rsid w:val="003A76FA"/>
    <w:rsid w:val="003B2683"/>
    <w:rsid w:val="003C232B"/>
    <w:rsid w:val="003C2FBA"/>
    <w:rsid w:val="003C3653"/>
    <w:rsid w:val="004124BC"/>
    <w:rsid w:val="004300BD"/>
    <w:rsid w:val="00443BF3"/>
    <w:rsid w:val="00444C25"/>
    <w:rsid w:val="00446224"/>
    <w:rsid w:val="00454D63"/>
    <w:rsid w:val="00457E36"/>
    <w:rsid w:val="00480F6E"/>
    <w:rsid w:val="00495061"/>
    <w:rsid w:val="004A0D6C"/>
    <w:rsid w:val="004A12E8"/>
    <w:rsid w:val="004A412C"/>
    <w:rsid w:val="004C200B"/>
    <w:rsid w:val="004C2F01"/>
    <w:rsid w:val="004C4EA1"/>
    <w:rsid w:val="004E4C4F"/>
    <w:rsid w:val="004F2129"/>
    <w:rsid w:val="004F581B"/>
    <w:rsid w:val="004F7F16"/>
    <w:rsid w:val="004F7FC7"/>
    <w:rsid w:val="00503974"/>
    <w:rsid w:val="005079CC"/>
    <w:rsid w:val="00516556"/>
    <w:rsid w:val="0054525F"/>
    <w:rsid w:val="00561390"/>
    <w:rsid w:val="00590EF5"/>
    <w:rsid w:val="005A7A9C"/>
    <w:rsid w:val="005D0E2E"/>
    <w:rsid w:val="005D1BBE"/>
    <w:rsid w:val="005D3F37"/>
    <w:rsid w:val="005E2CD1"/>
    <w:rsid w:val="00611305"/>
    <w:rsid w:val="00612976"/>
    <w:rsid w:val="00613EC7"/>
    <w:rsid w:val="00617BD6"/>
    <w:rsid w:val="00620F1F"/>
    <w:rsid w:val="00622CBE"/>
    <w:rsid w:val="006339F1"/>
    <w:rsid w:val="00660745"/>
    <w:rsid w:val="00670FF9"/>
    <w:rsid w:val="00671FF0"/>
    <w:rsid w:val="00681D93"/>
    <w:rsid w:val="006874A7"/>
    <w:rsid w:val="00697421"/>
    <w:rsid w:val="006A64D2"/>
    <w:rsid w:val="006A672C"/>
    <w:rsid w:val="006B6ACB"/>
    <w:rsid w:val="006F38EE"/>
    <w:rsid w:val="006F3DD1"/>
    <w:rsid w:val="00706C00"/>
    <w:rsid w:val="00712459"/>
    <w:rsid w:val="00713E87"/>
    <w:rsid w:val="00714707"/>
    <w:rsid w:val="0073791F"/>
    <w:rsid w:val="00741E14"/>
    <w:rsid w:val="00756CAE"/>
    <w:rsid w:val="00763A22"/>
    <w:rsid w:val="007857EA"/>
    <w:rsid w:val="007875D1"/>
    <w:rsid w:val="007A34BE"/>
    <w:rsid w:val="007B1B5D"/>
    <w:rsid w:val="007C2907"/>
    <w:rsid w:val="007D62F7"/>
    <w:rsid w:val="008034ED"/>
    <w:rsid w:val="008143E1"/>
    <w:rsid w:val="008206E9"/>
    <w:rsid w:val="00824B22"/>
    <w:rsid w:val="00832355"/>
    <w:rsid w:val="00841DBE"/>
    <w:rsid w:val="008533C8"/>
    <w:rsid w:val="00855A5E"/>
    <w:rsid w:val="00885C1B"/>
    <w:rsid w:val="00896962"/>
    <w:rsid w:val="008B711B"/>
    <w:rsid w:val="008C7178"/>
    <w:rsid w:val="008E3092"/>
    <w:rsid w:val="008E43DF"/>
    <w:rsid w:val="008E4C93"/>
    <w:rsid w:val="008E4EAD"/>
    <w:rsid w:val="00901C98"/>
    <w:rsid w:val="00901EA6"/>
    <w:rsid w:val="00904B48"/>
    <w:rsid w:val="009134FF"/>
    <w:rsid w:val="00915A7C"/>
    <w:rsid w:val="0091786F"/>
    <w:rsid w:val="00931737"/>
    <w:rsid w:val="00935F53"/>
    <w:rsid w:val="009406E6"/>
    <w:rsid w:val="00953B8C"/>
    <w:rsid w:val="00957F33"/>
    <w:rsid w:val="009C1D7F"/>
    <w:rsid w:val="009D280E"/>
    <w:rsid w:val="009D45C1"/>
    <w:rsid w:val="00A075D3"/>
    <w:rsid w:val="00A320F2"/>
    <w:rsid w:val="00A3285A"/>
    <w:rsid w:val="00A52673"/>
    <w:rsid w:val="00A55640"/>
    <w:rsid w:val="00A90154"/>
    <w:rsid w:val="00A903EE"/>
    <w:rsid w:val="00AA0E4F"/>
    <w:rsid w:val="00AB07EB"/>
    <w:rsid w:val="00AB152E"/>
    <w:rsid w:val="00AC477A"/>
    <w:rsid w:val="00AC79C5"/>
    <w:rsid w:val="00AD6E80"/>
    <w:rsid w:val="00AE582A"/>
    <w:rsid w:val="00AE5D01"/>
    <w:rsid w:val="00B041E9"/>
    <w:rsid w:val="00B17037"/>
    <w:rsid w:val="00B455EA"/>
    <w:rsid w:val="00B67B48"/>
    <w:rsid w:val="00B71E7E"/>
    <w:rsid w:val="00B76BBD"/>
    <w:rsid w:val="00BA1D4B"/>
    <w:rsid w:val="00BA2125"/>
    <w:rsid w:val="00BA5A69"/>
    <w:rsid w:val="00BA74A6"/>
    <w:rsid w:val="00BD515B"/>
    <w:rsid w:val="00BE68AA"/>
    <w:rsid w:val="00C2117D"/>
    <w:rsid w:val="00C3641F"/>
    <w:rsid w:val="00C53612"/>
    <w:rsid w:val="00C64C8D"/>
    <w:rsid w:val="00C65A61"/>
    <w:rsid w:val="00C824B5"/>
    <w:rsid w:val="00C84969"/>
    <w:rsid w:val="00C950CD"/>
    <w:rsid w:val="00C96B4F"/>
    <w:rsid w:val="00CA54E5"/>
    <w:rsid w:val="00CA73ED"/>
    <w:rsid w:val="00CA7616"/>
    <w:rsid w:val="00CD48DA"/>
    <w:rsid w:val="00CF2573"/>
    <w:rsid w:val="00CF3DE2"/>
    <w:rsid w:val="00D43D83"/>
    <w:rsid w:val="00D653C8"/>
    <w:rsid w:val="00D660AB"/>
    <w:rsid w:val="00D81F1C"/>
    <w:rsid w:val="00D86507"/>
    <w:rsid w:val="00D87DC4"/>
    <w:rsid w:val="00DA0C26"/>
    <w:rsid w:val="00DB4075"/>
    <w:rsid w:val="00DB4915"/>
    <w:rsid w:val="00DB7AF4"/>
    <w:rsid w:val="00DC3242"/>
    <w:rsid w:val="00DC6352"/>
    <w:rsid w:val="00DD5687"/>
    <w:rsid w:val="00E1318D"/>
    <w:rsid w:val="00E3203C"/>
    <w:rsid w:val="00E346D6"/>
    <w:rsid w:val="00E47E37"/>
    <w:rsid w:val="00E56798"/>
    <w:rsid w:val="00E722A6"/>
    <w:rsid w:val="00EA4EA0"/>
    <w:rsid w:val="00EB089E"/>
    <w:rsid w:val="00EE2353"/>
    <w:rsid w:val="00EE4CED"/>
    <w:rsid w:val="00F01C15"/>
    <w:rsid w:val="00F13A9E"/>
    <w:rsid w:val="00F213A8"/>
    <w:rsid w:val="00F2182D"/>
    <w:rsid w:val="00F3575B"/>
    <w:rsid w:val="00F527AA"/>
    <w:rsid w:val="00F631D4"/>
    <w:rsid w:val="00F83C9D"/>
    <w:rsid w:val="00F84DED"/>
    <w:rsid w:val="00F97E7A"/>
    <w:rsid w:val="00FC1152"/>
    <w:rsid w:val="00FE0013"/>
    <w:rsid w:val="00FF0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8B71F65"/>
  <w14:defaultImageDpi w14:val="300"/>
  <w15:chartTrackingRefBased/>
  <w15:docId w15:val="{64EA3D88-3321-4560-9F45-24574A30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85A"/>
    <w:rPr>
      <w:sz w:val="24"/>
      <w:szCs w:val="24"/>
      <w:lang w:val="en-GB" w:eastAsia="en-US"/>
    </w:rPr>
  </w:style>
  <w:style w:type="paragraph" w:styleId="Heading2">
    <w:name w:val="heading 2"/>
    <w:basedOn w:val="Normal"/>
    <w:next w:val="Normal"/>
    <w:link w:val="Heading2Char"/>
    <w:semiHidden/>
    <w:unhideWhenUsed/>
    <w:qFormat/>
    <w:locked/>
    <w:rsid w:val="0013132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u w:color="000000"/>
      <w:lang w:eastAsia="lv-LV"/>
    </w:rPr>
  </w:style>
  <w:style w:type="paragraph" w:customStyle="1" w:styleId="HeaderFooter">
    <w:name w:val="Header &amp; Footer"/>
    <w:pPr>
      <w:tabs>
        <w:tab w:val="right" w:pos="9360"/>
      </w:tabs>
    </w:pPr>
    <w:rPr>
      <w:rFonts w:ascii="Helvetica" w:eastAsia="ヒラギノ角ゴ Pro W3" w:hAnsi="Helvetica"/>
      <w:color w:val="000000"/>
      <w:lang w:eastAsia="lv-LV"/>
    </w:rPr>
  </w:style>
  <w:style w:type="paragraph" w:customStyle="1" w:styleId="Body">
    <w:name w:val="Body"/>
    <w:pPr>
      <w:spacing w:after="240"/>
    </w:pPr>
    <w:rPr>
      <w:rFonts w:ascii="Helvetica" w:eastAsia="ヒラギノ角ゴ Pro W3" w:hAnsi="Helvetica"/>
      <w:color w:val="000000"/>
      <w:sz w:val="24"/>
      <w:lang w:eastAsia="lv-LV"/>
    </w:rPr>
  </w:style>
  <w:style w:type="paragraph" w:styleId="Header">
    <w:name w:val="header"/>
    <w:basedOn w:val="Normal"/>
    <w:locked/>
    <w:rsid w:val="00756CAE"/>
    <w:pPr>
      <w:tabs>
        <w:tab w:val="center" w:pos="4153"/>
        <w:tab w:val="right" w:pos="8306"/>
      </w:tabs>
    </w:pPr>
  </w:style>
  <w:style w:type="paragraph" w:styleId="Footer">
    <w:name w:val="footer"/>
    <w:basedOn w:val="Normal"/>
    <w:link w:val="FooterChar"/>
    <w:uiPriority w:val="99"/>
    <w:locked/>
    <w:rsid w:val="00756CAE"/>
    <w:pPr>
      <w:tabs>
        <w:tab w:val="center" w:pos="4153"/>
        <w:tab w:val="right" w:pos="8306"/>
      </w:tabs>
    </w:pPr>
  </w:style>
  <w:style w:type="character" w:customStyle="1" w:styleId="FooterChar">
    <w:name w:val="Footer Char"/>
    <w:basedOn w:val="DefaultParagraphFont"/>
    <w:link w:val="Footer"/>
    <w:uiPriority w:val="99"/>
    <w:rsid w:val="00F84DED"/>
    <w:rPr>
      <w:sz w:val="24"/>
      <w:szCs w:val="24"/>
      <w:lang w:val="en-GB" w:eastAsia="en-US"/>
    </w:rPr>
  </w:style>
  <w:style w:type="character" w:customStyle="1" w:styleId="Heading2Char">
    <w:name w:val="Heading 2 Char"/>
    <w:basedOn w:val="DefaultParagraphFont"/>
    <w:link w:val="Heading2"/>
    <w:semiHidden/>
    <w:rsid w:val="0013132D"/>
    <w:rPr>
      <w:rFonts w:asciiTheme="majorHAnsi" w:eastAsiaTheme="majorEastAsia" w:hAnsiTheme="majorHAnsi" w:cstheme="majorBidi"/>
      <w:color w:val="2F5496" w:themeColor="accent1" w:themeShade="BF"/>
      <w:sz w:val="26"/>
      <w:szCs w:val="26"/>
      <w:lang w:val="en-GB" w:eastAsia="en-US"/>
    </w:rPr>
  </w:style>
  <w:style w:type="paragraph" w:styleId="ListParagraph">
    <w:name w:val="List Paragraph"/>
    <w:aliases w:val="1st level - Bullet List Paragraph,2,Bullet list,Bullet point 1,Bullets,H&amp;P List Paragraph,List Paragraph1,Normal bullet 2,Numbered List,Numurets,PPS_Bullet,Paragraph,Saistīto dokumentu saraksts,Strip,Syle 1,Virsraksti,list paragraph"/>
    <w:basedOn w:val="Normal"/>
    <w:link w:val="ListParagraphChar"/>
    <w:uiPriority w:val="34"/>
    <w:qFormat/>
    <w:rsid w:val="00660745"/>
    <w:pPr>
      <w:ind w:left="720"/>
      <w:contextualSpacing/>
    </w:pPr>
  </w:style>
  <w:style w:type="character" w:customStyle="1" w:styleId="ListParagraphChar">
    <w:name w:val="List Paragraph Char"/>
    <w:aliases w:val="1st level - Bullet List Paragraph Char,2 Char,Bullet list Char,Bullet point 1 Char,Bullets Char,H&amp;P List Paragraph Char,List Paragraph1 Char,Normal bullet 2 Char,Numbered List Char,Numurets Char,PPS_Bullet Char,Paragraph Char"/>
    <w:link w:val="ListParagraph"/>
    <w:uiPriority w:val="34"/>
    <w:qFormat/>
    <w:locked/>
    <w:rsid w:val="005E2CD1"/>
    <w:rPr>
      <w:sz w:val="24"/>
      <w:szCs w:val="24"/>
      <w:lang w:val="en-GB" w:eastAsia="en-US"/>
    </w:rPr>
  </w:style>
  <w:style w:type="character" w:styleId="Hyperlink">
    <w:name w:val="Hyperlink"/>
    <w:basedOn w:val="DefaultParagraphFont"/>
    <w:locked/>
    <w:rsid w:val="00CD48DA"/>
    <w:rPr>
      <w:color w:val="0563C1" w:themeColor="hyperlink"/>
      <w:u w:val="single"/>
    </w:rPr>
  </w:style>
  <w:style w:type="character" w:styleId="UnresolvedMention">
    <w:name w:val="Unresolved Mention"/>
    <w:basedOn w:val="DefaultParagraphFont"/>
    <w:uiPriority w:val="99"/>
    <w:semiHidden/>
    <w:unhideWhenUsed/>
    <w:rsid w:val="00CD48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68965">
      <w:bodyDiv w:val="1"/>
      <w:marLeft w:val="0"/>
      <w:marRight w:val="0"/>
      <w:marTop w:val="0"/>
      <w:marBottom w:val="0"/>
      <w:divBdr>
        <w:top w:val="none" w:sz="0" w:space="0" w:color="auto"/>
        <w:left w:val="none" w:sz="0" w:space="0" w:color="auto"/>
        <w:bottom w:val="none" w:sz="0" w:space="0" w:color="auto"/>
        <w:right w:val="none" w:sz="0" w:space="0" w:color="auto"/>
      </w:divBdr>
    </w:div>
    <w:div w:id="97063858">
      <w:bodyDiv w:val="1"/>
      <w:marLeft w:val="0"/>
      <w:marRight w:val="0"/>
      <w:marTop w:val="0"/>
      <w:marBottom w:val="0"/>
      <w:divBdr>
        <w:top w:val="none" w:sz="0" w:space="0" w:color="auto"/>
        <w:left w:val="none" w:sz="0" w:space="0" w:color="auto"/>
        <w:bottom w:val="none" w:sz="0" w:space="0" w:color="auto"/>
        <w:right w:val="none" w:sz="0" w:space="0" w:color="auto"/>
      </w:divBdr>
    </w:div>
    <w:div w:id="106707346">
      <w:bodyDiv w:val="1"/>
      <w:marLeft w:val="0"/>
      <w:marRight w:val="0"/>
      <w:marTop w:val="0"/>
      <w:marBottom w:val="0"/>
      <w:divBdr>
        <w:top w:val="none" w:sz="0" w:space="0" w:color="auto"/>
        <w:left w:val="none" w:sz="0" w:space="0" w:color="auto"/>
        <w:bottom w:val="none" w:sz="0" w:space="0" w:color="auto"/>
        <w:right w:val="none" w:sz="0" w:space="0" w:color="auto"/>
      </w:divBdr>
    </w:div>
    <w:div w:id="155654790">
      <w:bodyDiv w:val="1"/>
      <w:marLeft w:val="0"/>
      <w:marRight w:val="0"/>
      <w:marTop w:val="0"/>
      <w:marBottom w:val="0"/>
      <w:divBdr>
        <w:top w:val="none" w:sz="0" w:space="0" w:color="auto"/>
        <w:left w:val="none" w:sz="0" w:space="0" w:color="auto"/>
        <w:bottom w:val="none" w:sz="0" w:space="0" w:color="auto"/>
        <w:right w:val="none" w:sz="0" w:space="0" w:color="auto"/>
      </w:divBdr>
    </w:div>
    <w:div w:id="337581467">
      <w:bodyDiv w:val="1"/>
      <w:marLeft w:val="0"/>
      <w:marRight w:val="0"/>
      <w:marTop w:val="0"/>
      <w:marBottom w:val="0"/>
      <w:divBdr>
        <w:top w:val="none" w:sz="0" w:space="0" w:color="auto"/>
        <w:left w:val="none" w:sz="0" w:space="0" w:color="auto"/>
        <w:bottom w:val="none" w:sz="0" w:space="0" w:color="auto"/>
        <w:right w:val="none" w:sz="0" w:space="0" w:color="auto"/>
      </w:divBdr>
    </w:div>
    <w:div w:id="472059501">
      <w:bodyDiv w:val="1"/>
      <w:marLeft w:val="0"/>
      <w:marRight w:val="0"/>
      <w:marTop w:val="0"/>
      <w:marBottom w:val="0"/>
      <w:divBdr>
        <w:top w:val="none" w:sz="0" w:space="0" w:color="auto"/>
        <w:left w:val="none" w:sz="0" w:space="0" w:color="auto"/>
        <w:bottom w:val="none" w:sz="0" w:space="0" w:color="auto"/>
        <w:right w:val="none" w:sz="0" w:space="0" w:color="auto"/>
      </w:divBdr>
    </w:div>
    <w:div w:id="550579442">
      <w:bodyDiv w:val="1"/>
      <w:marLeft w:val="0"/>
      <w:marRight w:val="0"/>
      <w:marTop w:val="0"/>
      <w:marBottom w:val="0"/>
      <w:divBdr>
        <w:top w:val="none" w:sz="0" w:space="0" w:color="auto"/>
        <w:left w:val="none" w:sz="0" w:space="0" w:color="auto"/>
        <w:bottom w:val="none" w:sz="0" w:space="0" w:color="auto"/>
        <w:right w:val="none" w:sz="0" w:space="0" w:color="auto"/>
      </w:divBdr>
    </w:div>
    <w:div w:id="633874728">
      <w:bodyDiv w:val="1"/>
      <w:marLeft w:val="0"/>
      <w:marRight w:val="0"/>
      <w:marTop w:val="0"/>
      <w:marBottom w:val="0"/>
      <w:divBdr>
        <w:top w:val="none" w:sz="0" w:space="0" w:color="auto"/>
        <w:left w:val="none" w:sz="0" w:space="0" w:color="auto"/>
        <w:bottom w:val="none" w:sz="0" w:space="0" w:color="auto"/>
        <w:right w:val="none" w:sz="0" w:space="0" w:color="auto"/>
      </w:divBdr>
    </w:div>
    <w:div w:id="711199471">
      <w:bodyDiv w:val="1"/>
      <w:marLeft w:val="0"/>
      <w:marRight w:val="0"/>
      <w:marTop w:val="0"/>
      <w:marBottom w:val="0"/>
      <w:divBdr>
        <w:top w:val="none" w:sz="0" w:space="0" w:color="auto"/>
        <w:left w:val="none" w:sz="0" w:space="0" w:color="auto"/>
        <w:bottom w:val="none" w:sz="0" w:space="0" w:color="auto"/>
        <w:right w:val="none" w:sz="0" w:space="0" w:color="auto"/>
      </w:divBdr>
    </w:div>
    <w:div w:id="896433466">
      <w:bodyDiv w:val="1"/>
      <w:marLeft w:val="0"/>
      <w:marRight w:val="0"/>
      <w:marTop w:val="0"/>
      <w:marBottom w:val="0"/>
      <w:divBdr>
        <w:top w:val="none" w:sz="0" w:space="0" w:color="auto"/>
        <w:left w:val="none" w:sz="0" w:space="0" w:color="auto"/>
        <w:bottom w:val="none" w:sz="0" w:space="0" w:color="auto"/>
        <w:right w:val="none" w:sz="0" w:space="0" w:color="auto"/>
      </w:divBdr>
    </w:div>
    <w:div w:id="914123336">
      <w:bodyDiv w:val="1"/>
      <w:marLeft w:val="0"/>
      <w:marRight w:val="0"/>
      <w:marTop w:val="0"/>
      <w:marBottom w:val="0"/>
      <w:divBdr>
        <w:top w:val="none" w:sz="0" w:space="0" w:color="auto"/>
        <w:left w:val="none" w:sz="0" w:space="0" w:color="auto"/>
        <w:bottom w:val="none" w:sz="0" w:space="0" w:color="auto"/>
        <w:right w:val="none" w:sz="0" w:space="0" w:color="auto"/>
      </w:divBdr>
    </w:div>
    <w:div w:id="1022896203">
      <w:bodyDiv w:val="1"/>
      <w:marLeft w:val="0"/>
      <w:marRight w:val="0"/>
      <w:marTop w:val="0"/>
      <w:marBottom w:val="0"/>
      <w:divBdr>
        <w:top w:val="none" w:sz="0" w:space="0" w:color="auto"/>
        <w:left w:val="none" w:sz="0" w:space="0" w:color="auto"/>
        <w:bottom w:val="none" w:sz="0" w:space="0" w:color="auto"/>
        <w:right w:val="none" w:sz="0" w:space="0" w:color="auto"/>
      </w:divBdr>
    </w:div>
    <w:div w:id="1306859505">
      <w:bodyDiv w:val="1"/>
      <w:marLeft w:val="0"/>
      <w:marRight w:val="0"/>
      <w:marTop w:val="0"/>
      <w:marBottom w:val="0"/>
      <w:divBdr>
        <w:top w:val="none" w:sz="0" w:space="0" w:color="auto"/>
        <w:left w:val="none" w:sz="0" w:space="0" w:color="auto"/>
        <w:bottom w:val="none" w:sz="0" w:space="0" w:color="auto"/>
        <w:right w:val="none" w:sz="0" w:space="0" w:color="auto"/>
      </w:divBdr>
    </w:div>
    <w:div w:id="1422752286">
      <w:bodyDiv w:val="1"/>
      <w:marLeft w:val="0"/>
      <w:marRight w:val="0"/>
      <w:marTop w:val="0"/>
      <w:marBottom w:val="0"/>
      <w:divBdr>
        <w:top w:val="none" w:sz="0" w:space="0" w:color="auto"/>
        <w:left w:val="none" w:sz="0" w:space="0" w:color="auto"/>
        <w:bottom w:val="none" w:sz="0" w:space="0" w:color="auto"/>
        <w:right w:val="none" w:sz="0" w:space="0" w:color="auto"/>
      </w:divBdr>
    </w:div>
    <w:div w:id="1462335029">
      <w:bodyDiv w:val="1"/>
      <w:marLeft w:val="0"/>
      <w:marRight w:val="0"/>
      <w:marTop w:val="0"/>
      <w:marBottom w:val="0"/>
      <w:divBdr>
        <w:top w:val="none" w:sz="0" w:space="0" w:color="auto"/>
        <w:left w:val="none" w:sz="0" w:space="0" w:color="auto"/>
        <w:bottom w:val="none" w:sz="0" w:space="0" w:color="auto"/>
        <w:right w:val="none" w:sz="0" w:space="0" w:color="auto"/>
      </w:divBdr>
    </w:div>
    <w:div w:id="1493327523">
      <w:bodyDiv w:val="1"/>
      <w:marLeft w:val="0"/>
      <w:marRight w:val="0"/>
      <w:marTop w:val="0"/>
      <w:marBottom w:val="0"/>
      <w:divBdr>
        <w:top w:val="none" w:sz="0" w:space="0" w:color="auto"/>
        <w:left w:val="none" w:sz="0" w:space="0" w:color="auto"/>
        <w:bottom w:val="none" w:sz="0" w:space="0" w:color="auto"/>
        <w:right w:val="none" w:sz="0" w:space="0" w:color="auto"/>
      </w:divBdr>
    </w:div>
    <w:div w:id="1599479798">
      <w:bodyDiv w:val="1"/>
      <w:marLeft w:val="0"/>
      <w:marRight w:val="0"/>
      <w:marTop w:val="0"/>
      <w:marBottom w:val="0"/>
      <w:divBdr>
        <w:top w:val="none" w:sz="0" w:space="0" w:color="auto"/>
        <w:left w:val="none" w:sz="0" w:space="0" w:color="auto"/>
        <w:bottom w:val="none" w:sz="0" w:space="0" w:color="auto"/>
        <w:right w:val="none" w:sz="0" w:space="0" w:color="auto"/>
      </w:divBdr>
    </w:div>
    <w:div w:id="1680346969">
      <w:bodyDiv w:val="1"/>
      <w:marLeft w:val="0"/>
      <w:marRight w:val="0"/>
      <w:marTop w:val="0"/>
      <w:marBottom w:val="0"/>
      <w:divBdr>
        <w:top w:val="none" w:sz="0" w:space="0" w:color="auto"/>
        <w:left w:val="none" w:sz="0" w:space="0" w:color="auto"/>
        <w:bottom w:val="none" w:sz="0" w:space="0" w:color="auto"/>
        <w:right w:val="none" w:sz="0" w:space="0" w:color="auto"/>
      </w:divBdr>
    </w:div>
    <w:div w:id="1693990592">
      <w:bodyDiv w:val="1"/>
      <w:marLeft w:val="0"/>
      <w:marRight w:val="0"/>
      <w:marTop w:val="0"/>
      <w:marBottom w:val="0"/>
      <w:divBdr>
        <w:top w:val="none" w:sz="0" w:space="0" w:color="auto"/>
        <w:left w:val="none" w:sz="0" w:space="0" w:color="auto"/>
        <w:bottom w:val="none" w:sz="0" w:space="0" w:color="auto"/>
        <w:right w:val="none" w:sz="0" w:space="0" w:color="auto"/>
      </w:divBdr>
    </w:div>
    <w:div w:id="1829129354">
      <w:bodyDiv w:val="1"/>
      <w:marLeft w:val="0"/>
      <w:marRight w:val="0"/>
      <w:marTop w:val="0"/>
      <w:marBottom w:val="0"/>
      <w:divBdr>
        <w:top w:val="none" w:sz="0" w:space="0" w:color="auto"/>
        <w:left w:val="none" w:sz="0" w:space="0" w:color="auto"/>
        <w:bottom w:val="none" w:sz="0" w:space="0" w:color="auto"/>
        <w:right w:val="none" w:sz="0" w:space="0" w:color="auto"/>
      </w:divBdr>
    </w:div>
    <w:div w:id="2044406124">
      <w:bodyDiv w:val="1"/>
      <w:marLeft w:val="0"/>
      <w:marRight w:val="0"/>
      <w:marTop w:val="0"/>
      <w:marBottom w:val="0"/>
      <w:divBdr>
        <w:top w:val="none" w:sz="0" w:space="0" w:color="auto"/>
        <w:left w:val="none" w:sz="0" w:space="0" w:color="auto"/>
        <w:bottom w:val="none" w:sz="0" w:space="0" w:color="auto"/>
        <w:right w:val="none" w:sz="0" w:space="0" w:color="auto"/>
      </w:divBdr>
    </w:div>
    <w:div w:id="2059352112">
      <w:bodyDiv w:val="1"/>
      <w:marLeft w:val="0"/>
      <w:marRight w:val="0"/>
      <w:marTop w:val="0"/>
      <w:marBottom w:val="0"/>
      <w:divBdr>
        <w:top w:val="none" w:sz="0" w:space="0" w:color="auto"/>
        <w:left w:val="none" w:sz="0" w:space="0" w:color="auto"/>
        <w:bottom w:val="none" w:sz="0" w:space="0" w:color="auto"/>
        <w:right w:val="none" w:sz="0" w:space="0" w:color="auto"/>
      </w:divBdr>
    </w:div>
    <w:div w:id="2087533836">
      <w:bodyDiv w:val="1"/>
      <w:marLeft w:val="0"/>
      <w:marRight w:val="0"/>
      <w:marTop w:val="0"/>
      <w:marBottom w:val="0"/>
      <w:divBdr>
        <w:top w:val="none" w:sz="0" w:space="0" w:color="auto"/>
        <w:left w:val="none" w:sz="0" w:space="0" w:color="auto"/>
        <w:bottom w:val="none" w:sz="0" w:space="0" w:color="auto"/>
        <w:right w:val="none" w:sz="0" w:space="0" w:color="auto"/>
      </w:divBdr>
    </w:div>
    <w:div w:id="2107262132">
      <w:bodyDiv w:val="1"/>
      <w:marLeft w:val="0"/>
      <w:marRight w:val="0"/>
      <w:marTop w:val="0"/>
      <w:marBottom w:val="0"/>
      <w:divBdr>
        <w:top w:val="none" w:sz="0" w:space="0" w:color="auto"/>
        <w:left w:val="none" w:sz="0" w:space="0" w:color="auto"/>
        <w:bottom w:val="none" w:sz="0" w:space="0" w:color="auto"/>
        <w:right w:val="none" w:sz="0" w:space="0" w:color="auto"/>
      </w:divBdr>
    </w:div>
    <w:div w:id="2146386131">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2C2C1-F3E9-4142-953B-7E0DC0B71C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F302C7-45B4-4A52-9D08-EAD3BBB3A90E}">
  <ds:schemaRefs>
    <ds:schemaRef ds:uri="http://schemas.microsoft.com/office/2006/metadata/longProperties"/>
  </ds:schemaRefs>
</ds:datastoreItem>
</file>

<file path=customXml/itemProps3.xml><?xml version="1.0" encoding="utf-8"?>
<ds:datastoreItem xmlns:ds="http://schemas.openxmlformats.org/officeDocument/2006/customXml" ds:itemID="{A2E68B2D-5A9A-4BC7-B342-391C8871E400}">
  <ds:schemaRefs>
    <ds:schemaRef ds:uri="http://schemas.microsoft.com/sharepoint/v3/contenttype/forms"/>
  </ds:schemaRefs>
</ds:datastoreItem>
</file>

<file path=customXml/itemProps4.xml><?xml version="1.0" encoding="utf-8"?>
<ds:datastoreItem xmlns:ds="http://schemas.openxmlformats.org/officeDocument/2006/customXml" ds:itemID="{43ED7F48-A605-48E0-A38A-B5280ADA0E10}">
  <ds:schemaRefs>
    <ds:schemaRef ds:uri="http://schemas.microsoft.com/office/2006/metadata/properties"/>
    <ds:schemaRef ds:uri="http://schemas.microsoft.com/office/infopath/2007/PartnerControls"/>
    <ds:schemaRef ds:uri="9bd55470-554b-43a4-a725-b11197aacd35"/>
    <ds:schemaRef ds:uri="39e29a67-14a6-4bd2-bf5c-c8d713f8fb27"/>
    <ds:schemaRef ds:uri="8230fadb-9988-4f00-b353-34532af48b00"/>
    <ds:schemaRef ds:uri="978be6e4-f890-4aa0-9195-00aa98d15dd1"/>
    <ds:schemaRef ds:uri="d177710c-40cf-4d94-a9f9-6248e9450632"/>
    <ds:schemaRef ds:uri="90e81eab-0ee8-4447-a625-b324b79cd243"/>
  </ds:schemaRefs>
</ds:datastoreItem>
</file>

<file path=customXml/itemProps5.xml><?xml version="1.0" encoding="utf-8"?>
<ds:datastoreItem xmlns:ds="http://schemas.openxmlformats.org/officeDocument/2006/customXml" ds:itemID="{AE5AF770-70CC-BD42-A749-21E25581B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1392</Words>
  <Characters>10050</Characters>
  <Application>Microsoft Office Word</Application>
  <DocSecurity>0</DocSecurity>
  <Lines>83</Lines>
  <Paragraphs>22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Rigas Satiksme</Company>
  <LinksUpToDate>false</LinksUpToDate>
  <CharactersWithSpaces>11420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Alena Kamisarova</cp:lastModifiedBy>
  <cp:revision>8</cp:revision>
  <cp:lastPrinted>2021-09-09T02:05:00Z</cp:lastPrinted>
  <dcterms:created xsi:type="dcterms:W3CDTF">2026-05-06T06:09:00Z</dcterms:created>
  <dcterms:modified xsi:type="dcterms:W3CDTF">2026-05-06T06:18:00Z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JK72EMXWKVUQ-10-969</vt:lpwstr>
  </property>
  <property fmtid="{D5CDD505-2E9C-101B-9397-08002B2CF9AE}" pid="3" name="_dlc_DocIdItemGuid">
    <vt:lpwstr>b413f596-b108-404b-8e0d-f45c45d4f46c</vt:lpwstr>
  </property>
  <property fmtid="{D5CDD505-2E9C-101B-9397-08002B2CF9AE}" pid="4" name="_dlc_DocIdUrl">
    <vt:lpwstr>http://mansrs/ADR/_layouts/DocIdRedir.aspx?ID=JK72EMXWKVUQ-10-969, JK72EMXWKVUQ-10-969</vt:lpwstr>
  </property>
  <property fmtid="{D5CDD505-2E9C-101B-9397-08002B2CF9AE}" pid="5" name="Jānodod arhīvā">
    <vt:lpwstr>0</vt:lpwstr>
  </property>
  <property fmtid="{D5CDD505-2E9C-101B-9397-08002B2CF9AE}" pid="6" name="Piezīmes">
    <vt:lpwstr/>
  </property>
  <property fmtid="{D5CDD505-2E9C-101B-9397-08002B2CF9AE}" pid="7" name="Glabāšanas laiks str-bā">
    <vt:lpwstr>Aktuālā versija</vt:lpwstr>
  </property>
  <property fmtid="{D5CDD505-2E9C-101B-9397-08002B2CF9AE}" pid="8" name="Par glabāšanu atbildīgais (vieta)">
    <vt:lpwstr/>
  </property>
  <property fmtid="{D5CDD505-2E9C-101B-9397-08002B2CF9AE}" pid="9" name="Veids">
    <vt:lpwstr>Veidlapa</vt:lpwstr>
  </property>
  <property fmtid="{D5CDD505-2E9C-101B-9397-08002B2CF9AE}" pid="10" name="Numurs">
    <vt:lpwstr/>
  </property>
  <property fmtid="{D5CDD505-2E9C-101B-9397-08002B2CF9AE}" pid="11" name="Apstiprināts ar INA">
    <vt:lpwstr/>
  </property>
  <property fmtid="{D5CDD505-2E9C-101B-9397-08002B2CF9AE}" pid="12" name="Procedūras Nr:">
    <vt:lpwstr>166</vt:lpwstr>
  </property>
  <property fmtid="{D5CDD505-2E9C-101B-9397-08002B2CF9AE}" pid="13" name="NrProc">
    <vt:lpwstr/>
  </property>
  <property fmtid="{D5CDD505-2E9C-101B-9397-08002B2CF9AE}" pid="14" name="Stājas spēkā">
    <vt:lpwstr/>
  </property>
  <property fmtid="{D5CDD505-2E9C-101B-9397-08002B2CF9AE}" pid="15" name="Grozīts">
    <vt:lpwstr/>
  </property>
  <property fmtid="{D5CDD505-2E9C-101B-9397-08002B2CF9AE}" pid="16" name="ContentTypeId">
    <vt:lpwstr>0x0101007C98C035752B2E4F9BA001D238EDF9B9</vt:lpwstr>
  </property>
  <property fmtid="{D5CDD505-2E9C-101B-9397-08002B2CF9AE}" pid="17" name="MediaServiceImageTags">
    <vt:lpwstr/>
  </property>
</Properties>
</file>