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A3EF" w14:textId="49604E20" w:rsidR="00BA3806" w:rsidRPr="00EC1BA5" w:rsidRDefault="00BA3806" w:rsidP="00D019CA">
      <w:pPr>
        <w:ind w:left="720" w:right="372" w:hanging="720"/>
        <w:jc w:val="both"/>
        <w:rPr>
          <w:rFonts w:ascii="Times New Roman Bold" w:hAnsi="Times New Roman Bold"/>
          <w:lang w:val="lv-LV"/>
        </w:rPr>
      </w:pPr>
    </w:p>
    <w:p w14:paraId="6E8152CA" w14:textId="2F53C841" w:rsidR="00EC1BA5" w:rsidRPr="000604EE" w:rsidRDefault="00EC1BA5" w:rsidP="000A2959">
      <w:pPr>
        <w:tabs>
          <w:tab w:val="left" w:pos="6237"/>
        </w:tabs>
        <w:ind w:right="372"/>
        <w:jc w:val="right"/>
        <w:rPr>
          <w:rFonts w:eastAsia="Calibri"/>
          <w:i/>
          <w:lang w:val="lv-LV" w:eastAsia="lv-LV"/>
        </w:rPr>
      </w:pPr>
      <w:r w:rsidRPr="00E80785">
        <w:rPr>
          <w:lang w:val="lv-LV"/>
        </w:rPr>
        <w:t xml:space="preserve">                                                                                           </w:t>
      </w:r>
    </w:p>
    <w:p w14:paraId="6EB70CAC" w14:textId="627A7ACE" w:rsidR="00ED287C" w:rsidRPr="008F56C0" w:rsidRDefault="00ED287C" w:rsidP="00D019CA">
      <w:pPr>
        <w:ind w:right="372"/>
        <w:rPr>
          <w:i/>
          <w:lang w:val="lv-LV"/>
        </w:rPr>
      </w:pPr>
      <w:r w:rsidRPr="008F56C0">
        <w:rPr>
          <w:i/>
          <w:lang w:val="lv-LV"/>
        </w:rPr>
        <w:t xml:space="preserve">Par </w:t>
      </w:r>
      <w:r w:rsidR="002E5BC5" w:rsidRPr="008F56C0">
        <w:rPr>
          <w:i/>
          <w:lang w:val="lv-LV"/>
        </w:rPr>
        <w:t>iepirkuma procedūras</w:t>
      </w:r>
      <w:r w:rsidRPr="008F56C0">
        <w:rPr>
          <w:i/>
          <w:lang w:val="lv-LV"/>
        </w:rPr>
        <w:t xml:space="preserve"> </w:t>
      </w:r>
    </w:p>
    <w:p w14:paraId="6E7DF1F2" w14:textId="37325465" w:rsidR="00C71D15" w:rsidRPr="008F56C0" w:rsidRDefault="00C71D15" w:rsidP="00D019CA">
      <w:pPr>
        <w:pStyle w:val="Caption"/>
        <w:ind w:right="372"/>
        <w:jc w:val="left"/>
        <w:rPr>
          <w:b w:val="0"/>
          <w:i/>
          <w:sz w:val="24"/>
          <w:szCs w:val="24"/>
        </w:rPr>
      </w:pPr>
      <w:r w:rsidRPr="008F56C0">
        <w:rPr>
          <w:b w:val="0"/>
          <w:i/>
          <w:sz w:val="24"/>
          <w:szCs w:val="24"/>
        </w:rPr>
        <w:t>“</w:t>
      </w:r>
      <w:proofErr w:type="spellStart"/>
      <w:r w:rsidR="00402CE9" w:rsidRPr="008F56C0">
        <w:rPr>
          <w:b w:val="0"/>
          <w:i/>
          <w:color w:val="000000"/>
          <w:sz w:val="24"/>
          <w:szCs w:val="24"/>
        </w:rPr>
        <w:t>Elektroautobusu</w:t>
      </w:r>
      <w:proofErr w:type="spellEnd"/>
      <w:r w:rsidR="00402CE9" w:rsidRPr="008F56C0">
        <w:rPr>
          <w:b w:val="0"/>
          <w:i/>
          <w:color w:val="000000"/>
          <w:sz w:val="24"/>
          <w:szCs w:val="24"/>
        </w:rPr>
        <w:t xml:space="preserve"> uzlādes stacijas infrastruktūras izbūve</w:t>
      </w:r>
      <w:r w:rsidRPr="008F56C0">
        <w:rPr>
          <w:b w:val="0"/>
          <w:i/>
          <w:sz w:val="24"/>
          <w:szCs w:val="24"/>
        </w:rPr>
        <w:t>”</w:t>
      </w:r>
    </w:p>
    <w:p w14:paraId="01E5FD02" w14:textId="7C3A4989" w:rsidR="00ED287C" w:rsidRPr="008F56C0" w:rsidRDefault="00C71D15" w:rsidP="00D019CA">
      <w:pPr>
        <w:ind w:right="372"/>
        <w:rPr>
          <w:i/>
          <w:lang w:val="lv-LV"/>
        </w:rPr>
      </w:pPr>
      <w:r w:rsidRPr="008F56C0">
        <w:rPr>
          <w:i/>
          <w:lang w:val="lv-LV"/>
        </w:rPr>
        <w:t xml:space="preserve"> </w:t>
      </w:r>
      <w:r w:rsidR="00ED287C" w:rsidRPr="008F56C0">
        <w:rPr>
          <w:i/>
          <w:lang w:val="lv-LV"/>
        </w:rPr>
        <w:t>(ID Nr.RS/202</w:t>
      </w:r>
      <w:r w:rsidR="00C540E8" w:rsidRPr="008F56C0">
        <w:rPr>
          <w:i/>
          <w:lang w:val="lv-LV"/>
        </w:rPr>
        <w:t>2</w:t>
      </w:r>
      <w:r w:rsidR="00ED287C" w:rsidRPr="008F56C0">
        <w:rPr>
          <w:i/>
          <w:lang w:val="lv-LV"/>
        </w:rPr>
        <w:t>/</w:t>
      </w:r>
      <w:r w:rsidR="009950FF" w:rsidRPr="008F56C0">
        <w:rPr>
          <w:i/>
          <w:lang w:val="lv-LV"/>
        </w:rPr>
        <w:t>7</w:t>
      </w:r>
      <w:r w:rsidR="00365370" w:rsidRPr="008F56C0">
        <w:rPr>
          <w:i/>
          <w:lang w:val="lv-LV"/>
        </w:rPr>
        <w:t>7</w:t>
      </w:r>
      <w:r w:rsidR="00ED287C" w:rsidRPr="008F56C0">
        <w:rPr>
          <w:i/>
          <w:lang w:val="lv-LV"/>
        </w:rPr>
        <w:t>) nolikuma prasībām</w:t>
      </w:r>
    </w:p>
    <w:p w14:paraId="6F27DAAA" w14:textId="77777777" w:rsidR="00ED287C" w:rsidRPr="00ED287C" w:rsidRDefault="00ED287C" w:rsidP="00D019CA">
      <w:pPr>
        <w:ind w:right="372"/>
        <w:jc w:val="both"/>
        <w:rPr>
          <w:lang w:val="lv-LV"/>
        </w:rPr>
      </w:pPr>
    </w:p>
    <w:p w14:paraId="66FC9AA7" w14:textId="77777777" w:rsidR="00ED287C" w:rsidRPr="00811234" w:rsidRDefault="00ED287C" w:rsidP="00D019CA">
      <w:pPr>
        <w:ind w:right="372" w:firstLine="426"/>
        <w:jc w:val="both"/>
        <w:rPr>
          <w:lang w:val="lv-LV"/>
        </w:rPr>
      </w:pPr>
      <w:r w:rsidRPr="00811234">
        <w:rPr>
          <w:lang w:val="lv-LV"/>
        </w:rPr>
        <w:t xml:space="preserve">Rīgas pašvaldības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811234" w:rsidRDefault="00ED287C" w:rsidP="00D019CA">
      <w:pPr>
        <w:ind w:right="372"/>
        <w:jc w:val="both"/>
        <w:rPr>
          <w:lang w:val="lv-LV"/>
        </w:rPr>
      </w:pPr>
    </w:p>
    <w:p w14:paraId="586301D7" w14:textId="77777777" w:rsidR="001C5053" w:rsidRPr="00811234" w:rsidRDefault="008100AA" w:rsidP="00D019CA">
      <w:pPr>
        <w:ind w:right="372"/>
        <w:jc w:val="both"/>
        <w:rPr>
          <w:i/>
          <w:iCs/>
          <w:lang w:val="lv-LV"/>
        </w:rPr>
      </w:pPr>
      <w:r w:rsidRPr="00811234">
        <w:rPr>
          <w:i/>
          <w:iCs/>
          <w:lang w:val="lv-LV"/>
        </w:rPr>
        <w:t>1.jautājums:</w:t>
      </w:r>
    </w:p>
    <w:p w14:paraId="2056419C" w14:textId="3F0661C2" w:rsidR="001C5053" w:rsidRPr="00811234" w:rsidRDefault="001C5053" w:rsidP="00D019CA">
      <w:pPr>
        <w:ind w:right="372"/>
        <w:jc w:val="both"/>
        <w:rPr>
          <w:i/>
          <w:iCs/>
          <w:lang w:val="lv-LV" w:eastAsia="lv-LV"/>
        </w:rPr>
      </w:pPr>
      <w:r w:rsidRPr="001C5053">
        <w:rPr>
          <w:i/>
          <w:iCs/>
          <w:lang w:val="lv-LV" w:eastAsia="lv-LV"/>
        </w:rPr>
        <w:t>Lokālā tāme Nr. 3-3. Ārējie  elektrības tīkli ir norādītas tikai darbu izmaksu pozīcijas, lūdzam tāmi papildināt ar nepieciešamām materiālu izmaksu pozīcijām.</w:t>
      </w:r>
    </w:p>
    <w:p w14:paraId="17091D7B" w14:textId="587DF05A" w:rsidR="00811234" w:rsidRPr="00811234" w:rsidRDefault="001C5053" w:rsidP="00D019CA">
      <w:pPr>
        <w:pStyle w:val="NormalWeb"/>
        <w:spacing w:before="0" w:beforeAutospacing="0" w:after="0" w:afterAutospacing="0"/>
        <w:ind w:right="372"/>
        <w:jc w:val="both"/>
        <w:rPr>
          <w:rFonts w:ascii="Times New Roman" w:hAnsi="Times New Roman" w:cs="Times New Roman"/>
          <w:sz w:val="24"/>
          <w:szCs w:val="24"/>
        </w:rPr>
      </w:pPr>
      <w:r w:rsidRPr="00811234">
        <w:rPr>
          <w:rFonts w:ascii="Times New Roman" w:hAnsi="Times New Roman" w:cs="Times New Roman"/>
          <w:sz w:val="24"/>
          <w:szCs w:val="24"/>
        </w:rPr>
        <w:t xml:space="preserve">Atbilde: </w:t>
      </w:r>
      <w:r w:rsidR="00811234" w:rsidRPr="00811234">
        <w:rPr>
          <w:rFonts w:ascii="Times New Roman" w:hAnsi="Times New Roman" w:cs="Times New Roman"/>
          <w:sz w:val="24"/>
          <w:szCs w:val="24"/>
        </w:rPr>
        <w:t xml:space="preserve">informējam, ka </w:t>
      </w:r>
      <w:r w:rsidR="00E9092A" w:rsidRPr="00811234">
        <w:rPr>
          <w:rFonts w:ascii="Times New Roman" w:hAnsi="Times New Roman" w:cs="Times New Roman"/>
          <w:sz w:val="24"/>
          <w:szCs w:val="24"/>
        </w:rPr>
        <w:t xml:space="preserve">nolikumā </w:t>
      </w:r>
      <w:r w:rsidR="00811234" w:rsidRPr="00811234">
        <w:rPr>
          <w:rFonts w:ascii="Times New Roman" w:hAnsi="Times New Roman" w:cs="Times New Roman"/>
          <w:sz w:val="24"/>
          <w:szCs w:val="24"/>
        </w:rPr>
        <w:t xml:space="preserve">tiks veikti grozījumi, līdz ar ko lūdzam sekot informācijai tīmekļvietnēs </w:t>
      </w:r>
      <w:hyperlink r:id="rId12" w:history="1">
        <w:r w:rsidR="00811234" w:rsidRPr="00811234">
          <w:rPr>
            <w:rStyle w:val="Hyperlink"/>
            <w:rFonts w:ascii="Times New Roman" w:hAnsi="Times New Roman" w:cs="Times New Roman"/>
            <w:sz w:val="24"/>
            <w:szCs w:val="24"/>
          </w:rPr>
          <w:t>www.eis.gov.lv</w:t>
        </w:r>
      </w:hyperlink>
      <w:r w:rsidR="00811234" w:rsidRPr="00811234">
        <w:rPr>
          <w:rFonts w:ascii="Times New Roman" w:hAnsi="Times New Roman" w:cs="Times New Roman"/>
          <w:sz w:val="24"/>
          <w:szCs w:val="24"/>
        </w:rPr>
        <w:t xml:space="preserve"> un </w:t>
      </w:r>
      <w:hyperlink r:id="rId13" w:history="1">
        <w:r w:rsidR="00811234" w:rsidRPr="00811234">
          <w:rPr>
            <w:rStyle w:val="Hyperlink"/>
            <w:rFonts w:ascii="Times New Roman" w:hAnsi="Times New Roman" w:cs="Times New Roman"/>
            <w:sz w:val="24"/>
            <w:szCs w:val="24"/>
          </w:rPr>
          <w:t>www.rigassatiksme.lv</w:t>
        </w:r>
      </w:hyperlink>
      <w:r w:rsidR="00811234" w:rsidRPr="00811234">
        <w:rPr>
          <w:rFonts w:ascii="Times New Roman" w:hAnsi="Times New Roman" w:cs="Times New Roman"/>
          <w:sz w:val="24"/>
          <w:szCs w:val="24"/>
        </w:rPr>
        <w:t xml:space="preserve">. </w:t>
      </w:r>
    </w:p>
    <w:p w14:paraId="2CACE7A8" w14:textId="1A28B0E6" w:rsidR="001C5053" w:rsidRDefault="001C5053" w:rsidP="00D019CA">
      <w:pPr>
        <w:ind w:right="372"/>
        <w:jc w:val="both"/>
        <w:rPr>
          <w:lang w:val="lv-LV" w:eastAsia="lv-LV"/>
        </w:rPr>
      </w:pPr>
    </w:p>
    <w:p w14:paraId="2617169D" w14:textId="77777777" w:rsidR="00D019CA" w:rsidRPr="00811234" w:rsidRDefault="00D019CA" w:rsidP="00D019CA">
      <w:pPr>
        <w:ind w:right="372"/>
        <w:jc w:val="both"/>
        <w:rPr>
          <w:lang w:val="lv-LV" w:eastAsia="lv-LV"/>
        </w:rPr>
      </w:pPr>
    </w:p>
    <w:p w14:paraId="77D2DDED" w14:textId="7C3CC969" w:rsidR="00811234" w:rsidRPr="001C5053" w:rsidRDefault="00811234" w:rsidP="00D019CA">
      <w:pPr>
        <w:ind w:right="372"/>
        <w:jc w:val="both"/>
        <w:rPr>
          <w:i/>
          <w:iCs/>
          <w:lang w:val="lv-LV" w:eastAsia="lv-LV"/>
        </w:rPr>
      </w:pPr>
      <w:r w:rsidRPr="00811234">
        <w:rPr>
          <w:i/>
          <w:iCs/>
          <w:lang w:val="lv-LV" w:eastAsia="lv-LV"/>
        </w:rPr>
        <w:t>2.jautājums:</w:t>
      </w:r>
    </w:p>
    <w:p w14:paraId="6379E95D" w14:textId="77777777" w:rsidR="001C5053" w:rsidRPr="00E9346D" w:rsidRDefault="001C5053" w:rsidP="00D019CA">
      <w:pPr>
        <w:ind w:right="372"/>
        <w:jc w:val="both"/>
        <w:rPr>
          <w:i/>
          <w:iCs/>
          <w:lang w:val="lv-LV" w:eastAsia="lv-LV"/>
        </w:rPr>
      </w:pPr>
      <w:r w:rsidRPr="001C5053">
        <w:rPr>
          <w:i/>
          <w:iCs/>
          <w:lang w:val="lv-LV" w:eastAsia="lv-LV"/>
        </w:rPr>
        <w:t xml:space="preserve">Lūdzam </w:t>
      </w:r>
      <w:r w:rsidRPr="00E9346D">
        <w:rPr>
          <w:i/>
          <w:iCs/>
          <w:lang w:val="lv-LV" w:eastAsia="lv-LV"/>
        </w:rPr>
        <w:t>precizēt bruģakmens marku vai dimensijas:</w:t>
      </w:r>
    </w:p>
    <w:p w14:paraId="56FA71B2" w14:textId="77777777" w:rsidR="001C5053" w:rsidRPr="00E9346D" w:rsidRDefault="001C5053" w:rsidP="00D019CA">
      <w:pPr>
        <w:ind w:right="372"/>
        <w:jc w:val="both"/>
        <w:rPr>
          <w:i/>
          <w:iCs/>
          <w:lang w:val="lv-LV" w:eastAsia="lv-LV"/>
        </w:rPr>
      </w:pPr>
      <w:r w:rsidRPr="00E9346D">
        <w:rPr>
          <w:i/>
          <w:iCs/>
          <w:lang w:val="lv-LV" w:eastAsia="lv-LV"/>
        </w:rPr>
        <w:t>Jauns betona bruģis brauktuvei, h=10 cm;</w:t>
      </w:r>
    </w:p>
    <w:p w14:paraId="60E89C7E" w14:textId="77777777" w:rsidR="001C5053" w:rsidRPr="00E9346D" w:rsidRDefault="001C5053" w:rsidP="00D019CA">
      <w:pPr>
        <w:ind w:right="372"/>
        <w:jc w:val="both"/>
        <w:rPr>
          <w:i/>
          <w:iCs/>
          <w:lang w:val="lv-LV" w:eastAsia="lv-LV"/>
        </w:rPr>
      </w:pPr>
      <w:r w:rsidRPr="00E9346D">
        <w:rPr>
          <w:i/>
          <w:iCs/>
          <w:lang w:val="lv-LV" w:eastAsia="lv-LV"/>
        </w:rPr>
        <w:t>Jauns betona bruģis ietvei, h=8 cm;</w:t>
      </w:r>
    </w:p>
    <w:p w14:paraId="56C87E04" w14:textId="1A90029A" w:rsidR="001C5053" w:rsidRDefault="001C5053" w:rsidP="00D019CA">
      <w:pPr>
        <w:ind w:right="372"/>
        <w:jc w:val="both"/>
        <w:rPr>
          <w:i/>
          <w:iCs/>
          <w:lang w:val="lv-LV" w:eastAsia="lv-LV"/>
        </w:rPr>
      </w:pPr>
      <w:r w:rsidRPr="00E9346D">
        <w:rPr>
          <w:i/>
          <w:iCs/>
          <w:lang w:val="lv-LV" w:eastAsia="lv-LV"/>
        </w:rPr>
        <w:t>Gājēju virziena apzīmējumi ar sarkanu bruģi.</w:t>
      </w:r>
    </w:p>
    <w:p w14:paraId="21C08E63" w14:textId="77777777" w:rsidR="00D019CA" w:rsidRPr="00E9346D" w:rsidRDefault="00D019CA" w:rsidP="00D019CA">
      <w:pPr>
        <w:ind w:right="372"/>
        <w:jc w:val="both"/>
        <w:rPr>
          <w:i/>
          <w:iCs/>
          <w:lang w:val="lv-LV" w:eastAsia="lv-LV"/>
        </w:rPr>
      </w:pPr>
    </w:p>
    <w:p w14:paraId="77B2A98B" w14:textId="5300334B" w:rsidR="002222DE" w:rsidRPr="00E9346D" w:rsidRDefault="00FB4415" w:rsidP="00D019CA">
      <w:pPr>
        <w:pStyle w:val="NormalWeb"/>
        <w:spacing w:before="0" w:beforeAutospacing="0" w:after="0" w:afterAutospacing="0"/>
        <w:ind w:right="372"/>
        <w:jc w:val="both"/>
        <w:rPr>
          <w:rFonts w:ascii="Times New Roman" w:hAnsi="Times New Roman" w:cs="Times New Roman"/>
          <w:sz w:val="24"/>
          <w:szCs w:val="24"/>
        </w:rPr>
      </w:pPr>
      <w:r w:rsidRPr="00E9346D">
        <w:rPr>
          <w:rFonts w:ascii="Times New Roman" w:hAnsi="Times New Roman" w:cs="Times New Roman"/>
          <w:sz w:val="24"/>
          <w:szCs w:val="24"/>
        </w:rPr>
        <w:t xml:space="preserve">Atbilde: </w:t>
      </w:r>
      <w:r w:rsidR="002222DE" w:rsidRPr="00E9346D">
        <w:rPr>
          <w:rFonts w:ascii="Times New Roman" w:hAnsi="Times New Roman" w:cs="Times New Roman"/>
          <w:sz w:val="24"/>
          <w:szCs w:val="24"/>
        </w:rPr>
        <w:t>Paskaidrojam, ka informācija par betona bruģa</w:t>
      </w:r>
      <w:r w:rsidR="007D161A" w:rsidRPr="00E9346D">
        <w:rPr>
          <w:rFonts w:ascii="Times New Roman" w:hAnsi="Times New Roman" w:cs="Times New Roman"/>
          <w:sz w:val="24"/>
          <w:szCs w:val="24"/>
        </w:rPr>
        <w:t>kmens</w:t>
      </w:r>
      <w:r w:rsidR="002222DE" w:rsidRPr="00E9346D">
        <w:rPr>
          <w:rFonts w:ascii="Times New Roman" w:hAnsi="Times New Roman" w:cs="Times New Roman"/>
          <w:sz w:val="24"/>
          <w:szCs w:val="24"/>
        </w:rPr>
        <w:t xml:space="preserve"> marku ir norādīta TS-CD Skaidrojošajā aprakstā - 1. kārtas būvdarbi </w:t>
      </w:r>
      <w:r w:rsidR="000E7E1F">
        <w:rPr>
          <w:rFonts w:ascii="Times New Roman" w:hAnsi="Times New Roman" w:cs="Times New Roman"/>
          <w:sz w:val="24"/>
          <w:szCs w:val="24"/>
        </w:rPr>
        <w:t>–</w:t>
      </w:r>
      <w:r w:rsidR="002222DE" w:rsidRPr="00E9346D">
        <w:rPr>
          <w:rFonts w:ascii="Times New Roman" w:hAnsi="Times New Roman" w:cs="Times New Roman"/>
          <w:sz w:val="24"/>
          <w:szCs w:val="24"/>
        </w:rPr>
        <w:t xml:space="preserve"> Segumi</w:t>
      </w:r>
      <w:r w:rsidR="000E7E1F">
        <w:rPr>
          <w:rFonts w:ascii="Times New Roman" w:hAnsi="Times New Roman" w:cs="Times New Roman"/>
          <w:sz w:val="24"/>
          <w:szCs w:val="24"/>
        </w:rPr>
        <w:t>.</w:t>
      </w:r>
    </w:p>
    <w:p w14:paraId="7BF0B1E9" w14:textId="43A9256A" w:rsidR="00811234" w:rsidRDefault="00811234" w:rsidP="00D019CA">
      <w:pPr>
        <w:ind w:right="372"/>
        <w:jc w:val="both"/>
        <w:rPr>
          <w:lang w:val="lv-LV" w:eastAsia="lv-LV"/>
        </w:rPr>
      </w:pPr>
    </w:p>
    <w:p w14:paraId="4B0D29AD" w14:textId="7D64C63B" w:rsidR="002222DE" w:rsidRPr="00E9346D" w:rsidRDefault="002222DE" w:rsidP="00D019CA">
      <w:pPr>
        <w:ind w:right="372"/>
        <w:jc w:val="both"/>
        <w:rPr>
          <w:i/>
          <w:iCs/>
          <w:lang w:val="lv-LV" w:eastAsia="lv-LV"/>
        </w:rPr>
      </w:pPr>
      <w:r w:rsidRPr="00E9346D">
        <w:rPr>
          <w:i/>
          <w:iCs/>
          <w:lang w:val="lv-LV" w:eastAsia="lv-LV"/>
        </w:rPr>
        <w:t>3.jautājums:</w:t>
      </w:r>
    </w:p>
    <w:p w14:paraId="76FD8C3C" w14:textId="73232788" w:rsidR="002222DE" w:rsidRDefault="002222DE" w:rsidP="00D019CA">
      <w:pPr>
        <w:ind w:right="372"/>
        <w:jc w:val="both"/>
        <w:rPr>
          <w:i/>
          <w:iCs/>
          <w:lang w:val="lv-LV" w:eastAsia="lv-LV"/>
        </w:rPr>
      </w:pPr>
      <w:r w:rsidRPr="00E9346D">
        <w:rPr>
          <w:i/>
          <w:iCs/>
          <w:lang w:val="lv-LV" w:eastAsia="lv-LV"/>
        </w:rPr>
        <w:t>Lūdzam precizēt, vai pozīcijā „Aku vāku regulēšana” jāiekļauj arī esošā vāka demontāža un jauna vāka uzstādīšana. Ja ir, tad kādi vāki.</w:t>
      </w:r>
    </w:p>
    <w:p w14:paraId="26B075C2" w14:textId="77777777" w:rsidR="00D019CA" w:rsidRPr="00E9346D" w:rsidRDefault="00D019CA" w:rsidP="00D019CA">
      <w:pPr>
        <w:ind w:right="372"/>
        <w:jc w:val="both"/>
        <w:rPr>
          <w:i/>
          <w:iCs/>
          <w:lang w:val="lv-LV" w:eastAsia="lv-LV"/>
        </w:rPr>
      </w:pPr>
    </w:p>
    <w:p w14:paraId="2CE694FD" w14:textId="5ECB3B35" w:rsidR="007D161A" w:rsidRDefault="002222DE" w:rsidP="00D019CA">
      <w:pPr>
        <w:pStyle w:val="NormalWeb"/>
        <w:spacing w:before="0" w:beforeAutospacing="0" w:after="0" w:afterAutospacing="0"/>
        <w:ind w:right="372"/>
        <w:jc w:val="both"/>
        <w:rPr>
          <w:rFonts w:ascii="Times New Roman" w:hAnsi="Times New Roman" w:cs="Times New Roman"/>
          <w:sz w:val="24"/>
          <w:szCs w:val="24"/>
        </w:rPr>
      </w:pPr>
      <w:r w:rsidRPr="00E9346D">
        <w:rPr>
          <w:rFonts w:ascii="Times New Roman" w:hAnsi="Times New Roman" w:cs="Times New Roman"/>
          <w:sz w:val="24"/>
          <w:szCs w:val="24"/>
        </w:rPr>
        <w:t>Atbilde</w:t>
      </w:r>
      <w:r w:rsidR="00E9346D" w:rsidRPr="00E9346D">
        <w:rPr>
          <w:rFonts w:ascii="Times New Roman" w:hAnsi="Times New Roman" w:cs="Times New Roman"/>
          <w:sz w:val="24"/>
          <w:szCs w:val="24"/>
        </w:rPr>
        <w:t>: paskaidrojam, ka p</w:t>
      </w:r>
      <w:r w:rsidR="007D161A" w:rsidRPr="00E9346D">
        <w:rPr>
          <w:rFonts w:ascii="Times New Roman" w:hAnsi="Times New Roman" w:cs="Times New Roman"/>
          <w:sz w:val="24"/>
          <w:szCs w:val="24"/>
        </w:rPr>
        <w:t>ozīcijā „Aku vāku regulēšana” nav jāiekļauj esošā vāka demontāža un jauna vāka uzstādīšana. Šajā pozīcijā paredzēti tikai regulēšanas darbi.</w:t>
      </w:r>
    </w:p>
    <w:p w14:paraId="35AB469B" w14:textId="77777777" w:rsidR="00D019CA" w:rsidRPr="00E9346D" w:rsidRDefault="00D019CA" w:rsidP="00D019CA">
      <w:pPr>
        <w:pStyle w:val="NormalWeb"/>
        <w:spacing w:before="0" w:beforeAutospacing="0" w:after="0" w:afterAutospacing="0"/>
        <w:ind w:right="372"/>
        <w:jc w:val="both"/>
        <w:rPr>
          <w:rFonts w:ascii="Times New Roman" w:hAnsi="Times New Roman" w:cs="Times New Roman"/>
          <w:sz w:val="24"/>
          <w:szCs w:val="24"/>
        </w:rPr>
      </w:pPr>
    </w:p>
    <w:p w14:paraId="04648DE5" w14:textId="3240175B" w:rsidR="00E9092A" w:rsidRPr="003C4314" w:rsidRDefault="003C4314" w:rsidP="00D019CA">
      <w:pPr>
        <w:pStyle w:val="NormalWeb"/>
        <w:spacing w:before="0" w:beforeAutospacing="0" w:after="0" w:afterAutospacing="0"/>
        <w:ind w:right="372"/>
        <w:jc w:val="both"/>
        <w:rPr>
          <w:rFonts w:ascii="Times New Roman" w:hAnsi="Times New Roman" w:cs="Times New Roman"/>
          <w:i/>
          <w:iCs/>
          <w:sz w:val="24"/>
          <w:szCs w:val="24"/>
        </w:rPr>
      </w:pPr>
      <w:r w:rsidRPr="003C4314">
        <w:rPr>
          <w:rFonts w:ascii="Times New Roman" w:hAnsi="Times New Roman" w:cs="Times New Roman"/>
          <w:i/>
          <w:iCs/>
          <w:sz w:val="24"/>
          <w:szCs w:val="24"/>
        </w:rPr>
        <w:t xml:space="preserve">4.jautājums: </w:t>
      </w:r>
    </w:p>
    <w:p w14:paraId="539C9C34" w14:textId="5AA255F0" w:rsidR="001C5053" w:rsidRDefault="001C5053" w:rsidP="00D019CA">
      <w:pPr>
        <w:ind w:right="372"/>
        <w:jc w:val="both"/>
        <w:rPr>
          <w:i/>
          <w:iCs/>
          <w:lang w:val="lv-LV" w:eastAsia="lv-LV"/>
        </w:rPr>
      </w:pPr>
      <w:r w:rsidRPr="001C5053">
        <w:rPr>
          <w:i/>
          <w:iCs/>
          <w:lang w:val="lv-LV" w:eastAsia="lv-LV"/>
        </w:rPr>
        <w:t>Lūdzam precizēt, kad tiek plānota būvdarbu uzsākšana.</w:t>
      </w:r>
    </w:p>
    <w:p w14:paraId="20C7B673" w14:textId="77777777" w:rsidR="00D019CA" w:rsidRDefault="00D019CA" w:rsidP="00D019CA">
      <w:pPr>
        <w:ind w:right="372"/>
        <w:jc w:val="both"/>
        <w:rPr>
          <w:i/>
          <w:iCs/>
          <w:lang w:val="lv-LV" w:eastAsia="lv-LV"/>
        </w:rPr>
      </w:pPr>
    </w:p>
    <w:p w14:paraId="668C7147" w14:textId="63BD8DFF" w:rsidR="003C4314" w:rsidRPr="00737061" w:rsidRDefault="00E42D5D" w:rsidP="00D019CA">
      <w:pPr>
        <w:ind w:right="372"/>
        <w:jc w:val="both"/>
        <w:rPr>
          <w:lang w:val="lv-LV" w:eastAsia="lv-LV"/>
        </w:rPr>
      </w:pPr>
      <w:r w:rsidRPr="00737061">
        <w:rPr>
          <w:lang w:val="lv-LV" w:eastAsia="lv-LV"/>
        </w:rPr>
        <w:t>Atbilde:</w:t>
      </w:r>
      <w:r w:rsidR="00737061" w:rsidRPr="00737061">
        <w:rPr>
          <w:lang w:val="lv-LV"/>
        </w:rPr>
        <w:t xml:space="preserve"> saskaņā ar nolikuma 16.1.punktu, Būvdarbus uzsāk nākamajā darba dienā pēc Rīgas domes Pilsētas </w:t>
      </w:r>
      <w:r w:rsidR="00737061" w:rsidRPr="00E9346D">
        <w:rPr>
          <w:lang w:val="lv-LV"/>
        </w:rPr>
        <w:t>attīstības departamenta atzīmes izdarīšanas par Būvdarbu uzsākšanas nosacījumu izpildi būvatļaujā).</w:t>
      </w:r>
      <w:r w:rsidR="006765C4" w:rsidRPr="00E9346D">
        <w:rPr>
          <w:lang w:val="lv-LV"/>
        </w:rPr>
        <w:t xml:space="preserve"> Papildus norādām, ka līguma izpilde tiks uzsākta pēc iepirkuma procedūras </w:t>
      </w:r>
      <w:r w:rsidR="008F3B1F" w:rsidRPr="00E9346D">
        <w:rPr>
          <w:lang w:val="lv-LV"/>
        </w:rPr>
        <w:t>pabeigšanas</w:t>
      </w:r>
      <w:r w:rsidR="006765C4" w:rsidRPr="00E9346D">
        <w:rPr>
          <w:lang w:val="lv-LV"/>
        </w:rPr>
        <w:t xml:space="preserve"> un </w:t>
      </w:r>
      <w:r w:rsidR="008F3B1F" w:rsidRPr="00E9346D">
        <w:rPr>
          <w:lang w:val="lv-LV"/>
        </w:rPr>
        <w:t>līguma ar būvuzņēmēju noslēgšanas.</w:t>
      </w:r>
      <w:r w:rsidR="008F3B1F">
        <w:rPr>
          <w:lang w:val="lv-LV"/>
        </w:rPr>
        <w:t xml:space="preserve"> </w:t>
      </w:r>
    </w:p>
    <w:p w14:paraId="41596EBE" w14:textId="604B69F1" w:rsidR="00737061" w:rsidRDefault="00737061" w:rsidP="00D019CA">
      <w:pPr>
        <w:ind w:right="372"/>
        <w:jc w:val="both"/>
        <w:rPr>
          <w:rFonts w:asciiTheme="minorHAnsi" w:hAnsiTheme="minorHAnsi" w:cstheme="minorHAnsi"/>
          <w:b/>
          <w:bCs/>
          <w:sz w:val="22"/>
          <w:szCs w:val="22"/>
          <w:u w:val="single"/>
          <w:lang w:val="lv-LV" w:eastAsia="lv-LV"/>
        </w:rPr>
      </w:pPr>
    </w:p>
    <w:p w14:paraId="482C3830" w14:textId="58557A77" w:rsidR="00737061" w:rsidRPr="00737061" w:rsidRDefault="00737061" w:rsidP="00D019CA">
      <w:pPr>
        <w:ind w:right="372"/>
        <w:jc w:val="both"/>
        <w:rPr>
          <w:i/>
          <w:iCs/>
          <w:lang w:val="lv-LV" w:eastAsia="lv-LV"/>
        </w:rPr>
      </w:pPr>
      <w:r w:rsidRPr="00737061">
        <w:rPr>
          <w:i/>
          <w:iCs/>
          <w:lang w:val="lv-LV" w:eastAsia="lv-LV"/>
        </w:rPr>
        <w:t xml:space="preserve">5.jautājums: </w:t>
      </w:r>
    </w:p>
    <w:p w14:paraId="5399AA55" w14:textId="28AF2096" w:rsidR="00737061" w:rsidRDefault="001C5053" w:rsidP="00D019CA">
      <w:pPr>
        <w:ind w:right="372"/>
        <w:jc w:val="both"/>
        <w:rPr>
          <w:i/>
          <w:iCs/>
          <w:lang w:val="lv-LV" w:eastAsia="lv-LV"/>
        </w:rPr>
      </w:pPr>
      <w:r w:rsidRPr="001C5053">
        <w:rPr>
          <w:i/>
          <w:iCs/>
          <w:lang w:val="lv-LV" w:eastAsia="lv-LV"/>
        </w:rPr>
        <w:t>Vēršam uzmanību, ka rasējumos vietām redzams zāliens, CD tāmē tas nav redzams. Lūdzam precizēt faktisko situāciju.</w:t>
      </w:r>
    </w:p>
    <w:p w14:paraId="6181E6EB" w14:textId="77777777" w:rsidR="00D019CA" w:rsidRPr="00737061" w:rsidRDefault="00D019CA" w:rsidP="00D019CA">
      <w:pPr>
        <w:ind w:right="372"/>
        <w:jc w:val="both"/>
        <w:rPr>
          <w:i/>
          <w:iCs/>
          <w:lang w:val="lv-LV" w:eastAsia="lv-LV"/>
        </w:rPr>
      </w:pPr>
    </w:p>
    <w:p w14:paraId="29E40EC1" w14:textId="1E23BE05" w:rsidR="009D1FF6" w:rsidRPr="009D1FF6" w:rsidRDefault="00737061" w:rsidP="00D019CA">
      <w:pPr>
        <w:pStyle w:val="NormalWeb"/>
        <w:spacing w:before="0" w:beforeAutospacing="0" w:after="0" w:afterAutospacing="0"/>
        <w:ind w:right="372"/>
        <w:jc w:val="both"/>
        <w:rPr>
          <w:rFonts w:ascii="Times New Roman" w:hAnsi="Times New Roman" w:cs="Times New Roman"/>
          <w:sz w:val="24"/>
          <w:szCs w:val="24"/>
        </w:rPr>
      </w:pPr>
      <w:r w:rsidRPr="009D1FF6">
        <w:rPr>
          <w:rFonts w:ascii="Times New Roman" w:hAnsi="Times New Roman" w:cs="Times New Roman"/>
          <w:sz w:val="24"/>
          <w:szCs w:val="24"/>
        </w:rPr>
        <w:t xml:space="preserve">Atbilde: </w:t>
      </w:r>
      <w:r w:rsidR="00526FFA">
        <w:rPr>
          <w:rFonts w:ascii="Times New Roman" w:hAnsi="Times New Roman" w:cs="Times New Roman"/>
          <w:sz w:val="24"/>
          <w:szCs w:val="24"/>
        </w:rPr>
        <w:t xml:space="preserve">Paskaidrojam, ka </w:t>
      </w:r>
      <w:r w:rsidR="009D1FF6" w:rsidRPr="009D1FF6">
        <w:rPr>
          <w:rFonts w:ascii="Times New Roman" w:hAnsi="Times New Roman" w:cs="Times New Roman"/>
          <w:sz w:val="24"/>
          <w:szCs w:val="24"/>
        </w:rPr>
        <w:t xml:space="preserve">darbi </w:t>
      </w:r>
      <w:r w:rsidR="009D1FF6" w:rsidRPr="009D1FF6">
        <w:rPr>
          <w:rFonts w:ascii="Times New Roman" w:hAnsi="Times New Roman" w:cs="Times New Roman"/>
          <w:i/>
          <w:iCs/>
          <w:sz w:val="24"/>
          <w:szCs w:val="24"/>
        </w:rPr>
        <w:t>Zāliena ierīkošana ar auglīgu augsni</w:t>
      </w:r>
      <w:r w:rsidR="009D1FF6" w:rsidRPr="009D1FF6">
        <w:rPr>
          <w:rFonts w:ascii="Times New Roman" w:hAnsi="Times New Roman" w:cs="Times New Roman"/>
          <w:sz w:val="24"/>
          <w:szCs w:val="24"/>
        </w:rPr>
        <w:t xml:space="preserve"> ir iekļauti Lokālajā tāmē Nr.1-3 </w:t>
      </w:r>
      <w:r w:rsidR="00263228">
        <w:rPr>
          <w:rFonts w:ascii="Times New Roman" w:hAnsi="Times New Roman" w:cs="Times New Roman"/>
          <w:sz w:val="24"/>
          <w:szCs w:val="24"/>
        </w:rPr>
        <w:t>“</w:t>
      </w:r>
      <w:r w:rsidR="009D1FF6" w:rsidRPr="009D1FF6">
        <w:rPr>
          <w:rFonts w:ascii="Times New Roman" w:hAnsi="Times New Roman" w:cs="Times New Roman"/>
          <w:sz w:val="24"/>
          <w:szCs w:val="24"/>
        </w:rPr>
        <w:t>Ceļi un laukumi</w:t>
      </w:r>
      <w:r w:rsidR="00263228">
        <w:rPr>
          <w:rFonts w:ascii="Times New Roman" w:hAnsi="Times New Roman" w:cs="Times New Roman"/>
          <w:sz w:val="24"/>
          <w:szCs w:val="24"/>
        </w:rPr>
        <w:t>”</w:t>
      </w:r>
      <w:r w:rsidR="000616A3">
        <w:rPr>
          <w:rFonts w:ascii="Times New Roman" w:hAnsi="Times New Roman" w:cs="Times New Roman"/>
          <w:sz w:val="24"/>
          <w:szCs w:val="24"/>
        </w:rPr>
        <w:t xml:space="preserve"> </w:t>
      </w:r>
      <w:r w:rsidR="009D1FF6" w:rsidRPr="009D1FF6">
        <w:rPr>
          <w:rFonts w:ascii="Times New Roman" w:hAnsi="Times New Roman" w:cs="Times New Roman"/>
          <w:sz w:val="24"/>
          <w:szCs w:val="24"/>
        </w:rPr>
        <w:t>poz</w:t>
      </w:r>
      <w:r w:rsidR="000616A3">
        <w:rPr>
          <w:rFonts w:ascii="Times New Roman" w:hAnsi="Times New Roman" w:cs="Times New Roman"/>
          <w:sz w:val="24"/>
          <w:szCs w:val="24"/>
        </w:rPr>
        <w:t>īcijā</w:t>
      </w:r>
      <w:r w:rsidR="00526FFA">
        <w:rPr>
          <w:rFonts w:ascii="Times New Roman" w:hAnsi="Times New Roman" w:cs="Times New Roman"/>
          <w:sz w:val="24"/>
          <w:szCs w:val="24"/>
        </w:rPr>
        <w:t xml:space="preserve"> “</w:t>
      </w:r>
      <w:r w:rsidR="00526FFA" w:rsidRPr="00526FFA">
        <w:rPr>
          <w:rFonts w:ascii="Times New Roman" w:hAnsi="Times New Roman" w:cs="Times New Roman"/>
          <w:sz w:val="24"/>
          <w:szCs w:val="24"/>
        </w:rPr>
        <w:t>Zāliena ierīkošana ar auglīgu augsni, h=0.10m apsējot ar zāliena sēklām</w:t>
      </w:r>
      <w:r w:rsidR="00526FFA">
        <w:rPr>
          <w:rFonts w:ascii="Times New Roman" w:hAnsi="Times New Roman" w:cs="Times New Roman"/>
          <w:sz w:val="24"/>
          <w:szCs w:val="24"/>
        </w:rPr>
        <w:t>”</w:t>
      </w:r>
    </w:p>
    <w:p w14:paraId="2AFA66DD" w14:textId="0447B1C0" w:rsidR="00737061" w:rsidRPr="00737061" w:rsidRDefault="00737061" w:rsidP="00D019CA">
      <w:pPr>
        <w:ind w:right="372"/>
        <w:jc w:val="both"/>
        <w:rPr>
          <w:lang w:val="lv-LV" w:eastAsia="lv-LV"/>
        </w:rPr>
      </w:pPr>
    </w:p>
    <w:p w14:paraId="0115A6FA" w14:textId="311A9865" w:rsidR="00737061" w:rsidRPr="00576258" w:rsidRDefault="00576258" w:rsidP="00D019CA">
      <w:pPr>
        <w:ind w:right="372"/>
        <w:jc w:val="both"/>
        <w:rPr>
          <w:i/>
          <w:iCs/>
          <w:lang w:val="lv-LV" w:eastAsia="lv-LV"/>
        </w:rPr>
      </w:pPr>
      <w:r w:rsidRPr="00576258">
        <w:rPr>
          <w:i/>
          <w:iCs/>
          <w:lang w:val="lv-LV" w:eastAsia="lv-LV"/>
        </w:rPr>
        <w:t xml:space="preserve">6.jautājums: </w:t>
      </w:r>
    </w:p>
    <w:p w14:paraId="1695CBB7" w14:textId="77777777" w:rsidR="001C5053" w:rsidRPr="001C5053" w:rsidRDefault="001C5053" w:rsidP="00D019CA">
      <w:pPr>
        <w:ind w:right="372"/>
        <w:jc w:val="both"/>
        <w:rPr>
          <w:i/>
          <w:iCs/>
          <w:lang w:val="lv-LV" w:eastAsia="lv-LV"/>
        </w:rPr>
      </w:pPr>
      <w:r w:rsidRPr="001C5053">
        <w:rPr>
          <w:i/>
          <w:iCs/>
          <w:lang w:val="lv-LV" w:eastAsia="lv-LV"/>
        </w:rPr>
        <w:t>Lūdzam precizēt, vai 2 (divi) objekti ar atsevišķām būvatļaujām, kas veikti viena līguma ietvaros, tiks atdzīti par atbilstošiem nolikuma punkta 23.1.1. kvalifikācijas prasībām.</w:t>
      </w:r>
    </w:p>
    <w:p w14:paraId="60CBAC5E" w14:textId="77777777" w:rsidR="0001453B" w:rsidRDefault="0001453B" w:rsidP="00D019CA">
      <w:pPr>
        <w:pStyle w:val="NormalWeb"/>
        <w:spacing w:before="0" w:beforeAutospacing="0" w:after="0" w:afterAutospacing="0"/>
        <w:ind w:right="372"/>
        <w:jc w:val="both"/>
      </w:pPr>
    </w:p>
    <w:p w14:paraId="477207DC" w14:textId="3B9F5519" w:rsidR="0001453B" w:rsidRPr="00624E1C" w:rsidRDefault="00576258" w:rsidP="00D019CA">
      <w:pPr>
        <w:pStyle w:val="NormalWeb"/>
        <w:spacing w:before="0" w:beforeAutospacing="0" w:after="0" w:afterAutospacing="0"/>
        <w:ind w:right="372"/>
        <w:jc w:val="both"/>
        <w:rPr>
          <w:rFonts w:ascii="Times New Roman" w:hAnsi="Times New Roman" w:cs="Times New Roman"/>
          <w:sz w:val="24"/>
          <w:szCs w:val="24"/>
        </w:rPr>
      </w:pPr>
      <w:r w:rsidRPr="00624E1C">
        <w:rPr>
          <w:rFonts w:ascii="Times New Roman" w:hAnsi="Times New Roman" w:cs="Times New Roman"/>
          <w:sz w:val="24"/>
          <w:szCs w:val="24"/>
        </w:rPr>
        <w:t xml:space="preserve">Atbilde: </w:t>
      </w:r>
      <w:r w:rsidR="00E064E9" w:rsidRPr="00624E1C">
        <w:rPr>
          <w:rFonts w:ascii="Times New Roman" w:hAnsi="Times New Roman" w:cs="Times New Roman"/>
          <w:sz w:val="24"/>
          <w:szCs w:val="24"/>
        </w:rPr>
        <w:t xml:space="preserve">informējam, </w:t>
      </w:r>
      <w:r w:rsidR="00AE65B5" w:rsidRPr="00624E1C">
        <w:rPr>
          <w:rFonts w:ascii="Times New Roman" w:hAnsi="Times New Roman" w:cs="Times New Roman"/>
          <w:sz w:val="24"/>
          <w:szCs w:val="24"/>
        </w:rPr>
        <w:t>ja katrs obj</w:t>
      </w:r>
      <w:r w:rsidR="00624E1C" w:rsidRPr="00624E1C">
        <w:rPr>
          <w:rFonts w:ascii="Times New Roman" w:hAnsi="Times New Roman" w:cs="Times New Roman"/>
          <w:sz w:val="24"/>
          <w:szCs w:val="24"/>
        </w:rPr>
        <w:t xml:space="preserve">ekts atbilst nolikuma 23.1.1.punktā norādītajām prasībām, tad </w:t>
      </w:r>
      <w:r w:rsidR="002001E4">
        <w:rPr>
          <w:rFonts w:ascii="Times New Roman" w:hAnsi="Times New Roman" w:cs="Times New Roman"/>
          <w:sz w:val="24"/>
          <w:szCs w:val="24"/>
        </w:rPr>
        <w:t>pretendenta pieredze tiks atdzīta par atbilstošu no</w:t>
      </w:r>
      <w:r w:rsidR="000F4D1B">
        <w:rPr>
          <w:rFonts w:ascii="Times New Roman" w:hAnsi="Times New Roman" w:cs="Times New Roman"/>
          <w:sz w:val="24"/>
          <w:szCs w:val="24"/>
        </w:rPr>
        <w:t xml:space="preserve">likuma 23.1.1.punktā norādītajām kvalifikācijas prasībām. </w:t>
      </w:r>
    </w:p>
    <w:p w14:paraId="4ACC1C63" w14:textId="77777777" w:rsidR="0001453B" w:rsidRDefault="0001453B" w:rsidP="00D019CA">
      <w:pPr>
        <w:pStyle w:val="NormalWeb"/>
        <w:spacing w:before="0" w:beforeAutospacing="0" w:after="0" w:afterAutospacing="0"/>
        <w:ind w:right="372"/>
        <w:jc w:val="both"/>
      </w:pPr>
    </w:p>
    <w:p w14:paraId="194C3344" w14:textId="5D7AAB27" w:rsidR="00FC00B7" w:rsidRPr="00FC00B7" w:rsidRDefault="00FC00B7" w:rsidP="00D019CA">
      <w:pPr>
        <w:ind w:right="372"/>
        <w:jc w:val="both"/>
        <w:rPr>
          <w:i/>
          <w:iCs/>
          <w:lang w:val="lv-LV" w:eastAsia="lv-LV"/>
        </w:rPr>
      </w:pPr>
      <w:r w:rsidRPr="00FC00B7">
        <w:rPr>
          <w:i/>
          <w:iCs/>
          <w:lang w:val="lv-LV" w:eastAsia="lv-LV"/>
        </w:rPr>
        <w:t xml:space="preserve">7.jautājums: </w:t>
      </w:r>
    </w:p>
    <w:p w14:paraId="386685CF" w14:textId="77777777" w:rsidR="001C5053" w:rsidRPr="001C5053" w:rsidRDefault="001C5053" w:rsidP="00D019CA">
      <w:pPr>
        <w:ind w:right="372"/>
        <w:jc w:val="both"/>
        <w:rPr>
          <w:b/>
          <w:bCs/>
          <w:i/>
          <w:iCs/>
          <w:u w:val="single"/>
          <w:lang w:val="lv-LV" w:eastAsia="lv-LV"/>
        </w:rPr>
      </w:pPr>
      <w:r w:rsidRPr="001C5053">
        <w:rPr>
          <w:i/>
          <w:iCs/>
          <w:lang w:val="lv-LV" w:eastAsia="lv-LV"/>
        </w:rPr>
        <w:t>Lūdzam precizēt, vai, lai apliecinātu nolikumu punktu 23.1. un 23.2.  kvalifikācijas prasības, pretendents var balstīties uz apakšuzņēmēja pieredzi un tā personāla kvalifikāciju.</w:t>
      </w:r>
    </w:p>
    <w:p w14:paraId="194CC30B" w14:textId="43E146E0" w:rsidR="00FC00B7" w:rsidRDefault="00FC00B7" w:rsidP="00D019CA">
      <w:pPr>
        <w:ind w:right="372"/>
        <w:jc w:val="both"/>
        <w:rPr>
          <w:rFonts w:asciiTheme="minorHAnsi" w:hAnsiTheme="minorHAnsi" w:cstheme="minorHAnsi"/>
          <w:b/>
          <w:bCs/>
          <w:sz w:val="22"/>
          <w:szCs w:val="22"/>
          <w:u w:val="single"/>
          <w:lang w:val="lv-LV" w:eastAsia="lv-LV"/>
        </w:rPr>
      </w:pPr>
    </w:p>
    <w:p w14:paraId="186B10C0" w14:textId="4D5141D7" w:rsidR="00FC00B7" w:rsidRDefault="00FC00B7" w:rsidP="00D019CA">
      <w:pPr>
        <w:ind w:right="372"/>
        <w:jc w:val="both"/>
        <w:rPr>
          <w:lang w:val="lv-LV"/>
        </w:rPr>
      </w:pPr>
      <w:r w:rsidRPr="00FC00B7">
        <w:rPr>
          <w:lang w:val="lv-LV" w:eastAsia="lv-LV"/>
        </w:rPr>
        <w:t xml:space="preserve">Atbilde: </w:t>
      </w:r>
      <w:r w:rsidR="00781934" w:rsidRPr="00781934">
        <w:rPr>
          <w:lang w:val="lv-LV" w:eastAsia="lv-LV"/>
        </w:rPr>
        <w:t xml:space="preserve">paskaidrojam, ka </w:t>
      </w:r>
      <w:r w:rsidR="00781934" w:rsidRPr="00781934">
        <w:rPr>
          <w:lang w:val="lv-LV"/>
        </w:rPr>
        <w:t>pretendents, lai apliecinātu, ka tā kvalifikācija atbilst nolikumā noteiktajām prasībām,</w:t>
      </w:r>
      <w:r w:rsidR="00781934">
        <w:rPr>
          <w:lang w:val="lv-LV"/>
        </w:rPr>
        <w:t xml:space="preserve"> var</w:t>
      </w:r>
      <w:r w:rsidR="00781934" w:rsidRPr="00781934">
        <w:rPr>
          <w:lang w:val="lv-LV"/>
        </w:rPr>
        <w:t xml:space="preserve"> balst</w:t>
      </w:r>
      <w:r w:rsidR="00781934">
        <w:rPr>
          <w:lang w:val="lv-LV"/>
        </w:rPr>
        <w:t>īties</w:t>
      </w:r>
      <w:r w:rsidR="00781934" w:rsidRPr="00781934">
        <w:rPr>
          <w:lang w:val="lv-LV"/>
        </w:rPr>
        <w:t xml:space="preserve"> uz citas personas iespējām</w:t>
      </w:r>
      <w:r w:rsidR="00781934">
        <w:rPr>
          <w:lang w:val="lv-LV"/>
        </w:rPr>
        <w:t xml:space="preserve">. </w:t>
      </w:r>
    </w:p>
    <w:p w14:paraId="4157AF18" w14:textId="5BE50B53" w:rsidR="00781934" w:rsidRDefault="00781934" w:rsidP="00D019CA">
      <w:pPr>
        <w:ind w:right="372"/>
        <w:jc w:val="both"/>
        <w:rPr>
          <w:b/>
          <w:bCs/>
          <w:u w:val="single"/>
          <w:lang w:val="lv-LV" w:eastAsia="lv-LV"/>
        </w:rPr>
      </w:pPr>
    </w:p>
    <w:p w14:paraId="7CF066A9" w14:textId="05A6FEF9" w:rsidR="00781934" w:rsidRPr="00781934" w:rsidRDefault="00781934" w:rsidP="00D019CA">
      <w:pPr>
        <w:ind w:right="372"/>
        <w:jc w:val="both"/>
        <w:rPr>
          <w:i/>
          <w:iCs/>
          <w:lang w:val="lv-LV" w:eastAsia="lv-LV"/>
        </w:rPr>
      </w:pPr>
      <w:r w:rsidRPr="00781934">
        <w:rPr>
          <w:i/>
          <w:iCs/>
          <w:lang w:val="lv-LV" w:eastAsia="lv-LV"/>
        </w:rPr>
        <w:t xml:space="preserve">8.jautājums: </w:t>
      </w:r>
    </w:p>
    <w:p w14:paraId="3106FE76" w14:textId="77777777" w:rsidR="001C5053" w:rsidRPr="001C5053" w:rsidRDefault="001C5053" w:rsidP="00D019CA">
      <w:pPr>
        <w:ind w:right="372"/>
        <w:jc w:val="both"/>
        <w:rPr>
          <w:i/>
          <w:iCs/>
          <w:lang w:val="lv-LV"/>
        </w:rPr>
      </w:pPr>
      <w:r w:rsidRPr="001C5053">
        <w:rPr>
          <w:i/>
          <w:iCs/>
          <w:lang w:val="lv-LV"/>
        </w:rPr>
        <w:t>PRASĪBAS SEGUMU MATERIĀLIEM</w:t>
      </w:r>
    </w:p>
    <w:p w14:paraId="745CC051" w14:textId="77777777" w:rsidR="001C5053" w:rsidRPr="001C5053" w:rsidRDefault="001C5053" w:rsidP="00D019CA">
      <w:pPr>
        <w:ind w:right="372"/>
        <w:jc w:val="both"/>
        <w:rPr>
          <w:i/>
          <w:iCs/>
          <w:lang w:val="lv-LV"/>
        </w:rPr>
      </w:pPr>
      <w:r w:rsidRPr="001C5053">
        <w:rPr>
          <w:i/>
          <w:iCs/>
          <w:lang w:val="lv-LV"/>
        </w:rPr>
        <w:t xml:space="preserve">Grunts izpēte parādīja, ka </w:t>
      </w:r>
      <w:proofErr w:type="spellStart"/>
      <w:r w:rsidRPr="001C5053">
        <w:rPr>
          <w:i/>
          <w:iCs/>
          <w:lang w:val="lv-LV"/>
        </w:rPr>
        <w:t>pamatgruntis</w:t>
      </w:r>
      <w:proofErr w:type="spellEnd"/>
      <w:r w:rsidRPr="001C5053">
        <w:rPr>
          <w:i/>
          <w:iCs/>
          <w:lang w:val="lv-LV"/>
        </w:rPr>
        <w:t xml:space="preserve"> ir smilšainas, tomēr ārpus esošā asfalta seguma robežām tās var būt neviendabīgas</w:t>
      </w:r>
      <w:r w:rsidRPr="001C5053">
        <w:rPr>
          <w:i/>
          <w:iCs/>
          <w:u w:val="single"/>
          <w:lang w:val="lv-LV"/>
        </w:rPr>
        <w:t xml:space="preserve">. </w:t>
      </w:r>
      <w:r w:rsidRPr="001C5053">
        <w:rPr>
          <w:b/>
          <w:bCs/>
          <w:i/>
          <w:iCs/>
          <w:lang w:val="lv-LV"/>
        </w:rPr>
        <w:t xml:space="preserve">Kopējam deformācijas modulim Ev2 uz grunts pamatnes jābūt ne mazākam par 45 </w:t>
      </w:r>
      <w:proofErr w:type="spellStart"/>
      <w:r w:rsidRPr="001C5053">
        <w:rPr>
          <w:b/>
          <w:bCs/>
          <w:i/>
          <w:iCs/>
          <w:lang w:val="lv-LV"/>
        </w:rPr>
        <w:t>MPa</w:t>
      </w:r>
      <w:proofErr w:type="spellEnd"/>
      <w:r w:rsidRPr="001C5053">
        <w:rPr>
          <w:b/>
          <w:bCs/>
          <w:i/>
          <w:iCs/>
          <w:lang w:val="lv-LV"/>
        </w:rPr>
        <w:t xml:space="preserve">. Tās filtrācijas koeficientam jābūt vismaz </w:t>
      </w:r>
      <w:proofErr w:type="spellStart"/>
      <w:r w:rsidRPr="001C5053">
        <w:rPr>
          <w:b/>
          <w:bCs/>
          <w:i/>
          <w:iCs/>
          <w:lang w:val="lv-LV"/>
        </w:rPr>
        <w:t>Kf</w:t>
      </w:r>
      <w:proofErr w:type="spellEnd"/>
      <w:r w:rsidRPr="001C5053">
        <w:rPr>
          <w:b/>
          <w:bCs/>
          <w:i/>
          <w:iCs/>
          <w:lang w:val="lv-LV"/>
        </w:rPr>
        <w:t>&gt;1m/</w:t>
      </w:r>
      <w:proofErr w:type="spellStart"/>
      <w:r w:rsidRPr="001C5053">
        <w:rPr>
          <w:b/>
          <w:bCs/>
          <w:i/>
          <w:iCs/>
          <w:lang w:val="lv-LV"/>
        </w:rPr>
        <w:t>dnn</w:t>
      </w:r>
      <w:proofErr w:type="spellEnd"/>
      <w:r w:rsidRPr="001C5053">
        <w:rPr>
          <w:b/>
          <w:bCs/>
          <w:i/>
          <w:iCs/>
          <w:lang w:val="lv-LV"/>
        </w:rPr>
        <w:t xml:space="preserve">. </w:t>
      </w:r>
      <w:proofErr w:type="spellStart"/>
      <w:r w:rsidRPr="001C5053">
        <w:rPr>
          <w:b/>
          <w:bCs/>
          <w:i/>
          <w:iCs/>
          <w:lang w:val="lv-LV"/>
        </w:rPr>
        <w:t>Salturīgās</w:t>
      </w:r>
      <w:proofErr w:type="spellEnd"/>
      <w:r w:rsidRPr="001C5053">
        <w:rPr>
          <w:b/>
          <w:bCs/>
          <w:i/>
          <w:iCs/>
          <w:lang w:val="lv-LV"/>
        </w:rPr>
        <w:t xml:space="preserve"> kārtas nestspējas kopējam deformācijas modulim Ev2 jābūt ne mazākam par 60 </w:t>
      </w:r>
      <w:proofErr w:type="spellStart"/>
      <w:r w:rsidRPr="001C5053">
        <w:rPr>
          <w:b/>
          <w:bCs/>
          <w:i/>
          <w:iCs/>
          <w:lang w:val="lv-LV"/>
        </w:rPr>
        <w:t>MPa</w:t>
      </w:r>
      <w:proofErr w:type="spellEnd"/>
      <w:r w:rsidRPr="001C5053">
        <w:rPr>
          <w:b/>
          <w:bCs/>
          <w:i/>
          <w:iCs/>
          <w:lang w:val="lv-LV"/>
        </w:rPr>
        <w:t xml:space="preserve">. </w:t>
      </w:r>
      <w:r w:rsidRPr="001C5053">
        <w:rPr>
          <w:i/>
          <w:iCs/>
          <w:lang w:val="lv-LV"/>
        </w:rPr>
        <w:t xml:space="preserve">Pēc augsnes kārtas noņemšanas ir jānovērtē esošās grunts nestspējas rādītāji. Komunikāciju likšanas vietās tranšejas jāblīvē pa 0.3m biezām kārtām ar </w:t>
      </w:r>
      <w:proofErr w:type="spellStart"/>
      <w:r w:rsidRPr="001C5053">
        <w:rPr>
          <w:i/>
          <w:iCs/>
          <w:lang w:val="lv-LV"/>
        </w:rPr>
        <w:t>vibroblieti</w:t>
      </w:r>
      <w:proofErr w:type="spellEnd"/>
      <w:r w:rsidRPr="001C5053">
        <w:rPr>
          <w:i/>
          <w:iCs/>
          <w:lang w:val="lv-LV"/>
        </w:rPr>
        <w:t>. Tranšejās segumu atjaunošana saskaņā ar projektā doto risinājumu jeb analogi esošajai segas konstrukcijai.</w:t>
      </w:r>
    </w:p>
    <w:p w14:paraId="254AE042" w14:textId="77777777" w:rsidR="001C5053" w:rsidRPr="001C5053" w:rsidRDefault="001C5053" w:rsidP="00D019CA">
      <w:pPr>
        <w:ind w:right="372"/>
        <w:jc w:val="both"/>
        <w:rPr>
          <w:i/>
          <w:iCs/>
          <w:lang w:val="lv-LV"/>
        </w:rPr>
      </w:pPr>
      <w:r w:rsidRPr="001C5053">
        <w:rPr>
          <w:i/>
          <w:iCs/>
          <w:lang w:val="lv-LV"/>
        </w:rPr>
        <w:t xml:space="preserve">Drupināta </w:t>
      </w:r>
      <w:proofErr w:type="spellStart"/>
      <w:r w:rsidRPr="001C5053">
        <w:rPr>
          <w:i/>
          <w:iCs/>
          <w:lang w:val="lv-LV"/>
        </w:rPr>
        <w:t>minerālmateriāla</w:t>
      </w:r>
      <w:proofErr w:type="spellEnd"/>
      <w:r w:rsidRPr="001C5053">
        <w:rPr>
          <w:i/>
          <w:iCs/>
          <w:lang w:val="lv-LV"/>
        </w:rPr>
        <w:t xml:space="preserve"> maisījumam šķembu drupināšanas pretestības koeficienta (Losandželosas koeficienta) </w:t>
      </w:r>
      <w:proofErr w:type="spellStart"/>
      <w:r w:rsidRPr="001C5053">
        <w:rPr>
          <w:i/>
          <w:iCs/>
          <w:lang w:val="lv-LV"/>
        </w:rPr>
        <w:t>robežrādītājam</w:t>
      </w:r>
      <w:proofErr w:type="spellEnd"/>
      <w:r w:rsidRPr="001C5053">
        <w:rPr>
          <w:i/>
          <w:iCs/>
          <w:lang w:val="lv-LV"/>
        </w:rPr>
        <w:t xml:space="preserve"> jābūt ne lielākam LA45 / ≤ 45. Esošā asfalta seguma </w:t>
      </w:r>
      <w:proofErr w:type="spellStart"/>
      <w:r w:rsidRPr="001C5053">
        <w:rPr>
          <w:i/>
          <w:iCs/>
          <w:lang w:val="lv-LV"/>
        </w:rPr>
        <w:t>inerālmateriāla</w:t>
      </w:r>
      <w:proofErr w:type="spellEnd"/>
      <w:r w:rsidRPr="001C5053">
        <w:rPr>
          <w:i/>
          <w:iCs/>
          <w:lang w:val="lv-LV"/>
        </w:rPr>
        <w:t xml:space="preserve"> maisījuma pamatiem jānovērtē to nestspējas rādītājus. Ja tie ir pietiekami, tad pieļaujama to noprofilēšana un pamatu virskārtas ieklāšana.</w:t>
      </w:r>
    </w:p>
    <w:p w14:paraId="448A0F21" w14:textId="77777777" w:rsidR="001C5053" w:rsidRPr="001C5053" w:rsidRDefault="001C5053" w:rsidP="00D019CA">
      <w:pPr>
        <w:ind w:right="372"/>
        <w:jc w:val="both"/>
        <w:rPr>
          <w:i/>
          <w:iCs/>
          <w:lang w:val="lv-LV"/>
        </w:rPr>
      </w:pPr>
      <w:proofErr w:type="spellStart"/>
      <w:r w:rsidRPr="001C5053">
        <w:rPr>
          <w:i/>
          <w:iCs/>
          <w:lang w:val="lv-LV"/>
        </w:rPr>
        <w:t>Pārbraucienu</w:t>
      </w:r>
      <w:proofErr w:type="spellEnd"/>
      <w:r w:rsidRPr="001C5053">
        <w:rPr>
          <w:i/>
          <w:iCs/>
          <w:lang w:val="lv-LV"/>
        </w:rPr>
        <w:t xml:space="preserve"> skaits pa vienu vietu rupjajai frakcijai ne mazāks par 6, lai nodrošinātu vizuāli viendabīgu šķembu apakšējās kārtas sagatavošanai. </w:t>
      </w:r>
      <w:r w:rsidRPr="001C5053">
        <w:rPr>
          <w:b/>
          <w:bCs/>
          <w:i/>
          <w:iCs/>
          <w:lang w:val="lv-LV"/>
        </w:rPr>
        <w:t xml:space="preserve">Pamatu nestspējai jāsasniedz Ev2 ≥ 120 </w:t>
      </w:r>
      <w:proofErr w:type="spellStart"/>
      <w:r w:rsidRPr="001C5053">
        <w:rPr>
          <w:b/>
          <w:bCs/>
          <w:i/>
          <w:iCs/>
          <w:lang w:val="lv-LV"/>
        </w:rPr>
        <w:t>MPa</w:t>
      </w:r>
      <w:proofErr w:type="spellEnd"/>
      <w:r w:rsidRPr="001C5053">
        <w:rPr>
          <w:b/>
          <w:bCs/>
          <w:i/>
          <w:iCs/>
          <w:lang w:val="lv-LV"/>
        </w:rPr>
        <w:t>, kas atbilst šķembu pamatiem N-IV stiprības klases ceļiem.</w:t>
      </w:r>
    </w:p>
    <w:p w14:paraId="7F7345F1" w14:textId="77777777" w:rsidR="001C5053" w:rsidRPr="001C5053" w:rsidRDefault="001C5053" w:rsidP="00D019CA">
      <w:pPr>
        <w:autoSpaceDE w:val="0"/>
        <w:autoSpaceDN w:val="0"/>
        <w:adjustRightInd w:val="0"/>
        <w:ind w:right="372"/>
        <w:jc w:val="both"/>
        <w:rPr>
          <w:i/>
          <w:iCs/>
          <w:color w:val="000000"/>
          <w:lang w:val="lv-LV" w:eastAsia="lv-LV"/>
        </w:rPr>
      </w:pPr>
      <w:r w:rsidRPr="001C5053">
        <w:rPr>
          <w:i/>
          <w:iCs/>
          <w:color w:val="000000"/>
          <w:lang w:val="lv-LV" w:eastAsia="lv-LV"/>
        </w:rPr>
        <w:t xml:space="preserve">Prasības betona bruģim atbilstoši LVS EN 1330/2004. </w:t>
      </w:r>
    </w:p>
    <w:p w14:paraId="044F3068" w14:textId="77777777" w:rsidR="001C5053" w:rsidRPr="001C5053" w:rsidRDefault="001C5053" w:rsidP="00D019CA">
      <w:pPr>
        <w:autoSpaceDE w:val="0"/>
        <w:autoSpaceDN w:val="0"/>
        <w:adjustRightInd w:val="0"/>
        <w:ind w:right="372"/>
        <w:jc w:val="both"/>
        <w:rPr>
          <w:i/>
          <w:iCs/>
          <w:color w:val="000000"/>
          <w:lang w:val="lv-LV" w:eastAsia="lv-LV"/>
        </w:rPr>
      </w:pPr>
      <w:r w:rsidRPr="001C5053">
        <w:rPr>
          <w:i/>
          <w:iCs/>
          <w:color w:val="000000"/>
          <w:lang w:val="lv-LV" w:eastAsia="lv-LV"/>
        </w:rPr>
        <w:t xml:space="preserve">Asfalta stiprības klase SIII. </w:t>
      </w:r>
    </w:p>
    <w:p w14:paraId="4E93B8E0" w14:textId="77777777" w:rsidR="001C5053" w:rsidRPr="00E9346D" w:rsidRDefault="001C5053" w:rsidP="00D019CA">
      <w:pPr>
        <w:ind w:right="372"/>
        <w:jc w:val="both"/>
        <w:rPr>
          <w:b/>
          <w:bCs/>
          <w:i/>
          <w:iCs/>
          <w:lang w:val="lv-LV"/>
        </w:rPr>
      </w:pPr>
      <w:r w:rsidRPr="00E9346D">
        <w:rPr>
          <w:b/>
          <w:bCs/>
          <w:i/>
          <w:iCs/>
          <w:lang w:val="lv-LV"/>
        </w:rPr>
        <w:t>Prasības būvmateriāliem un darbu tehnoloģijām atbilstoši “Ceļu Specifikācijas 2019” prasībām.</w:t>
      </w:r>
    </w:p>
    <w:p w14:paraId="14283BB9" w14:textId="77777777" w:rsidR="001C5053" w:rsidRPr="00E9346D" w:rsidRDefault="001C5053" w:rsidP="00D019CA">
      <w:pPr>
        <w:ind w:right="372"/>
        <w:jc w:val="both"/>
        <w:rPr>
          <w:i/>
          <w:iCs/>
          <w:lang w:val="lv-LV"/>
        </w:rPr>
      </w:pPr>
      <w:r w:rsidRPr="00E9346D">
        <w:rPr>
          <w:i/>
          <w:iCs/>
          <w:lang w:val="lv-LV"/>
        </w:rPr>
        <w:t>Un CS2019, rodas precizējošs jautājumi:</w:t>
      </w:r>
    </w:p>
    <w:p w14:paraId="6687F395" w14:textId="77777777" w:rsidR="001C5053" w:rsidRPr="00E9346D" w:rsidRDefault="001C5053" w:rsidP="00D019CA">
      <w:pPr>
        <w:numPr>
          <w:ilvl w:val="0"/>
          <w:numId w:val="9"/>
        </w:numPr>
        <w:ind w:right="372"/>
        <w:jc w:val="both"/>
        <w:rPr>
          <w:i/>
          <w:iCs/>
          <w:vanish/>
          <w:lang w:val="lv-LV"/>
        </w:rPr>
      </w:pPr>
    </w:p>
    <w:p w14:paraId="089890FF" w14:textId="77777777" w:rsidR="001C5053" w:rsidRPr="00E9346D" w:rsidRDefault="001C5053" w:rsidP="00D019CA">
      <w:pPr>
        <w:numPr>
          <w:ilvl w:val="0"/>
          <w:numId w:val="9"/>
        </w:numPr>
        <w:ind w:right="372"/>
        <w:jc w:val="both"/>
        <w:rPr>
          <w:i/>
          <w:iCs/>
          <w:vanish/>
          <w:lang w:val="lv-LV"/>
        </w:rPr>
      </w:pPr>
    </w:p>
    <w:p w14:paraId="5FFF2F65" w14:textId="77777777" w:rsidR="001C5053" w:rsidRPr="00E9346D" w:rsidRDefault="001C5053" w:rsidP="00D019CA">
      <w:pPr>
        <w:numPr>
          <w:ilvl w:val="0"/>
          <w:numId w:val="9"/>
        </w:numPr>
        <w:ind w:right="372"/>
        <w:jc w:val="both"/>
        <w:rPr>
          <w:i/>
          <w:iCs/>
          <w:vanish/>
          <w:lang w:val="lv-LV"/>
        </w:rPr>
      </w:pPr>
    </w:p>
    <w:p w14:paraId="5BCA2EB3" w14:textId="77777777" w:rsidR="001C5053" w:rsidRPr="00E9346D" w:rsidRDefault="001C5053" w:rsidP="00D019CA">
      <w:pPr>
        <w:numPr>
          <w:ilvl w:val="0"/>
          <w:numId w:val="9"/>
        </w:numPr>
        <w:ind w:right="372"/>
        <w:jc w:val="both"/>
        <w:rPr>
          <w:i/>
          <w:iCs/>
          <w:vanish/>
          <w:lang w:val="lv-LV"/>
        </w:rPr>
      </w:pPr>
    </w:p>
    <w:p w14:paraId="766E7047" w14:textId="77777777" w:rsidR="001C5053" w:rsidRPr="00E9346D" w:rsidRDefault="001C5053" w:rsidP="00D019CA">
      <w:pPr>
        <w:numPr>
          <w:ilvl w:val="0"/>
          <w:numId w:val="9"/>
        </w:numPr>
        <w:ind w:right="372"/>
        <w:jc w:val="both"/>
        <w:rPr>
          <w:i/>
          <w:iCs/>
          <w:vanish/>
          <w:lang w:val="lv-LV"/>
        </w:rPr>
      </w:pPr>
    </w:p>
    <w:p w14:paraId="05D6392D" w14:textId="77777777" w:rsidR="001C5053" w:rsidRPr="00E9346D" w:rsidRDefault="001C5053" w:rsidP="00D019CA">
      <w:pPr>
        <w:numPr>
          <w:ilvl w:val="0"/>
          <w:numId w:val="9"/>
        </w:numPr>
        <w:ind w:right="372"/>
        <w:jc w:val="both"/>
        <w:rPr>
          <w:i/>
          <w:iCs/>
          <w:vanish/>
          <w:lang w:val="lv-LV"/>
        </w:rPr>
      </w:pPr>
    </w:p>
    <w:p w14:paraId="065C1DB0" w14:textId="77777777" w:rsidR="001C5053" w:rsidRPr="00E9346D" w:rsidRDefault="001C5053" w:rsidP="00D019CA">
      <w:pPr>
        <w:numPr>
          <w:ilvl w:val="0"/>
          <w:numId w:val="9"/>
        </w:numPr>
        <w:ind w:right="372"/>
        <w:jc w:val="both"/>
        <w:rPr>
          <w:i/>
          <w:iCs/>
          <w:vanish/>
          <w:lang w:val="lv-LV"/>
        </w:rPr>
      </w:pPr>
    </w:p>
    <w:p w14:paraId="16EB8E1B" w14:textId="77777777" w:rsidR="001C5053" w:rsidRPr="00E9346D" w:rsidRDefault="001C5053" w:rsidP="00D019CA">
      <w:pPr>
        <w:numPr>
          <w:ilvl w:val="0"/>
          <w:numId w:val="9"/>
        </w:numPr>
        <w:ind w:right="372"/>
        <w:jc w:val="both"/>
        <w:rPr>
          <w:i/>
          <w:iCs/>
          <w:vanish/>
          <w:lang w:val="lv-LV"/>
        </w:rPr>
      </w:pPr>
    </w:p>
    <w:p w14:paraId="65B758E1" w14:textId="14FB056C" w:rsidR="001C5053" w:rsidRPr="00E9346D" w:rsidRDefault="001C5053" w:rsidP="00D019CA">
      <w:pPr>
        <w:numPr>
          <w:ilvl w:val="1"/>
          <w:numId w:val="9"/>
        </w:numPr>
        <w:ind w:left="426" w:right="372"/>
        <w:jc w:val="both"/>
        <w:rPr>
          <w:i/>
          <w:iCs/>
          <w:lang w:val="lv-LV"/>
        </w:rPr>
      </w:pPr>
      <w:r w:rsidRPr="00E9346D">
        <w:rPr>
          <w:i/>
          <w:iCs/>
          <w:lang w:val="lv-LV"/>
        </w:rPr>
        <w:t>Lūdzu apstiprināt, ka zemes klātnes nestspējai jāsasniedz 45MPa nestspēju un 3.5 sablīvējumu, prasība filtrācijas koeficientam domāta salizturīgai kārtai;</w:t>
      </w:r>
    </w:p>
    <w:p w14:paraId="4D6AE27B" w14:textId="4B46014D" w:rsidR="00E9346D" w:rsidRPr="00E9346D" w:rsidRDefault="00E9346D" w:rsidP="00D019CA">
      <w:pPr>
        <w:ind w:right="372"/>
        <w:jc w:val="both"/>
      </w:pPr>
      <w:r w:rsidRPr="00E9346D">
        <w:rPr>
          <w:lang w:eastAsia="lv-LV"/>
        </w:rPr>
        <w:t xml:space="preserve">Atbilde: </w:t>
      </w:r>
      <w:r w:rsidR="000B6FD1">
        <w:rPr>
          <w:lang w:val="lv-LV" w:eastAsia="lv-LV"/>
        </w:rPr>
        <w:t>informējam, ka šobrīd ir pieprasīta papildus informācija. Atbildi uz šo jautājumu sniegsim pēc papildus informācijas saņemšanas</w:t>
      </w:r>
      <w:r w:rsidRPr="00E9346D">
        <w:t xml:space="preserve">. </w:t>
      </w:r>
    </w:p>
    <w:p w14:paraId="45D99CFC" w14:textId="4F84A9B3" w:rsidR="001C5053" w:rsidRDefault="001C5053" w:rsidP="00D019CA">
      <w:pPr>
        <w:numPr>
          <w:ilvl w:val="1"/>
          <w:numId w:val="9"/>
        </w:numPr>
        <w:ind w:left="426" w:right="372"/>
        <w:jc w:val="both"/>
        <w:rPr>
          <w:i/>
          <w:iCs/>
          <w:lang w:val="lv-LV"/>
        </w:rPr>
      </w:pPr>
      <w:r w:rsidRPr="00E9346D">
        <w:rPr>
          <w:i/>
          <w:iCs/>
          <w:lang w:val="lv-LV"/>
        </w:rPr>
        <w:t>Lūdzu apstiprināt, ka salizturīgas kārtas materiālam jānodrošina filtrācijas koeficients 1m/</w:t>
      </w:r>
      <w:proofErr w:type="spellStart"/>
      <w:r w:rsidRPr="00E9346D">
        <w:rPr>
          <w:i/>
          <w:iCs/>
          <w:lang w:val="lv-LV"/>
        </w:rPr>
        <w:t>dnn</w:t>
      </w:r>
      <w:proofErr w:type="spellEnd"/>
      <w:r w:rsidRPr="00E9346D">
        <w:rPr>
          <w:i/>
          <w:iCs/>
          <w:lang w:val="lv-LV"/>
        </w:rPr>
        <w:t>, un uz salizturīgas kārtas jāsasniedz 60MPa nestspēja un 2.5 sablīvējums.</w:t>
      </w:r>
    </w:p>
    <w:p w14:paraId="2F6F1A2F" w14:textId="77777777" w:rsidR="00D019CA" w:rsidRPr="00E9346D" w:rsidRDefault="00D019CA" w:rsidP="00D019CA">
      <w:pPr>
        <w:ind w:left="426" w:right="372"/>
        <w:jc w:val="both"/>
        <w:rPr>
          <w:i/>
          <w:iCs/>
          <w:lang w:val="lv-LV"/>
        </w:rPr>
      </w:pPr>
    </w:p>
    <w:p w14:paraId="295F3CDF" w14:textId="5922D3D7" w:rsidR="00E9346D" w:rsidRPr="00E9346D" w:rsidRDefault="00E9346D" w:rsidP="00D019CA">
      <w:pPr>
        <w:ind w:right="372"/>
        <w:jc w:val="both"/>
        <w:rPr>
          <w:i/>
          <w:iCs/>
          <w:lang w:val="lv-LV"/>
        </w:rPr>
      </w:pPr>
      <w:r w:rsidRPr="00E9346D">
        <w:rPr>
          <w:lang w:eastAsia="lv-LV"/>
        </w:rPr>
        <w:t xml:space="preserve">Atbilde: </w:t>
      </w:r>
      <w:r w:rsidR="000B6FD1">
        <w:rPr>
          <w:lang w:val="lv-LV" w:eastAsia="lv-LV"/>
        </w:rPr>
        <w:t>informējam, ka šobrīd ir pieprasīta papildus informācija. Atbildi uz šo jautājumu sniegsim pēc papildus informācijas saņemšanas.</w:t>
      </w:r>
    </w:p>
    <w:p w14:paraId="486842F1" w14:textId="7D991342" w:rsidR="001C5053" w:rsidRPr="00E9346D" w:rsidRDefault="001C5053" w:rsidP="00D019CA">
      <w:pPr>
        <w:numPr>
          <w:ilvl w:val="1"/>
          <w:numId w:val="9"/>
        </w:numPr>
        <w:ind w:left="426" w:right="372"/>
        <w:jc w:val="both"/>
        <w:rPr>
          <w:i/>
          <w:iCs/>
          <w:lang w:val="lv-LV"/>
        </w:rPr>
      </w:pPr>
      <w:r w:rsidRPr="00E9346D">
        <w:rPr>
          <w:i/>
          <w:iCs/>
          <w:lang w:val="lv-LV"/>
        </w:rPr>
        <w:t xml:space="preserve">Lūdzu apstiprināt, ka šķembu pamata virskārtai visiem seguma tipiem jāsasniedz 120MPa nestspēja un 2.3 sablīvējums. Ka arī visiem </w:t>
      </w:r>
      <w:proofErr w:type="spellStart"/>
      <w:r w:rsidRPr="00E9346D">
        <w:rPr>
          <w:i/>
          <w:iCs/>
          <w:lang w:val="lv-LV"/>
        </w:rPr>
        <w:t>minerālmateriāliem</w:t>
      </w:r>
      <w:proofErr w:type="spellEnd"/>
      <w:r w:rsidRPr="00E9346D">
        <w:rPr>
          <w:i/>
          <w:iCs/>
          <w:lang w:val="lv-LV"/>
        </w:rPr>
        <w:t xml:space="preserve"> jāatbilst N-IV stiprības klasei.</w:t>
      </w:r>
    </w:p>
    <w:p w14:paraId="2528B8D2" w14:textId="23464070" w:rsidR="00E9346D" w:rsidRPr="00E9346D" w:rsidRDefault="00E9346D" w:rsidP="00D019CA">
      <w:pPr>
        <w:ind w:right="372"/>
        <w:jc w:val="both"/>
      </w:pPr>
      <w:r w:rsidRPr="00E9346D">
        <w:rPr>
          <w:lang w:eastAsia="lv-LV"/>
        </w:rPr>
        <w:lastRenderedPageBreak/>
        <w:t xml:space="preserve">Atbilde: </w:t>
      </w:r>
      <w:r w:rsidR="000B6FD1">
        <w:rPr>
          <w:lang w:val="lv-LV" w:eastAsia="lv-LV"/>
        </w:rPr>
        <w:t>informējam, ka šobrīd ir pieprasīta papildus informācija. Atbildi uz šo jautājumu sniegsim pēc papildus informācijas saņemšanas.</w:t>
      </w:r>
    </w:p>
    <w:p w14:paraId="09356ED8" w14:textId="77777777" w:rsidR="00E71DD0" w:rsidRPr="001C5053" w:rsidRDefault="00E71DD0" w:rsidP="00D019CA">
      <w:pPr>
        <w:ind w:left="426" w:right="372"/>
        <w:jc w:val="both"/>
        <w:rPr>
          <w:i/>
          <w:iCs/>
          <w:lang w:val="lv-LV"/>
        </w:rPr>
      </w:pPr>
    </w:p>
    <w:p w14:paraId="62DCF7C2" w14:textId="77777777" w:rsidR="001C5053" w:rsidRPr="001C5053" w:rsidRDefault="001C5053" w:rsidP="00D019CA">
      <w:pPr>
        <w:numPr>
          <w:ilvl w:val="1"/>
          <w:numId w:val="9"/>
        </w:numPr>
        <w:ind w:left="426" w:right="372"/>
        <w:jc w:val="both"/>
        <w:rPr>
          <w:i/>
          <w:iCs/>
          <w:lang w:val="lv-LV"/>
        </w:rPr>
      </w:pPr>
      <w:r w:rsidRPr="001C5053">
        <w:rPr>
          <w:i/>
          <w:iCs/>
          <w:lang w:val="lv-LV"/>
        </w:rPr>
        <w:t xml:space="preserve">Skaidrojošā aprakstā sadaļā </w:t>
      </w:r>
      <w:r w:rsidRPr="001C5053">
        <w:rPr>
          <w:b/>
          <w:bCs/>
          <w:i/>
          <w:iCs/>
          <w:lang w:val="lv-LV"/>
        </w:rPr>
        <w:t xml:space="preserve">Segumu atjaunošana pēc komunikāciju tranšeju aizpildīšanas  </w:t>
      </w:r>
      <w:r w:rsidRPr="001C5053">
        <w:rPr>
          <w:i/>
          <w:iCs/>
          <w:lang w:val="lv-LV"/>
        </w:rPr>
        <w:t xml:space="preserve">ir noradīts </w:t>
      </w:r>
      <w:r w:rsidRPr="001C5053">
        <w:rPr>
          <w:b/>
          <w:bCs/>
          <w:i/>
          <w:iCs/>
          <w:lang w:val="lv-LV"/>
        </w:rPr>
        <w:t>Aizpildījuma grunts</w:t>
      </w:r>
      <w:r w:rsidRPr="001C5053">
        <w:rPr>
          <w:i/>
          <w:iCs/>
          <w:lang w:val="lv-LV"/>
        </w:rPr>
        <w:t>. Lūdzu precizēt, ka tā ir paredzēta būvobjektā atgūta, atkārtoti lietojama grunts.</w:t>
      </w:r>
    </w:p>
    <w:p w14:paraId="0C055BBE" w14:textId="739973DF" w:rsidR="00333E82" w:rsidRPr="00D34A22" w:rsidRDefault="00F428CF" w:rsidP="00D019CA">
      <w:pPr>
        <w:pStyle w:val="m-8881983957735743658msolistparagraph"/>
        <w:spacing w:before="0" w:beforeAutospacing="0" w:after="0" w:afterAutospacing="0"/>
        <w:ind w:left="426" w:right="372"/>
        <w:jc w:val="both"/>
        <w:rPr>
          <w:rFonts w:ascii="Times New Roman" w:hAnsi="Times New Roman" w:cs="Times New Roman"/>
          <w:sz w:val="24"/>
          <w:szCs w:val="24"/>
        </w:rPr>
      </w:pPr>
      <w:r w:rsidRPr="00D34A22">
        <w:rPr>
          <w:rFonts w:ascii="Times New Roman" w:hAnsi="Times New Roman" w:cs="Times New Roman"/>
          <w:sz w:val="24"/>
          <w:szCs w:val="24"/>
        </w:rPr>
        <w:t>Atbilde:</w:t>
      </w:r>
      <w:r w:rsidR="001C5053" w:rsidRPr="001C5053">
        <w:rPr>
          <w:rFonts w:ascii="Times New Roman" w:hAnsi="Times New Roman" w:cs="Times New Roman"/>
          <w:sz w:val="24"/>
          <w:szCs w:val="24"/>
        </w:rPr>
        <w:t xml:space="preserve"> </w:t>
      </w:r>
      <w:r w:rsidR="00D34A22">
        <w:rPr>
          <w:rFonts w:ascii="Times New Roman" w:hAnsi="Times New Roman" w:cs="Times New Roman"/>
          <w:sz w:val="24"/>
          <w:szCs w:val="24"/>
        </w:rPr>
        <w:t xml:space="preserve">Paskaidrojam, ka saskaņā ar </w:t>
      </w:r>
      <w:r w:rsidR="00333E82" w:rsidRPr="00D34A22">
        <w:rPr>
          <w:rFonts w:ascii="Times New Roman" w:hAnsi="Times New Roman" w:cs="Times New Roman"/>
          <w:sz w:val="24"/>
          <w:szCs w:val="24"/>
        </w:rPr>
        <w:t xml:space="preserve">TS-CD daļas Skaidrojošais apraksts </w:t>
      </w:r>
      <w:r w:rsidR="0082594E">
        <w:rPr>
          <w:rFonts w:ascii="Times New Roman" w:hAnsi="Times New Roman" w:cs="Times New Roman"/>
          <w:sz w:val="24"/>
          <w:szCs w:val="24"/>
        </w:rPr>
        <w:t>–</w:t>
      </w:r>
      <w:r w:rsidR="00333E82" w:rsidRPr="00D34A22">
        <w:rPr>
          <w:rFonts w:ascii="Times New Roman" w:hAnsi="Times New Roman" w:cs="Times New Roman"/>
          <w:sz w:val="24"/>
          <w:szCs w:val="24"/>
        </w:rPr>
        <w:t xml:space="preserve"> </w:t>
      </w:r>
      <w:r w:rsidR="0082594E">
        <w:rPr>
          <w:rFonts w:ascii="Times New Roman" w:hAnsi="Times New Roman" w:cs="Times New Roman"/>
          <w:sz w:val="24"/>
          <w:szCs w:val="24"/>
        </w:rPr>
        <w:t>“</w:t>
      </w:r>
      <w:r w:rsidR="00333E82" w:rsidRPr="00D34A22">
        <w:rPr>
          <w:rFonts w:ascii="Times New Roman" w:hAnsi="Times New Roman" w:cs="Times New Roman"/>
          <w:sz w:val="24"/>
          <w:szCs w:val="24"/>
        </w:rPr>
        <w:t>Prasības segumu materiāliem</w:t>
      </w:r>
      <w:r w:rsidR="0082594E">
        <w:rPr>
          <w:rFonts w:ascii="Times New Roman" w:hAnsi="Times New Roman" w:cs="Times New Roman"/>
          <w:sz w:val="24"/>
          <w:szCs w:val="24"/>
        </w:rPr>
        <w:t>”</w:t>
      </w:r>
      <w:r w:rsidR="00E71DD0">
        <w:rPr>
          <w:rFonts w:ascii="Times New Roman" w:hAnsi="Times New Roman" w:cs="Times New Roman"/>
          <w:sz w:val="24"/>
          <w:szCs w:val="24"/>
        </w:rPr>
        <w:t xml:space="preserve"> norādīto, e</w:t>
      </w:r>
      <w:r w:rsidR="00333E82" w:rsidRPr="00D34A22">
        <w:rPr>
          <w:rFonts w:ascii="Times New Roman" w:hAnsi="Times New Roman" w:cs="Times New Roman"/>
          <w:sz w:val="24"/>
          <w:szCs w:val="24"/>
        </w:rPr>
        <w:t xml:space="preserve">sošo grunti tranšejās var izmantot tikai tad, ja tās nestspēju nodrošina Ev2&gt;45MPa un filtrācijas koeficients </w:t>
      </w:r>
      <w:proofErr w:type="spellStart"/>
      <w:r w:rsidR="00333E82" w:rsidRPr="00D34A22">
        <w:rPr>
          <w:rFonts w:ascii="Times New Roman" w:hAnsi="Times New Roman" w:cs="Times New Roman"/>
          <w:sz w:val="24"/>
          <w:szCs w:val="24"/>
        </w:rPr>
        <w:t>Kf</w:t>
      </w:r>
      <w:proofErr w:type="spellEnd"/>
      <w:r w:rsidR="00333E82" w:rsidRPr="00D34A22">
        <w:rPr>
          <w:rFonts w:ascii="Times New Roman" w:hAnsi="Times New Roman" w:cs="Times New Roman"/>
          <w:sz w:val="24"/>
          <w:szCs w:val="24"/>
        </w:rPr>
        <w:t>&gt;1m/</w:t>
      </w:r>
      <w:proofErr w:type="spellStart"/>
      <w:r w:rsidR="00333E82" w:rsidRPr="00D34A22">
        <w:rPr>
          <w:rFonts w:ascii="Times New Roman" w:hAnsi="Times New Roman" w:cs="Times New Roman"/>
          <w:sz w:val="24"/>
          <w:szCs w:val="24"/>
        </w:rPr>
        <w:t>dnn</w:t>
      </w:r>
      <w:proofErr w:type="spellEnd"/>
      <w:r w:rsidR="00333E82" w:rsidRPr="00D34A22">
        <w:rPr>
          <w:rFonts w:ascii="Times New Roman" w:hAnsi="Times New Roman" w:cs="Times New Roman"/>
          <w:sz w:val="24"/>
          <w:szCs w:val="24"/>
        </w:rPr>
        <w:t xml:space="preserve">. Pretējā gadījumā grunti ir jāmaina. </w:t>
      </w:r>
    </w:p>
    <w:p w14:paraId="232C85B1" w14:textId="77777777" w:rsidR="001C5053" w:rsidRDefault="001C5053" w:rsidP="00D019CA">
      <w:pPr>
        <w:ind w:right="372"/>
        <w:jc w:val="both"/>
        <w:rPr>
          <w:i/>
          <w:iCs/>
          <w:lang w:val="lv-LV"/>
        </w:rPr>
      </w:pPr>
    </w:p>
    <w:p w14:paraId="27E0F816" w14:textId="77777777" w:rsidR="00D05222" w:rsidRPr="00D05222" w:rsidRDefault="00D05222" w:rsidP="00D019CA">
      <w:pPr>
        <w:ind w:right="372"/>
        <w:rPr>
          <w:i/>
          <w:iCs/>
          <w:lang w:val="lv-LV" w:eastAsia="lv-LV"/>
        </w:rPr>
      </w:pPr>
      <w:r w:rsidRPr="00D05222">
        <w:rPr>
          <w:i/>
          <w:iCs/>
          <w:lang w:val="lv-LV" w:eastAsia="lv-LV"/>
        </w:rPr>
        <w:t xml:space="preserve">9.jautājums: </w:t>
      </w:r>
    </w:p>
    <w:p w14:paraId="41D3D787" w14:textId="1CD16373" w:rsidR="00983AFB" w:rsidRPr="00983AFB" w:rsidRDefault="00983AFB" w:rsidP="00D019CA">
      <w:pPr>
        <w:ind w:right="372"/>
        <w:rPr>
          <w:i/>
          <w:iCs/>
          <w:lang w:val="lv-LV" w:eastAsia="lv-LV"/>
        </w:rPr>
      </w:pPr>
      <w:r w:rsidRPr="00983AFB">
        <w:rPr>
          <w:i/>
          <w:iCs/>
          <w:lang w:val="lv-LV" w:eastAsia="lv-LV"/>
        </w:rPr>
        <w:t xml:space="preserve">Iepirkuma procedūras nolikuma 7. pielikuma “UZLĀDES STACIJAS TEHNISKĀ SPECIFIKĀCIJA” 7.5. punkts Iekārtas vadība - Nodrošina </w:t>
      </w:r>
      <w:proofErr w:type="spellStart"/>
      <w:r w:rsidRPr="00983AFB">
        <w:rPr>
          <w:i/>
          <w:iCs/>
          <w:lang w:val="lv-LV" w:eastAsia="lv-LV"/>
        </w:rPr>
        <w:t>pieslēgumu</w:t>
      </w:r>
      <w:proofErr w:type="spellEnd"/>
      <w:r w:rsidRPr="00983AFB">
        <w:rPr>
          <w:i/>
          <w:iCs/>
          <w:lang w:val="lv-LV" w:eastAsia="lv-LV"/>
        </w:rPr>
        <w:t xml:space="preserve"> RS uzlādes tīkla vadības un monitoringa sistēmai.</w:t>
      </w:r>
    </w:p>
    <w:p w14:paraId="7700211E" w14:textId="77777777" w:rsidR="00983AFB" w:rsidRPr="00983AFB" w:rsidRDefault="00983AFB" w:rsidP="00D019CA">
      <w:pPr>
        <w:ind w:right="372"/>
        <w:rPr>
          <w:i/>
          <w:iCs/>
          <w:lang w:val="lv-LV" w:eastAsia="lv-LV"/>
        </w:rPr>
      </w:pPr>
      <w:r w:rsidRPr="00983AFB">
        <w:rPr>
          <w:i/>
          <w:iCs/>
          <w:lang w:val="lv-LV" w:eastAsia="lv-LV"/>
        </w:rPr>
        <w:t>Lūdzam skaidrot 7.5. punktā izvirzīto prasību:</w:t>
      </w:r>
    </w:p>
    <w:p w14:paraId="5B037C40" w14:textId="77777777" w:rsidR="00983AFB" w:rsidRPr="00983AFB" w:rsidRDefault="00983AFB" w:rsidP="00D019CA">
      <w:pPr>
        <w:numPr>
          <w:ilvl w:val="0"/>
          <w:numId w:val="10"/>
        </w:numPr>
        <w:ind w:left="284" w:right="372" w:hanging="218"/>
        <w:jc w:val="both"/>
        <w:rPr>
          <w:i/>
          <w:iCs/>
          <w:lang w:val="lv-LV" w:eastAsia="lv-LV"/>
        </w:rPr>
      </w:pPr>
      <w:r w:rsidRPr="00983AFB">
        <w:rPr>
          <w:i/>
          <w:iCs/>
          <w:lang w:val="lv-LV" w:eastAsia="lv-LV"/>
        </w:rPr>
        <w:t>Piegādātājam ir jānodrošina uzlādes iekārtas pieslēgšanu esošai Pasūtītāja rīcībā esošai, ekspluatētai sistēmai vai iepirkuma procedūras nolikuma 6. pielikuma “Būvprojekts” ELT daļas 4.4 “skaidrojošais apraksts” 3. punkta ELEKTROUZLĀDES STACIJA (EUS) 3.2.11 apakšpunktos aprakstītajai iekārtu centrālas pārvaldības un monitoringa sistēmai?</w:t>
      </w:r>
    </w:p>
    <w:p w14:paraId="2FC282EF" w14:textId="35FA1334" w:rsidR="00983AFB" w:rsidRDefault="00983AFB" w:rsidP="00D019CA">
      <w:pPr>
        <w:numPr>
          <w:ilvl w:val="0"/>
          <w:numId w:val="10"/>
        </w:numPr>
        <w:ind w:left="284" w:right="372" w:hanging="218"/>
        <w:jc w:val="both"/>
        <w:rPr>
          <w:i/>
          <w:iCs/>
          <w:lang w:val="lv-LV" w:eastAsia="lv-LV"/>
        </w:rPr>
      </w:pPr>
      <w:r w:rsidRPr="00983AFB">
        <w:rPr>
          <w:i/>
          <w:iCs/>
          <w:lang w:val="lv-LV" w:eastAsia="lv-LV"/>
        </w:rPr>
        <w:t>Vai 7.5. punktā minētā RS uzlādes tīkla vadības un monitoringa sistēma ir sistēma, kuru paredzēts izstrādāt un ieviest pēc līguma noslēgšanas tirgus izpētes “Elektromobiļu uzlādes iekārtu apkalpošana un monitoringa sistēmas izstrāde” (</w:t>
      </w:r>
      <w:hyperlink r:id="rId14" w:history="1">
        <w:r w:rsidRPr="00983AFB">
          <w:rPr>
            <w:i/>
            <w:iCs/>
            <w:color w:val="0000FF"/>
            <w:lang w:val="lv-LV" w:eastAsia="lv-LV"/>
          </w:rPr>
          <w:t>https://www.rigassatiksme.lv/lv/par-mums/iepirkumi/tirgus-izpetes/tirgus-izpete-elektromobilu-uzlades-iekartu-apkalposana-un-monitoringa-sistemas-izstrade/</w:t>
        </w:r>
      </w:hyperlink>
      <w:r w:rsidRPr="00983AFB">
        <w:rPr>
          <w:i/>
          <w:iCs/>
          <w:lang w:val="lv-LV" w:eastAsia="lv-LV"/>
        </w:rPr>
        <w:t xml:space="preserve">)  rezultātā vai arī iepirkuma procedūras ar ID Nr. RS 2022/75 izpildes ietvaros ir jāpiegādā citu sistēmu, kas paredzēta iepirkuma procedūras ar ID Nr. RS 2022/75 ietvaros piegādājamo </w:t>
      </w:r>
      <w:proofErr w:type="spellStart"/>
      <w:r w:rsidRPr="00983AFB">
        <w:rPr>
          <w:i/>
          <w:iCs/>
          <w:lang w:val="lv-LV" w:eastAsia="lv-LV"/>
        </w:rPr>
        <w:t>elektrouzlādes</w:t>
      </w:r>
      <w:proofErr w:type="spellEnd"/>
      <w:r w:rsidRPr="00983AFB">
        <w:rPr>
          <w:i/>
          <w:iCs/>
          <w:lang w:val="lv-LV" w:eastAsia="lv-LV"/>
        </w:rPr>
        <w:t xml:space="preserve"> staciju vadībai un monitoringam?</w:t>
      </w:r>
    </w:p>
    <w:p w14:paraId="20D9D7C4" w14:textId="77777777" w:rsidR="00D05222" w:rsidRDefault="00D05222" w:rsidP="00D019CA">
      <w:pPr>
        <w:ind w:right="372"/>
        <w:jc w:val="both"/>
        <w:rPr>
          <w:i/>
          <w:iCs/>
          <w:lang w:val="lv-LV" w:eastAsia="lv-LV"/>
        </w:rPr>
      </w:pPr>
    </w:p>
    <w:p w14:paraId="55BF8A74" w14:textId="7AFA3726" w:rsidR="00D05222" w:rsidRPr="00D05222" w:rsidRDefault="00D05222" w:rsidP="00D019CA">
      <w:pPr>
        <w:ind w:right="372"/>
        <w:jc w:val="both"/>
        <w:rPr>
          <w:lang w:val="lv-LV" w:eastAsia="lv-LV"/>
        </w:rPr>
      </w:pPr>
      <w:r w:rsidRPr="00D05222">
        <w:rPr>
          <w:lang w:val="lv-LV" w:eastAsia="lv-LV"/>
        </w:rPr>
        <w:t xml:space="preserve">Atbilde: </w:t>
      </w:r>
      <w:bookmarkStart w:id="0" w:name="_Hlk122687331"/>
      <w:r w:rsidR="008E0C46">
        <w:rPr>
          <w:lang w:val="lv-LV" w:eastAsia="lv-LV"/>
        </w:rPr>
        <w:t>informēja</w:t>
      </w:r>
      <w:r w:rsidR="000B6FD1">
        <w:rPr>
          <w:lang w:val="lv-LV" w:eastAsia="lv-LV"/>
        </w:rPr>
        <w:t>m</w:t>
      </w:r>
      <w:r w:rsidR="008E0C46">
        <w:rPr>
          <w:lang w:val="lv-LV" w:eastAsia="lv-LV"/>
        </w:rPr>
        <w:t>, ka šobrīd ir pieprasīta papildus informācija</w:t>
      </w:r>
      <w:r w:rsidR="000D371C">
        <w:rPr>
          <w:lang w:val="lv-LV" w:eastAsia="lv-LV"/>
        </w:rPr>
        <w:t>. Atbildi uz šo jautājumu sniegsim pēc papildus informācijas saņemšanas</w:t>
      </w:r>
      <w:bookmarkEnd w:id="0"/>
      <w:r w:rsidR="000D371C">
        <w:rPr>
          <w:lang w:val="lv-LV" w:eastAsia="lv-LV"/>
        </w:rPr>
        <w:t xml:space="preserve">. </w:t>
      </w:r>
    </w:p>
    <w:p w14:paraId="0EEB9638" w14:textId="77777777" w:rsidR="00D05222" w:rsidRPr="00983AFB" w:rsidRDefault="00D05222" w:rsidP="00D019CA">
      <w:pPr>
        <w:ind w:right="372"/>
        <w:jc w:val="both"/>
        <w:rPr>
          <w:i/>
          <w:iCs/>
          <w:lang w:val="lv-LV" w:eastAsia="lv-LV"/>
        </w:rPr>
      </w:pPr>
    </w:p>
    <w:p w14:paraId="7EC397EB" w14:textId="7F1FBA02" w:rsidR="0091748D" w:rsidRDefault="0091748D" w:rsidP="00D019CA">
      <w:pPr>
        <w:ind w:right="372"/>
        <w:rPr>
          <w:i/>
          <w:iCs/>
          <w:lang w:val="lv-LV" w:eastAsia="lv-LV"/>
        </w:rPr>
      </w:pPr>
      <w:r w:rsidRPr="0091748D">
        <w:rPr>
          <w:i/>
          <w:iCs/>
          <w:lang w:val="lv-LV" w:eastAsia="lv-LV"/>
        </w:rPr>
        <w:t>10.jautājums:</w:t>
      </w:r>
    </w:p>
    <w:p w14:paraId="4C800267" w14:textId="11DB140D" w:rsidR="00983AFB" w:rsidRPr="00983AFB" w:rsidRDefault="00C3119D" w:rsidP="00D019CA">
      <w:pPr>
        <w:ind w:right="372"/>
        <w:jc w:val="both"/>
        <w:rPr>
          <w:i/>
          <w:iCs/>
          <w:lang w:val="lv-LV" w:eastAsia="lv-LV"/>
        </w:rPr>
      </w:pPr>
      <w:r w:rsidRPr="00C3119D">
        <w:rPr>
          <w:i/>
          <w:iCs/>
          <w:lang w:val="lv-LV" w:eastAsia="lv-LV"/>
        </w:rPr>
        <w:t>I</w:t>
      </w:r>
      <w:r w:rsidR="00983AFB" w:rsidRPr="00983AFB">
        <w:rPr>
          <w:i/>
          <w:iCs/>
          <w:lang w:val="lv-LV" w:eastAsia="lv-LV"/>
        </w:rPr>
        <w:t xml:space="preserve">epirkuma procedūras nolikuma 6. pielikuma “Būvprojekts” ELT daļas 4.4 “skaidrojošais apraksts” 3. punkta ELEKTROUZLĀDES STACIJA (EUS) 3.2.11 punkta apakšpunktos ir aprakstītas prasības </w:t>
      </w:r>
      <w:proofErr w:type="spellStart"/>
      <w:r w:rsidR="00983AFB" w:rsidRPr="00983AFB">
        <w:rPr>
          <w:i/>
          <w:iCs/>
          <w:lang w:val="lv-LV" w:eastAsia="lv-LV"/>
        </w:rPr>
        <w:t>elektrouzlādes</w:t>
      </w:r>
      <w:proofErr w:type="spellEnd"/>
      <w:r w:rsidR="00983AFB" w:rsidRPr="00983AFB">
        <w:rPr>
          <w:i/>
          <w:iCs/>
          <w:lang w:val="lv-LV" w:eastAsia="lv-LV"/>
        </w:rPr>
        <w:t xml:space="preserve"> staciju iekārtu centrālas pārvaldības un monitoringa sistēmai vai uz </w:t>
      </w:r>
      <w:proofErr w:type="spellStart"/>
      <w:r w:rsidR="00983AFB" w:rsidRPr="00983AFB">
        <w:rPr>
          <w:i/>
          <w:iCs/>
          <w:lang w:val="lv-LV" w:eastAsia="lv-LV"/>
        </w:rPr>
        <w:t>elektrouzlādes</w:t>
      </w:r>
      <w:proofErr w:type="spellEnd"/>
      <w:r w:rsidR="00983AFB" w:rsidRPr="00983AFB">
        <w:rPr>
          <w:i/>
          <w:iCs/>
          <w:lang w:val="lv-LV" w:eastAsia="lv-LV"/>
        </w:rPr>
        <w:t xml:space="preserve"> staciju iekārtu centrālas pārvaldības un monitoringa sistēmu attiecas nolikuma 6. pielikuma “Būvprojekts” ELT daļas 4.4 “skaidrojošais apraksts” 3. punkta ELEKTROUZLĀDES STACIJA (EUS) 3.2.18 punktā izvirzītās prasības. </w:t>
      </w:r>
    </w:p>
    <w:p w14:paraId="65E914DD" w14:textId="06C574CD" w:rsidR="00983AFB" w:rsidRPr="00C3119D" w:rsidRDefault="00983AFB" w:rsidP="00D019CA">
      <w:pPr>
        <w:ind w:right="372"/>
        <w:jc w:val="both"/>
        <w:rPr>
          <w:i/>
          <w:iCs/>
          <w:lang w:val="lv-LV" w:eastAsia="lv-LV"/>
        </w:rPr>
      </w:pPr>
      <w:r w:rsidRPr="00983AFB">
        <w:rPr>
          <w:i/>
          <w:iCs/>
          <w:lang w:val="lv-LV" w:eastAsia="lv-LV"/>
        </w:rPr>
        <w:t xml:space="preserve">Lūdzam precizēt, vai kopā ar programmatūru jāpiegādā arī visas ar beztermiņa lietošanas tiesību nodrošināšanu izrietošās un saistītās licences. Vai arī nolikuma 6. pielikuma “Būvprojekts” ELT daļas 4.4 “skaidrojošais apraksts” 3. punkta ELEKTROUZLĀDES STACIJA (EUS) 3.2.18 punktā izvirzītās prasības attiecas uz </w:t>
      </w:r>
      <w:proofErr w:type="spellStart"/>
      <w:r w:rsidRPr="00983AFB">
        <w:rPr>
          <w:i/>
          <w:iCs/>
          <w:lang w:val="lv-LV" w:eastAsia="lv-LV"/>
        </w:rPr>
        <w:t>elektrouzlādes</w:t>
      </w:r>
      <w:proofErr w:type="spellEnd"/>
      <w:r w:rsidRPr="00983AFB">
        <w:rPr>
          <w:i/>
          <w:iCs/>
          <w:lang w:val="lv-LV" w:eastAsia="lv-LV"/>
        </w:rPr>
        <w:t xml:space="preserve"> staciju programmatūru, kuras prasības aprakstītas iepirkuma procedūras nolikuma 7. pielikuma “UZLĀDES STACIJAS TEHNISKĀ SPECIFIKĀCIJA” 7. punkta “Programmatūra” apakšpunktos?</w:t>
      </w:r>
    </w:p>
    <w:p w14:paraId="6CBF9E2F" w14:textId="77777777" w:rsidR="00C3119D" w:rsidRDefault="00C3119D" w:rsidP="00D019CA">
      <w:pPr>
        <w:ind w:right="372"/>
        <w:jc w:val="both"/>
        <w:rPr>
          <w:rFonts w:asciiTheme="minorHAnsi" w:hAnsiTheme="minorHAnsi" w:cstheme="minorHAnsi"/>
          <w:sz w:val="22"/>
          <w:szCs w:val="22"/>
          <w:lang w:val="lv-LV" w:eastAsia="lv-LV"/>
        </w:rPr>
      </w:pPr>
    </w:p>
    <w:p w14:paraId="612DE654" w14:textId="6C22A536" w:rsidR="00C91D95" w:rsidRPr="00D05222" w:rsidRDefault="00C3119D" w:rsidP="00D019CA">
      <w:pPr>
        <w:ind w:right="372"/>
        <w:jc w:val="both"/>
        <w:rPr>
          <w:lang w:val="lv-LV" w:eastAsia="lv-LV"/>
        </w:rPr>
      </w:pPr>
      <w:r w:rsidRPr="00C3119D">
        <w:rPr>
          <w:lang w:val="lv-LV" w:eastAsia="lv-LV"/>
        </w:rPr>
        <w:t xml:space="preserve">Atbilde: </w:t>
      </w:r>
      <w:r w:rsidR="00C91D95">
        <w:rPr>
          <w:lang w:val="lv-LV" w:eastAsia="lv-LV"/>
        </w:rPr>
        <w:t>informēja</w:t>
      </w:r>
      <w:r w:rsidR="000B6FD1">
        <w:rPr>
          <w:lang w:val="lv-LV" w:eastAsia="lv-LV"/>
        </w:rPr>
        <w:t>m</w:t>
      </w:r>
      <w:r w:rsidR="00C91D95">
        <w:rPr>
          <w:lang w:val="lv-LV" w:eastAsia="lv-LV"/>
        </w:rPr>
        <w:t xml:space="preserve">, ka šobrīd ir pieprasīta papildus informācija. Atbildi uz šo jautājumu sniegsim pēc papildus informācijas saņemšanas. </w:t>
      </w:r>
    </w:p>
    <w:p w14:paraId="601E9F88" w14:textId="544C54F7" w:rsidR="00C3119D" w:rsidRDefault="00C3119D" w:rsidP="00D019CA">
      <w:pPr>
        <w:ind w:right="372"/>
        <w:jc w:val="both"/>
        <w:rPr>
          <w:lang w:val="lv-LV" w:eastAsia="lv-LV"/>
        </w:rPr>
      </w:pPr>
    </w:p>
    <w:p w14:paraId="0F64640C" w14:textId="77777777" w:rsidR="00D019CA" w:rsidRPr="00C3119D" w:rsidRDefault="00D019CA" w:rsidP="00D019CA">
      <w:pPr>
        <w:ind w:right="372"/>
        <w:jc w:val="both"/>
        <w:rPr>
          <w:lang w:val="lv-LV" w:eastAsia="lv-LV"/>
        </w:rPr>
      </w:pPr>
    </w:p>
    <w:p w14:paraId="289E0983" w14:textId="1BB6DE72" w:rsidR="00C3119D" w:rsidRPr="00983AFB" w:rsidRDefault="00C91D95" w:rsidP="00D019CA">
      <w:pPr>
        <w:ind w:right="372"/>
        <w:jc w:val="both"/>
        <w:rPr>
          <w:i/>
          <w:iCs/>
          <w:lang w:val="lv-LV" w:eastAsia="lv-LV"/>
        </w:rPr>
      </w:pPr>
      <w:r w:rsidRPr="00C91D95">
        <w:rPr>
          <w:i/>
          <w:iCs/>
          <w:lang w:val="lv-LV" w:eastAsia="lv-LV"/>
        </w:rPr>
        <w:t xml:space="preserve">11.jautājums: </w:t>
      </w:r>
    </w:p>
    <w:p w14:paraId="54110A00" w14:textId="77777777" w:rsidR="00983AFB" w:rsidRPr="00983AFB" w:rsidRDefault="00983AFB" w:rsidP="00D019CA">
      <w:pPr>
        <w:ind w:right="372"/>
        <w:jc w:val="both"/>
        <w:rPr>
          <w:i/>
          <w:iCs/>
          <w:lang w:val="lv-LV" w:eastAsia="lv-LV"/>
        </w:rPr>
      </w:pPr>
      <w:r w:rsidRPr="00983AFB">
        <w:rPr>
          <w:i/>
          <w:iCs/>
          <w:lang w:val="lv-LV" w:eastAsia="lv-LV"/>
        </w:rPr>
        <w:t xml:space="preserve">Lūdzam veikt grozījumus iepirkuma procedūras nolikuma 7. pielikuma “UZLĀDES STACIJAS TEHNISKĀ SPECIFIKĀCIJA” 7. punkta “Programmatūra” punktā 7.1 “Ārējās komunikācijas </w:t>
      </w:r>
      <w:r w:rsidRPr="00983AFB">
        <w:rPr>
          <w:i/>
          <w:iCs/>
          <w:lang w:val="lv-LV" w:eastAsia="lv-LV"/>
        </w:rPr>
        <w:lastRenderedPageBreak/>
        <w:t xml:space="preserve">protokols”, un iepirkuma procedūras nolikuma 7. pielikuma “UZLĀDES STACIJAS TEHNISKĀ SPECIFIKĀCIJA” daļā “Vispārējais </w:t>
      </w:r>
      <w:proofErr w:type="spellStart"/>
      <w:r w:rsidRPr="00983AFB">
        <w:rPr>
          <w:i/>
          <w:iCs/>
          <w:lang w:val="lv-LV" w:eastAsia="lv-LV"/>
        </w:rPr>
        <w:t>elektroautobusu</w:t>
      </w:r>
      <w:proofErr w:type="spellEnd"/>
      <w:r w:rsidRPr="00983AFB">
        <w:rPr>
          <w:i/>
          <w:iCs/>
          <w:lang w:val="lv-LV" w:eastAsia="lv-LV"/>
        </w:rPr>
        <w:t xml:space="preserve"> uzlādes stacijas raksturojums”.</w:t>
      </w:r>
    </w:p>
    <w:p w14:paraId="2CB97B8A" w14:textId="77777777" w:rsidR="00983AFB" w:rsidRPr="00983AFB" w:rsidRDefault="00983AFB" w:rsidP="00D019CA">
      <w:pPr>
        <w:ind w:right="372"/>
        <w:jc w:val="both"/>
        <w:rPr>
          <w:i/>
          <w:iCs/>
          <w:lang w:val="lv-LV" w:eastAsia="lv-LV"/>
        </w:rPr>
      </w:pPr>
      <w:r w:rsidRPr="00983AFB">
        <w:rPr>
          <w:i/>
          <w:iCs/>
          <w:lang w:val="lv-LV" w:eastAsia="lv-LV"/>
        </w:rPr>
        <w:t>Izvirzītā prasība - vismaz OCPP 2.0.1 vai jaunāka versija uz OCPP 1.6-J ,vai jaunāka versija, jo OCPP 2.0.1 versija šobrīd vēl nav plaši izmantota un šī protokola izmantošana ierobežo piedāvājamo uzlādes staciju centrālas pārvaldības un monitoringa sistēmu loku. OCPP 1.6-J protokola izmantošana nodrošina visplašāko savietojamību ar dažādu ražotāju uzlādes staciju centrālas pārvaldības un monitoringa sistēmām, attiecīgi neierobežo konkurenci un nodrošina Pasūtītājam neierobežotas konkurences apstākļos iespēju noslēgt līgumu ar zemāku kopējo cenu.</w:t>
      </w:r>
    </w:p>
    <w:p w14:paraId="02678192" w14:textId="77777777" w:rsidR="001C5053" w:rsidRPr="00C91D95" w:rsidRDefault="001C5053" w:rsidP="00D019CA">
      <w:pPr>
        <w:ind w:right="372"/>
        <w:jc w:val="both"/>
        <w:rPr>
          <w:i/>
          <w:iCs/>
          <w:lang w:val="lv-LV"/>
        </w:rPr>
      </w:pPr>
    </w:p>
    <w:p w14:paraId="2D89FBDA" w14:textId="082904ED" w:rsidR="00C91D95" w:rsidRPr="00D05222" w:rsidRDefault="00C91D95" w:rsidP="00D019CA">
      <w:pPr>
        <w:ind w:right="372"/>
        <w:jc w:val="both"/>
        <w:rPr>
          <w:lang w:val="lv-LV" w:eastAsia="lv-LV"/>
        </w:rPr>
      </w:pPr>
      <w:r w:rsidRPr="00C91D95">
        <w:rPr>
          <w:lang w:val="lv-LV"/>
        </w:rPr>
        <w:t>Atbilde:</w:t>
      </w:r>
      <w:r>
        <w:rPr>
          <w:i/>
          <w:iCs/>
          <w:lang w:val="lv-LV"/>
        </w:rPr>
        <w:t xml:space="preserve"> </w:t>
      </w:r>
      <w:r>
        <w:rPr>
          <w:lang w:val="lv-LV" w:eastAsia="lv-LV"/>
        </w:rPr>
        <w:t>informēja</w:t>
      </w:r>
      <w:r w:rsidR="000B6FD1">
        <w:rPr>
          <w:lang w:val="lv-LV" w:eastAsia="lv-LV"/>
        </w:rPr>
        <w:t>m</w:t>
      </w:r>
      <w:r>
        <w:rPr>
          <w:lang w:val="lv-LV" w:eastAsia="lv-LV"/>
        </w:rPr>
        <w:t xml:space="preserve">, ka šobrīd ir pieprasīta papildus informācija. Atbildi uz šo jautājumu sniegsim pēc papildus informācijas saņemšanas. </w:t>
      </w:r>
    </w:p>
    <w:p w14:paraId="27181063" w14:textId="12F3C99B" w:rsidR="001C5053" w:rsidRDefault="001C5053" w:rsidP="00D019CA">
      <w:pPr>
        <w:ind w:right="372"/>
        <w:jc w:val="both"/>
        <w:rPr>
          <w:i/>
          <w:iCs/>
          <w:lang w:val="lv-LV"/>
        </w:rPr>
      </w:pPr>
    </w:p>
    <w:p w14:paraId="70CCEE59" w14:textId="77777777" w:rsidR="001C5053" w:rsidRDefault="001C5053" w:rsidP="00D019CA">
      <w:pPr>
        <w:ind w:right="372"/>
        <w:jc w:val="both"/>
        <w:rPr>
          <w:i/>
          <w:iCs/>
          <w:lang w:val="lv-LV"/>
        </w:rPr>
      </w:pPr>
    </w:p>
    <w:p w14:paraId="233E6C75" w14:textId="77777777" w:rsidR="008100AA" w:rsidRPr="00143E88" w:rsidRDefault="008100AA" w:rsidP="00D019CA">
      <w:pPr>
        <w:ind w:right="372" w:firstLine="720"/>
        <w:jc w:val="both"/>
        <w:rPr>
          <w:lang w:val="lv-LV"/>
        </w:rPr>
      </w:pPr>
    </w:p>
    <w:p w14:paraId="7054CEC5" w14:textId="64AF98E6" w:rsidR="00ED287C" w:rsidRPr="00ED287C" w:rsidRDefault="00ED287C" w:rsidP="00D019CA">
      <w:pPr>
        <w:ind w:right="372"/>
        <w:jc w:val="both"/>
        <w:outlineLvl w:val="0"/>
        <w:rPr>
          <w:lang w:val="lv-LV"/>
        </w:rPr>
      </w:pPr>
      <w:r w:rsidRPr="00ED287C">
        <w:rPr>
          <w:lang w:val="lv-LV"/>
        </w:rPr>
        <w:t xml:space="preserve">Iepirkumu komisijas priekšsēdētāja                                                                          </w:t>
      </w:r>
      <w:r w:rsidR="00DF0270">
        <w:rPr>
          <w:lang w:val="lv-LV"/>
        </w:rPr>
        <w:t xml:space="preserve"> </w:t>
      </w:r>
      <w:r w:rsidR="006A6145">
        <w:rPr>
          <w:lang w:val="lv-LV"/>
        </w:rPr>
        <w:t xml:space="preserve"> </w:t>
      </w:r>
      <w:r w:rsidR="0061319C">
        <w:rPr>
          <w:lang w:val="lv-LV"/>
        </w:rPr>
        <w:t xml:space="preserve">       </w:t>
      </w:r>
      <w:r w:rsidRPr="00ED287C">
        <w:rPr>
          <w:lang w:val="lv-LV"/>
        </w:rPr>
        <w:t xml:space="preserve"> </w:t>
      </w:r>
      <w:r w:rsidR="00483476">
        <w:rPr>
          <w:lang w:val="lv-LV"/>
        </w:rPr>
        <w:t>Inta Novika</w:t>
      </w:r>
    </w:p>
    <w:p w14:paraId="55ADFC89" w14:textId="77777777" w:rsidR="00684FF7" w:rsidRPr="00E80785" w:rsidRDefault="00684FF7" w:rsidP="00D019CA">
      <w:pPr>
        <w:ind w:right="372"/>
        <w:jc w:val="both"/>
        <w:rPr>
          <w:rFonts w:ascii="Times New Roman Bold" w:hAnsi="Times New Roman Bold"/>
          <w:lang w:val="lv-LV"/>
        </w:rPr>
      </w:pPr>
    </w:p>
    <w:sectPr w:rsidR="00684FF7" w:rsidRPr="00E80785" w:rsidSect="00E80785">
      <w:headerReference w:type="even" r:id="rId15"/>
      <w:headerReference w:type="default" r:id="rId16"/>
      <w:headerReference w:type="first" r:id="rId17"/>
      <w:pgSz w:w="11900" w:h="16840" w:code="9"/>
      <w:pgMar w:top="1134" w:right="567" w:bottom="1276"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0388A" w14:textId="77777777" w:rsidR="00335EEB" w:rsidRDefault="00335EEB">
      <w:r>
        <w:separator/>
      </w:r>
    </w:p>
  </w:endnote>
  <w:endnote w:type="continuationSeparator" w:id="0">
    <w:p w14:paraId="3E570F9C" w14:textId="77777777" w:rsidR="00335EEB" w:rsidRDefault="00335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B8B6A" w14:textId="77777777" w:rsidR="00335EEB" w:rsidRDefault="00335EEB">
      <w:r>
        <w:separator/>
      </w:r>
    </w:p>
  </w:footnote>
  <w:footnote w:type="continuationSeparator" w:id="0">
    <w:p w14:paraId="7C67E3AD" w14:textId="77777777" w:rsidR="00335EEB" w:rsidRDefault="00335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99062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0E27824" w:rsidR="001B6FD9" w:rsidRDefault="000A2959" w:rsidP="00477D5C">
    <w:pPr>
      <w:pStyle w:val="Header"/>
      <w:tabs>
        <w:tab w:val="left" w:pos="426"/>
        <w:tab w:val="left" w:pos="1418"/>
      </w:tabs>
      <w:jc w:val="both"/>
    </w:pPr>
    <w:bookmarkStart w:id="1" w:name="docDate"/>
    <w:bookmarkStart w:id="2" w:name="docNr"/>
    <w:bookmarkEnd w:id="1"/>
    <w:bookmarkEnd w:id="2"/>
    <w:r>
      <w:t>23.12.2022.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723564"/>
    <w:multiLevelType w:val="hybridMultilevel"/>
    <w:tmpl w:val="DD5CC6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77483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72E4A87"/>
    <w:multiLevelType w:val="hybridMultilevel"/>
    <w:tmpl w:val="E63E9058"/>
    <w:lvl w:ilvl="0" w:tplc="0426000F">
      <w:start w:val="1"/>
      <w:numFmt w:val="decimal"/>
      <w:lvlText w:val="%1."/>
      <w:lvlJc w:val="left"/>
      <w:pPr>
        <w:ind w:left="786"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9"/>
  </w:num>
  <w:num w:numId="4">
    <w:abstractNumId w:val="1"/>
  </w:num>
  <w:num w:numId="5">
    <w:abstractNumId w:val="7"/>
  </w:num>
  <w:num w:numId="6">
    <w:abstractNumId w:val="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22EC"/>
    <w:rsid w:val="00004F0D"/>
    <w:rsid w:val="000107AF"/>
    <w:rsid w:val="00011A1E"/>
    <w:rsid w:val="00012860"/>
    <w:rsid w:val="0001357B"/>
    <w:rsid w:val="0001453B"/>
    <w:rsid w:val="00014AAA"/>
    <w:rsid w:val="0004076F"/>
    <w:rsid w:val="0004286D"/>
    <w:rsid w:val="00044AEE"/>
    <w:rsid w:val="000513F6"/>
    <w:rsid w:val="000525F0"/>
    <w:rsid w:val="00052CD7"/>
    <w:rsid w:val="000604EE"/>
    <w:rsid w:val="000616A3"/>
    <w:rsid w:val="00072933"/>
    <w:rsid w:val="000A2959"/>
    <w:rsid w:val="000B0105"/>
    <w:rsid w:val="000B6FD1"/>
    <w:rsid w:val="000C2F69"/>
    <w:rsid w:val="000D371C"/>
    <w:rsid w:val="000D6732"/>
    <w:rsid w:val="000E1AA8"/>
    <w:rsid w:val="000E35C8"/>
    <w:rsid w:val="000E35F8"/>
    <w:rsid w:val="000E7E1F"/>
    <w:rsid w:val="000F4D1B"/>
    <w:rsid w:val="00122A4B"/>
    <w:rsid w:val="00127A43"/>
    <w:rsid w:val="00143E88"/>
    <w:rsid w:val="00145341"/>
    <w:rsid w:val="00185A7E"/>
    <w:rsid w:val="00191138"/>
    <w:rsid w:val="001A4C62"/>
    <w:rsid w:val="001A6133"/>
    <w:rsid w:val="001A6A27"/>
    <w:rsid w:val="001B000D"/>
    <w:rsid w:val="001B2AD7"/>
    <w:rsid w:val="001B6718"/>
    <w:rsid w:val="001B6FD9"/>
    <w:rsid w:val="001C5053"/>
    <w:rsid w:val="002001E4"/>
    <w:rsid w:val="002222DE"/>
    <w:rsid w:val="00233FCE"/>
    <w:rsid w:val="00234157"/>
    <w:rsid w:val="00234C11"/>
    <w:rsid w:val="00250C8B"/>
    <w:rsid w:val="002519F8"/>
    <w:rsid w:val="0026220C"/>
    <w:rsid w:val="00263228"/>
    <w:rsid w:val="002671CE"/>
    <w:rsid w:val="00274245"/>
    <w:rsid w:val="002747E5"/>
    <w:rsid w:val="002B1A94"/>
    <w:rsid w:val="002C178C"/>
    <w:rsid w:val="002C786C"/>
    <w:rsid w:val="002D303C"/>
    <w:rsid w:val="002E10DC"/>
    <w:rsid w:val="002E43A6"/>
    <w:rsid w:val="002E5BC5"/>
    <w:rsid w:val="002E786C"/>
    <w:rsid w:val="00300D5F"/>
    <w:rsid w:val="003014F9"/>
    <w:rsid w:val="00301EF1"/>
    <w:rsid w:val="003130A2"/>
    <w:rsid w:val="00325A6F"/>
    <w:rsid w:val="00333E82"/>
    <w:rsid w:val="003351CC"/>
    <w:rsid w:val="00335EEB"/>
    <w:rsid w:val="00336D5E"/>
    <w:rsid w:val="0034617A"/>
    <w:rsid w:val="0035193C"/>
    <w:rsid w:val="0036064C"/>
    <w:rsid w:val="00361C55"/>
    <w:rsid w:val="00364BA7"/>
    <w:rsid w:val="00365003"/>
    <w:rsid w:val="00365370"/>
    <w:rsid w:val="00375769"/>
    <w:rsid w:val="00384C24"/>
    <w:rsid w:val="003877B2"/>
    <w:rsid w:val="00390AA0"/>
    <w:rsid w:val="003A76FA"/>
    <w:rsid w:val="003C19BB"/>
    <w:rsid w:val="003C4314"/>
    <w:rsid w:val="003C47E5"/>
    <w:rsid w:val="003C50A5"/>
    <w:rsid w:val="003C7CAA"/>
    <w:rsid w:val="003D5F72"/>
    <w:rsid w:val="003E010C"/>
    <w:rsid w:val="003F3681"/>
    <w:rsid w:val="003F5509"/>
    <w:rsid w:val="00402CE9"/>
    <w:rsid w:val="0040733B"/>
    <w:rsid w:val="0042756D"/>
    <w:rsid w:val="00433E36"/>
    <w:rsid w:val="0043680C"/>
    <w:rsid w:val="00443CA7"/>
    <w:rsid w:val="00446224"/>
    <w:rsid w:val="00454749"/>
    <w:rsid w:val="00454D63"/>
    <w:rsid w:val="00455984"/>
    <w:rsid w:val="00477D5C"/>
    <w:rsid w:val="00483476"/>
    <w:rsid w:val="00495061"/>
    <w:rsid w:val="004A0D6C"/>
    <w:rsid w:val="004B0AF2"/>
    <w:rsid w:val="004B0C9F"/>
    <w:rsid w:val="004B17EF"/>
    <w:rsid w:val="004B761C"/>
    <w:rsid w:val="004C2F01"/>
    <w:rsid w:val="004D636B"/>
    <w:rsid w:val="004E3581"/>
    <w:rsid w:val="004F098D"/>
    <w:rsid w:val="004F0DA4"/>
    <w:rsid w:val="004F581B"/>
    <w:rsid w:val="00514C32"/>
    <w:rsid w:val="00517B44"/>
    <w:rsid w:val="00521B07"/>
    <w:rsid w:val="0052354F"/>
    <w:rsid w:val="0052581A"/>
    <w:rsid w:val="00526FFA"/>
    <w:rsid w:val="0054525F"/>
    <w:rsid w:val="0056186C"/>
    <w:rsid w:val="00570E1F"/>
    <w:rsid w:val="00573C21"/>
    <w:rsid w:val="00574553"/>
    <w:rsid w:val="00576258"/>
    <w:rsid w:val="00576EBE"/>
    <w:rsid w:val="005A0903"/>
    <w:rsid w:val="005B1FDE"/>
    <w:rsid w:val="005D3F37"/>
    <w:rsid w:val="005D47D5"/>
    <w:rsid w:val="005F3ACE"/>
    <w:rsid w:val="00605FE2"/>
    <w:rsid w:val="006075F6"/>
    <w:rsid w:val="0061319C"/>
    <w:rsid w:val="00620886"/>
    <w:rsid w:val="006223E9"/>
    <w:rsid w:val="00624E1C"/>
    <w:rsid w:val="006312F4"/>
    <w:rsid w:val="006339F1"/>
    <w:rsid w:val="006414CC"/>
    <w:rsid w:val="00663534"/>
    <w:rsid w:val="00675848"/>
    <w:rsid w:val="006765C4"/>
    <w:rsid w:val="00684FF7"/>
    <w:rsid w:val="006874A7"/>
    <w:rsid w:val="006A3C1B"/>
    <w:rsid w:val="006A6145"/>
    <w:rsid w:val="006A672C"/>
    <w:rsid w:val="006B0D98"/>
    <w:rsid w:val="006B52BC"/>
    <w:rsid w:val="006B5782"/>
    <w:rsid w:val="006C4115"/>
    <w:rsid w:val="006D3BDA"/>
    <w:rsid w:val="00706549"/>
    <w:rsid w:val="00712459"/>
    <w:rsid w:val="0071685A"/>
    <w:rsid w:val="00720501"/>
    <w:rsid w:val="00732D57"/>
    <w:rsid w:val="00735447"/>
    <w:rsid w:val="00737061"/>
    <w:rsid w:val="00741397"/>
    <w:rsid w:val="0075033F"/>
    <w:rsid w:val="00756CAE"/>
    <w:rsid w:val="00761DC2"/>
    <w:rsid w:val="007666D6"/>
    <w:rsid w:val="00780537"/>
    <w:rsid w:val="00781423"/>
    <w:rsid w:val="00781934"/>
    <w:rsid w:val="007875D1"/>
    <w:rsid w:val="00792BCA"/>
    <w:rsid w:val="007A34BE"/>
    <w:rsid w:val="007B1AFB"/>
    <w:rsid w:val="007B3E19"/>
    <w:rsid w:val="007C7D70"/>
    <w:rsid w:val="007D161A"/>
    <w:rsid w:val="007D343F"/>
    <w:rsid w:val="007D4DAC"/>
    <w:rsid w:val="007D62F7"/>
    <w:rsid w:val="007E1B98"/>
    <w:rsid w:val="007F411B"/>
    <w:rsid w:val="00803136"/>
    <w:rsid w:val="00803A1A"/>
    <w:rsid w:val="008100AA"/>
    <w:rsid w:val="00811234"/>
    <w:rsid w:val="0082594E"/>
    <w:rsid w:val="00825FA6"/>
    <w:rsid w:val="00830C0F"/>
    <w:rsid w:val="008324A5"/>
    <w:rsid w:val="008533C8"/>
    <w:rsid w:val="00857D3F"/>
    <w:rsid w:val="00872B40"/>
    <w:rsid w:val="008A1BCE"/>
    <w:rsid w:val="008A3C61"/>
    <w:rsid w:val="008C4EFF"/>
    <w:rsid w:val="008C672B"/>
    <w:rsid w:val="008D5DA8"/>
    <w:rsid w:val="008D75E4"/>
    <w:rsid w:val="008E0C46"/>
    <w:rsid w:val="008E13DB"/>
    <w:rsid w:val="008E2BAA"/>
    <w:rsid w:val="008E4C93"/>
    <w:rsid w:val="008F2C09"/>
    <w:rsid w:val="008F37EE"/>
    <w:rsid w:val="008F3B1F"/>
    <w:rsid w:val="008F56C0"/>
    <w:rsid w:val="00904B48"/>
    <w:rsid w:val="00912FF0"/>
    <w:rsid w:val="0091748D"/>
    <w:rsid w:val="00933542"/>
    <w:rsid w:val="00940141"/>
    <w:rsid w:val="00940EF4"/>
    <w:rsid w:val="0094369A"/>
    <w:rsid w:val="00956FC7"/>
    <w:rsid w:val="00964FE8"/>
    <w:rsid w:val="00975730"/>
    <w:rsid w:val="00983AFB"/>
    <w:rsid w:val="00984992"/>
    <w:rsid w:val="009950FF"/>
    <w:rsid w:val="00996DDD"/>
    <w:rsid w:val="009A3987"/>
    <w:rsid w:val="009B03BA"/>
    <w:rsid w:val="009B6D80"/>
    <w:rsid w:val="009C289F"/>
    <w:rsid w:val="009D1FF6"/>
    <w:rsid w:val="009D4658"/>
    <w:rsid w:val="009E2111"/>
    <w:rsid w:val="009E75C3"/>
    <w:rsid w:val="00A075D3"/>
    <w:rsid w:val="00A14F6B"/>
    <w:rsid w:val="00A23EA6"/>
    <w:rsid w:val="00A26288"/>
    <w:rsid w:val="00A3285A"/>
    <w:rsid w:val="00A42309"/>
    <w:rsid w:val="00A435F3"/>
    <w:rsid w:val="00A470A8"/>
    <w:rsid w:val="00A52673"/>
    <w:rsid w:val="00A551B1"/>
    <w:rsid w:val="00A555AB"/>
    <w:rsid w:val="00A55640"/>
    <w:rsid w:val="00A76402"/>
    <w:rsid w:val="00A771E3"/>
    <w:rsid w:val="00A83D90"/>
    <w:rsid w:val="00A842D4"/>
    <w:rsid w:val="00A84550"/>
    <w:rsid w:val="00A90154"/>
    <w:rsid w:val="00A94FF8"/>
    <w:rsid w:val="00AA0015"/>
    <w:rsid w:val="00AA0E4F"/>
    <w:rsid w:val="00AA180C"/>
    <w:rsid w:val="00AA3A2C"/>
    <w:rsid w:val="00AB152E"/>
    <w:rsid w:val="00AB1ED9"/>
    <w:rsid w:val="00AB3115"/>
    <w:rsid w:val="00AB61DF"/>
    <w:rsid w:val="00AC3F0C"/>
    <w:rsid w:val="00AD44B9"/>
    <w:rsid w:val="00AE65B5"/>
    <w:rsid w:val="00AE755D"/>
    <w:rsid w:val="00AF6DD2"/>
    <w:rsid w:val="00B05285"/>
    <w:rsid w:val="00B05C16"/>
    <w:rsid w:val="00B120E3"/>
    <w:rsid w:val="00B12BD6"/>
    <w:rsid w:val="00B17037"/>
    <w:rsid w:val="00B20B4D"/>
    <w:rsid w:val="00B36E79"/>
    <w:rsid w:val="00B40C08"/>
    <w:rsid w:val="00B45069"/>
    <w:rsid w:val="00B6333C"/>
    <w:rsid w:val="00B67B48"/>
    <w:rsid w:val="00B84DE7"/>
    <w:rsid w:val="00B90E98"/>
    <w:rsid w:val="00BA3806"/>
    <w:rsid w:val="00BB402A"/>
    <w:rsid w:val="00BC2049"/>
    <w:rsid w:val="00BC2E48"/>
    <w:rsid w:val="00BE279A"/>
    <w:rsid w:val="00BE5EC0"/>
    <w:rsid w:val="00BE690F"/>
    <w:rsid w:val="00BE69EA"/>
    <w:rsid w:val="00BE6EB3"/>
    <w:rsid w:val="00BF56E0"/>
    <w:rsid w:val="00BF7D80"/>
    <w:rsid w:val="00C10D35"/>
    <w:rsid w:val="00C20551"/>
    <w:rsid w:val="00C234E1"/>
    <w:rsid w:val="00C27E7A"/>
    <w:rsid w:val="00C3119D"/>
    <w:rsid w:val="00C4109D"/>
    <w:rsid w:val="00C52E8C"/>
    <w:rsid w:val="00C540E8"/>
    <w:rsid w:val="00C653CC"/>
    <w:rsid w:val="00C71D15"/>
    <w:rsid w:val="00C82B02"/>
    <w:rsid w:val="00C91D95"/>
    <w:rsid w:val="00C950CD"/>
    <w:rsid w:val="00CA0385"/>
    <w:rsid w:val="00CA73ED"/>
    <w:rsid w:val="00CB3ACB"/>
    <w:rsid w:val="00CB7671"/>
    <w:rsid w:val="00CC5B28"/>
    <w:rsid w:val="00CD01E0"/>
    <w:rsid w:val="00CE03A1"/>
    <w:rsid w:val="00D019CA"/>
    <w:rsid w:val="00D05222"/>
    <w:rsid w:val="00D317EC"/>
    <w:rsid w:val="00D34A22"/>
    <w:rsid w:val="00D35504"/>
    <w:rsid w:val="00D408A4"/>
    <w:rsid w:val="00D43D83"/>
    <w:rsid w:val="00D56440"/>
    <w:rsid w:val="00D77F55"/>
    <w:rsid w:val="00D81F1C"/>
    <w:rsid w:val="00D86507"/>
    <w:rsid w:val="00DB2C78"/>
    <w:rsid w:val="00DB6249"/>
    <w:rsid w:val="00DC04D9"/>
    <w:rsid w:val="00DC6EAE"/>
    <w:rsid w:val="00DD6FE2"/>
    <w:rsid w:val="00DE6FD5"/>
    <w:rsid w:val="00DF0040"/>
    <w:rsid w:val="00DF0270"/>
    <w:rsid w:val="00DF14C4"/>
    <w:rsid w:val="00DF6D93"/>
    <w:rsid w:val="00E00F55"/>
    <w:rsid w:val="00E030A1"/>
    <w:rsid w:val="00E064E9"/>
    <w:rsid w:val="00E42D5D"/>
    <w:rsid w:val="00E43013"/>
    <w:rsid w:val="00E47F88"/>
    <w:rsid w:val="00E50CF3"/>
    <w:rsid w:val="00E718B5"/>
    <w:rsid w:val="00E71B3D"/>
    <w:rsid w:val="00E71DD0"/>
    <w:rsid w:val="00E80785"/>
    <w:rsid w:val="00E842ED"/>
    <w:rsid w:val="00E867A2"/>
    <w:rsid w:val="00E874EE"/>
    <w:rsid w:val="00E9092A"/>
    <w:rsid w:val="00E9346D"/>
    <w:rsid w:val="00E959CF"/>
    <w:rsid w:val="00EB089E"/>
    <w:rsid w:val="00EB1274"/>
    <w:rsid w:val="00EC1BA5"/>
    <w:rsid w:val="00ED0F5E"/>
    <w:rsid w:val="00ED1C42"/>
    <w:rsid w:val="00ED287C"/>
    <w:rsid w:val="00EE2231"/>
    <w:rsid w:val="00F00E4E"/>
    <w:rsid w:val="00F01C15"/>
    <w:rsid w:val="00F16EDA"/>
    <w:rsid w:val="00F213A8"/>
    <w:rsid w:val="00F2385E"/>
    <w:rsid w:val="00F321BF"/>
    <w:rsid w:val="00F428CF"/>
    <w:rsid w:val="00F627F4"/>
    <w:rsid w:val="00F631D4"/>
    <w:rsid w:val="00F63849"/>
    <w:rsid w:val="00F717A2"/>
    <w:rsid w:val="00F74039"/>
    <w:rsid w:val="00F92ACD"/>
    <w:rsid w:val="00F96A7A"/>
    <w:rsid w:val="00FB4415"/>
    <w:rsid w:val="00FC00B7"/>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paragraph" w:styleId="NormalWeb">
    <w:name w:val="Normal (Web)"/>
    <w:basedOn w:val="Normal"/>
    <w:uiPriority w:val="99"/>
    <w:unhideWhenUsed/>
    <w:locked/>
    <w:rsid w:val="00811234"/>
    <w:pPr>
      <w:spacing w:before="100" w:beforeAutospacing="1" w:after="100" w:afterAutospacing="1"/>
    </w:pPr>
    <w:rPr>
      <w:rFonts w:ascii="Calibri" w:eastAsiaTheme="minorHAnsi" w:hAnsi="Calibri" w:cs="Calibri"/>
      <w:sz w:val="22"/>
      <w:szCs w:val="22"/>
      <w:lang w:val="lv-LV" w:eastAsia="lv-LV"/>
    </w:rPr>
  </w:style>
  <w:style w:type="paragraph" w:customStyle="1" w:styleId="m-8881983957735743658msolistparagraph">
    <w:name w:val="m_-8881983957735743658msolistparagraph"/>
    <w:basedOn w:val="Normal"/>
    <w:rsid w:val="00333E82"/>
    <w:pPr>
      <w:spacing w:before="100" w:beforeAutospacing="1" w:after="100" w:afterAutospacing="1"/>
    </w:pPr>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19011">
      <w:bodyDiv w:val="1"/>
      <w:marLeft w:val="0"/>
      <w:marRight w:val="0"/>
      <w:marTop w:val="0"/>
      <w:marBottom w:val="0"/>
      <w:divBdr>
        <w:top w:val="none" w:sz="0" w:space="0" w:color="auto"/>
        <w:left w:val="none" w:sz="0" w:space="0" w:color="auto"/>
        <w:bottom w:val="none" w:sz="0" w:space="0" w:color="auto"/>
        <w:right w:val="none" w:sz="0" w:space="0" w:color="auto"/>
      </w:divBdr>
    </w:div>
    <w:div w:id="396049651">
      <w:bodyDiv w:val="1"/>
      <w:marLeft w:val="0"/>
      <w:marRight w:val="0"/>
      <w:marTop w:val="0"/>
      <w:marBottom w:val="0"/>
      <w:divBdr>
        <w:top w:val="none" w:sz="0" w:space="0" w:color="auto"/>
        <w:left w:val="none" w:sz="0" w:space="0" w:color="auto"/>
        <w:bottom w:val="none" w:sz="0" w:space="0" w:color="auto"/>
        <w:right w:val="none" w:sz="0" w:space="0" w:color="auto"/>
      </w:divBdr>
    </w:div>
    <w:div w:id="568462776">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256480042">
      <w:bodyDiv w:val="1"/>
      <w:marLeft w:val="0"/>
      <w:marRight w:val="0"/>
      <w:marTop w:val="0"/>
      <w:marBottom w:val="0"/>
      <w:divBdr>
        <w:top w:val="none" w:sz="0" w:space="0" w:color="auto"/>
        <w:left w:val="none" w:sz="0" w:space="0" w:color="auto"/>
        <w:bottom w:val="none" w:sz="0" w:space="0" w:color="auto"/>
        <w:right w:val="none" w:sz="0" w:space="0" w:color="auto"/>
      </w:divBdr>
    </w:div>
    <w:div w:id="1263338352">
      <w:bodyDiv w:val="1"/>
      <w:marLeft w:val="0"/>
      <w:marRight w:val="0"/>
      <w:marTop w:val="0"/>
      <w:marBottom w:val="0"/>
      <w:divBdr>
        <w:top w:val="none" w:sz="0" w:space="0" w:color="auto"/>
        <w:left w:val="none" w:sz="0" w:space="0" w:color="auto"/>
        <w:bottom w:val="none" w:sz="0" w:space="0" w:color="auto"/>
        <w:right w:val="none" w:sz="0" w:space="0" w:color="auto"/>
      </w:divBdr>
    </w:div>
    <w:div w:id="1385594114">
      <w:bodyDiv w:val="1"/>
      <w:marLeft w:val="0"/>
      <w:marRight w:val="0"/>
      <w:marTop w:val="0"/>
      <w:marBottom w:val="0"/>
      <w:divBdr>
        <w:top w:val="none" w:sz="0" w:space="0" w:color="auto"/>
        <w:left w:val="none" w:sz="0" w:space="0" w:color="auto"/>
        <w:bottom w:val="none" w:sz="0" w:space="0" w:color="auto"/>
        <w:right w:val="none" w:sz="0" w:space="0" w:color="auto"/>
      </w:divBdr>
    </w:div>
    <w:div w:id="1395658233">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642036528">
      <w:bodyDiv w:val="1"/>
      <w:marLeft w:val="0"/>
      <w:marRight w:val="0"/>
      <w:marTop w:val="0"/>
      <w:marBottom w:val="0"/>
      <w:divBdr>
        <w:top w:val="none" w:sz="0" w:space="0" w:color="auto"/>
        <w:left w:val="none" w:sz="0" w:space="0" w:color="auto"/>
        <w:bottom w:val="none" w:sz="0" w:space="0" w:color="auto"/>
        <w:right w:val="none" w:sz="0" w:space="0" w:color="auto"/>
      </w:divBdr>
    </w:div>
    <w:div w:id="180265319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igassatiksme.lv/lv/par-mums/iepirkumi/tirgus-izpetes/tirgus-izpete-elektromobilu-uzlades-iekartu-apkalposana-un-monitoringa-sistemas-izstra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7227A9E-D4AD-4429-B816-A02FB56EF08D}">
  <ds:schemaRefs>
    <ds:schemaRef ds:uri="http://schemas.openxmlformats.org/officeDocument/2006/bibliography"/>
  </ds:schemaRefs>
</ds:datastoreItem>
</file>

<file path=customXml/itemProps2.xml><?xml version="1.0" encoding="utf-8"?>
<ds:datastoreItem xmlns:ds="http://schemas.openxmlformats.org/officeDocument/2006/customXml" ds:itemID="{A906B6DA-ADE9-4347-A76C-432D1F4CC25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A2E68B2D-5A9A-4BC7-B342-391C8871E4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1122</Words>
  <Characters>8579</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2022-12-23T10:09:00Z</dcterms:created>
  <dcterms:modified xsi:type="dcterms:W3CDTF">2022-12-23T10:09:00Z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