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FD52" w14:textId="59CB404C" w:rsidR="00670BDF" w:rsidRPr="000B2F8A" w:rsidRDefault="000B2F8A" w:rsidP="00196ACC">
      <w:pPr>
        <w:rPr>
          <w:rFonts w:eastAsia="Calibri"/>
        </w:rPr>
      </w:pPr>
      <w:r w:rsidRPr="000B2F8A">
        <w:rPr>
          <w:rFonts w:eastAsia="Calibri"/>
        </w:rPr>
        <w:t>26.03.2024.</w:t>
      </w:r>
    </w:p>
    <w:p w14:paraId="5F4A62D9" w14:textId="77777777" w:rsidR="000B2F8A" w:rsidRPr="00071A36" w:rsidRDefault="000B2F8A" w:rsidP="00196ACC">
      <w:pPr>
        <w:rPr>
          <w:lang w:val="lv-LV"/>
        </w:rPr>
      </w:pPr>
    </w:p>
    <w:p w14:paraId="6326D672" w14:textId="05C90587" w:rsidR="00766759" w:rsidRPr="002D7C09" w:rsidRDefault="00670BDF" w:rsidP="00196ACC">
      <w:pPr>
        <w:rPr>
          <w:i/>
          <w:iCs/>
          <w:lang w:val="lv-LV"/>
        </w:rPr>
      </w:pPr>
      <w:r w:rsidRPr="002D7C09">
        <w:rPr>
          <w:i/>
          <w:iCs/>
          <w:lang w:val="lv-LV"/>
        </w:rPr>
        <w:t xml:space="preserve">Par </w:t>
      </w:r>
      <w:r w:rsidR="00766759" w:rsidRPr="002D7C09">
        <w:rPr>
          <w:i/>
          <w:iCs/>
          <w:lang w:val="lv-LV"/>
        </w:rPr>
        <w:t>atbilžu sniegšanu atklātā konkursā</w:t>
      </w:r>
    </w:p>
    <w:p w14:paraId="43C61526" w14:textId="37329875" w:rsidR="00670BDF" w:rsidRPr="002D7C09" w:rsidRDefault="00766759" w:rsidP="00196ACC">
      <w:pPr>
        <w:rPr>
          <w:i/>
          <w:iCs/>
          <w:lang w:val="lv-LV"/>
        </w:rPr>
      </w:pPr>
      <w:r w:rsidRPr="002D7C09">
        <w:rPr>
          <w:i/>
          <w:iCs/>
          <w:lang w:val="lv-LV"/>
        </w:rPr>
        <w:t>“Ēdināšanas pakalpojuma sniegšana RP SIA</w:t>
      </w:r>
    </w:p>
    <w:p w14:paraId="17C38F59" w14:textId="0C58097F" w:rsidR="00766759" w:rsidRPr="002D7C09" w:rsidRDefault="00766759" w:rsidP="00196ACC">
      <w:pPr>
        <w:rPr>
          <w:i/>
          <w:iCs/>
          <w:lang w:val="lv-LV"/>
        </w:rPr>
      </w:pPr>
      <w:r w:rsidRPr="002D7C09">
        <w:rPr>
          <w:i/>
          <w:iCs/>
          <w:lang w:val="lv-LV"/>
        </w:rPr>
        <w:t>“Rīgas satiksme” darbiniekiem”</w:t>
      </w:r>
    </w:p>
    <w:p w14:paraId="737AD853" w14:textId="246CA2BB" w:rsidR="0074421E" w:rsidRPr="002D7C09" w:rsidRDefault="00071A36" w:rsidP="00196ACC">
      <w:pPr>
        <w:rPr>
          <w:i/>
          <w:iCs/>
          <w:lang w:val="lv-LV"/>
        </w:rPr>
      </w:pPr>
      <w:r w:rsidRPr="002D7C09">
        <w:rPr>
          <w:i/>
          <w:iCs/>
          <w:lang w:val="lv-LV"/>
        </w:rPr>
        <w:t>i</w:t>
      </w:r>
      <w:r w:rsidR="00766759" w:rsidRPr="002D7C09">
        <w:rPr>
          <w:i/>
          <w:iCs/>
          <w:lang w:val="lv-LV"/>
        </w:rPr>
        <w:t>dentifikācijas Nr. RS/2024/6</w:t>
      </w:r>
    </w:p>
    <w:p w14:paraId="4BBC7A4D" w14:textId="77777777" w:rsidR="00071A36" w:rsidRPr="00071A36" w:rsidRDefault="00071A36" w:rsidP="00196ACC">
      <w:pPr>
        <w:rPr>
          <w:lang w:val="lv-LV"/>
        </w:rPr>
      </w:pPr>
    </w:p>
    <w:p w14:paraId="46016E04" w14:textId="0065C682" w:rsidR="002E4AB5" w:rsidRPr="00071A36" w:rsidRDefault="002E4AB5" w:rsidP="00196ACC">
      <w:pPr>
        <w:tabs>
          <w:tab w:val="right" w:pos="9355"/>
        </w:tabs>
        <w:ind w:firstLine="709"/>
        <w:jc w:val="both"/>
        <w:rPr>
          <w:lang w:val="lv-LV"/>
        </w:rPr>
      </w:pPr>
      <w:r w:rsidRPr="00071A36">
        <w:rPr>
          <w:lang w:val="lv-LV"/>
        </w:rPr>
        <w:t>Rīgas pašvaldības sabiedrības ar ierobežotu atbildību „Rīgas satiksme” Iepirkuma komisija (turpmāk – Pasūtītājs) iepirkuma gaitā no iespējamā pretendenta ir saņēmusi lūgumu sniegt atbild</w:t>
      </w:r>
      <w:r w:rsidR="00766759" w:rsidRPr="00071A36">
        <w:rPr>
          <w:lang w:val="lv-LV"/>
        </w:rPr>
        <w:t>es</w:t>
      </w:r>
      <w:r w:rsidRPr="00071A36">
        <w:rPr>
          <w:lang w:val="lv-LV"/>
        </w:rPr>
        <w:t xml:space="preserve"> uz šād</w:t>
      </w:r>
      <w:r w:rsidR="00766759" w:rsidRPr="00071A36">
        <w:rPr>
          <w:lang w:val="lv-LV"/>
        </w:rPr>
        <w:t>iem</w:t>
      </w:r>
      <w:r w:rsidRPr="00071A36">
        <w:rPr>
          <w:lang w:val="lv-LV"/>
        </w:rPr>
        <w:t xml:space="preserve"> jautājum</w:t>
      </w:r>
      <w:r w:rsidR="00766759" w:rsidRPr="00071A36">
        <w:rPr>
          <w:lang w:val="lv-LV"/>
        </w:rPr>
        <w:t>iem</w:t>
      </w:r>
      <w:r w:rsidRPr="00071A36">
        <w:rPr>
          <w:lang w:val="lv-LV"/>
        </w:rPr>
        <w:t>:</w:t>
      </w:r>
    </w:p>
    <w:p w14:paraId="0F1F5D3B" w14:textId="77777777" w:rsidR="00766759" w:rsidRPr="00766759" w:rsidRDefault="00766759" w:rsidP="00196ACC">
      <w:pPr>
        <w:ind w:firstLine="709"/>
        <w:jc w:val="both"/>
        <w:rPr>
          <w:rFonts w:eastAsiaTheme="minorHAnsi"/>
          <w:lang w:val="lv-LV" w:eastAsia="lv-LV"/>
        </w:rPr>
      </w:pPr>
    </w:p>
    <w:p w14:paraId="32C6AC57" w14:textId="0ACE472C" w:rsidR="002D7C09" w:rsidRPr="00766759" w:rsidRDefault="00766759" w:rsidP="00196ACC">
      <w:pPr>
        <w:ind w:firstLine="709"/>
        <w:jc w:val="both"/>
        <w:rPr>
          <w:rFonts w:eastAsiaTheme="minorHAnsi"/>
          <w:lang w:val="lv-LV" w:eastAsia="lv-LV"/>
        </w:rPr>
      </w:pPr>
      <w:r w:rsidRPr="00766759">
        <w:rPr>
          <w:rFonts w:eastAsiaTheme="minorHAnsi"/>
          <w:lang w:val="lv-LV" w:eastAsia="lv-LV"/>
        </w:rPr>
        <w:t xml:space="preserve">Pie vērtēšanas kritērijiem ar 3.prioritāti tiek vērtēti Zaļā publiskā iepirkuma (turpmāk – ZPI) prasību kritēriji. Kur tiek norādīts: </w:t>
      </w:r>
    </w:p>
    <w:p w14:paraId="1134C763" w14:textId="77777777" w:rsidR="00766759" w:rsidRPr="00766759" w:rsidRDefault="00766759" w:rsidP="00196ACC">
      <w:pPr>
        <w:jc w:val="both"/>
        <w:rPr>
          <w:rFonts w:eastAsiaTheme="minorHAnsi"/>
          <w:lang w:val="lv-LV" w:eastAsia="lv-LV"/>
        </w:rPr>
      </w:pPr>
      <w:r w:rsidRPr="00766759">
        <w:rPr>
          <w:rFonts w:eastAsiaTheme="minorHAnsi"/>
          <w:lang w:val="lv-LV" w:eastAsia="lv-LV"/>
        </w:rPr>
        <w:t xml:space="preserve">Tiek piešķirts 1 punkts par katru produktu, kas atbilst </w:t>
      </w:r>
      <w:r w:rsidRPr="00766759">
        <w:rPr>
          <w:rFonts w:eastAsiaTheme="minorHAnsi"/>
          <w:shd w:val="clear" w:color="auto" w:fill="FFFFFF"/>
          <w:lang w:val="lv-LV"/>
        </w:rPr>
        <w:t>Nacionālā pārtikas kvalitātes shēmas (turpmāk –</w:t>
      </w:r>
      <w:r w:rsidRPr="00766759">
        <w:rPr>
          <w:rFonts w:eastAsiaTheme="minorHAnsi"/>
          <w:lang w:val="lv-LV" w:eastAsia="lv-LV"/>
        </w:rPr>
        <w:t xml:space="preserve"> NPKS) prasībām, iekļaušanu 4 nedēļu ēdienkartēs no 3. produktu grupas – NPKS pēc pretendenta izvēles (3. pielikuma 3.3. tabula).</w:t>
      </w:r>
    </w:p>
    <w:p w14:paraId="30D1CC33" w14:textId="77777777" w:rsidR="00766759" w:rsidRPr="00766759" w:rsidRDefault="00766759" w:rsidP="00196ACC">
      <w:pPr>
        <w:jc w:val="both"/>
        <w:rPr>
          <w:rFonts w:eastAsiaTheme="minorHAnsi"/>
          <w:lang w:val="lv-LV" w:eastAsia="lv-LV"/>
        </w:rPr>
      </w:pPr>
      <w:r w:rsidRPr="00766759">
        <w:rPr>
          <w:rFonts w:eastAsiaTheme="minorHAnsi"/>
          <w:lang w:val="lv-LV" w:eastAsia="lv-LV"/>
        </w:rPr>
        <w:t>Iespēja izvēlēties jebkuru skaitu (skaits ietekmēs iegūstamo punktu skaitu) no 37 produktiem, kuru NPKS prasību nodrošināšana ēdienu gatavošanā ir ērtāka. Piedāvājot 38 un vairāk produktus, papildu punkti netiks piešķirti.</w:t>
      </w:r>
    </w:p>
    <w:p w14:paraId="7B9392F2" w14:textId="77777777" w:rsidR="00766759" w:rsidRPr="00766759" w:rsidRDefault="00766759" w:rsidP="00196ACC">
      <w:pPr>
        <w:jc w:val="both"/>
        <w:rPr>
          <w:rFonts w:eastAsiaTheme="minorHAnsi"/>
          <w:lang w:val="lv-LV" w:eastAsia="lv-LV"/>
        </w:rPr>
      </w:pPr>
    </w:p>
    <w:p w14:paraId="4428211D" w14:textId="093D48F5" w:rsidR="002D7C09" w:rsidRPr="002D7C09" w:rsidRDefault="002D7C09" w:rsidP="00196ACC">
      <w:pPr>
        <w:jc w:val="both"/>
        <w:rPr>
          <w:rFonts w:eastAsiaTheme="minorHAnsi"/>
          <w:u w:val="single"/>
          <w:lang w:val="lv-LV" w:eastAsia="lv-LV"/>
        </w:rPr>
      </w:pPr>
      <w:r>
        <w:rPr>
          <w:rFonts w:eastAsiaTheme="minorHAnsi"/>
          <w:b/>
          <w:bCs/>
          <w:u w:val="single"/>
          <w:lang w:val="lv-LV" w:eastAsia="lv-LV"/>
        </w:rPr>
        <w:t>1.</w:t>
      </w:r>
      <w:r w:rsidRPr="002D7C09">
        <w:rPr>
          <w:rFonts w:eastAsiaTheme="minorHAnsi"/>
          <w:b/>
          <w:bCs/>
          <w:u w:val="single"/>
          <w:lang w:val="lv-LV" w:eastAsia="lv-LV"/>
        </w:rPr>
        <w:t>j</w:t>
      </w:r>
      <w:r w:rsidR="00766759" w:rsidRPr="002D7C09">
        <w:rPr>
          <w:rFonts w:eastAsiaTheme="minorHAnsi"/>
          <w:b/>
          <w:bCs/>
          <w:u w:val="single"/>
          <w:lang w:val="lv-LV" w:eastAsia="lv-LV"/>
        </w:rPr>
        <w:t>autājums:</w:t>
      </w:r>
      <w:r w:rsidR="00766759" w:rsidRPr="002D7C09">
        <w:rPr>
          <w:rFonts w:eastAsiaTheme="minorHAnsi"/>
          <w:u w:val="single"/>
          <w:lang w:val="lv-LV" w:eastAsia="lv-LV"/>
        </w:rPr>
        <w:t xml:space="preserve"> </w:t>
      </w:r>
    </w:p>
    <w:p w14:paraId="6779469F" w14:textId="4F4FD195" w:rsidR="00766759" w:rsidRDefault="00766759" w:rsidP="00196ACC">
      <w:pPr>
        <w:ind w:left="-76"/>
        <w:jc w:val="both"/>
        <w:rPr>
          <w:rFonts w:eastAsiaTheme="minorHAnsi"/>
          <w:lang w:val="lv-LV" w:eastAsia="lv-LV"/>
        </w:rPr>
      </w:pPr>
      <w:r w:rsidRPr="002D7C09">
        <w:rPr>
          <w:rFonts w:eastAsiaTheme="minorHAnsi"/>
          <w:lang w:val="lv-LV" w:eastAsia="lv-LV"/>
        </w:rPr>
        <w:t>Ja punkti tiek piešķirti tikai par NPKS produktiem, kādēļ Excel produktu sarakstā (tabula 3.3.) ir paredzēta vieta arī BL un LPIA produktiem?</w:t>
      </w:r>
    </w:p>
    <w:p w14:paraId="67E61A23" w14:textId="77777777" w:rsidR="00196ACC" w:rsidRPr="002D7C09" w:rsidRDefault="00196ACC" w:rsidP="00196ACC">
      <w:pPr>
        <w:ind w:left="-76"/>
        <w:jc w:val="both"/>
        <w:rPr>
          <w:rFonts w:eastAsiaTheme="minorHAnsi"/>
          <w:lang w:val="lv-LV" w:eastAsia="lv-LV"/>
        </w:rPr>
      </w:pPr>
    </w:p>
    <w:p w14:paraId="6DA28B3B" w14:textId="77777777" w:rsidR="00766759" w:rsidRPr="002D7C09" w:rsidRDefault="00766759" w:rsidP="00196ACC">
      <w:pPr>
        <w:jc w:val="both"/>
        <w:rPr>
          <w:rFonts w:eastAsiaTheme="minorHAnsi"/>
          <w:b/>
          <w:bCs/>
          <w:u w:val="single"/>
          <w:lang w:val="lv-LV" w:eastAsia="lv-LV"/>
        </w:rPr>
      </w:pPr>
      <w:r w:rsidRPr="002D7C09">
        <w:rPr>
          <w:rFonts w:eastAsiaTheme="minorHAnsi"/>
          <w:b/>
          <w:bCs/>
          <w:u w:val="single"/>
          <w:lang w:val="lv-LV" w:eastAsia="lv-LV"/>
        </w:rPr>
        <w:t>Atbilde:</w:t>
      </w:r>
    </w:p>
    <w:p w14:paraId="0FC447CE" w14:textId="55924D4B" w:rsidR="00766759" w:rsidRDefault="00766759" w:rsidP="00196ACC">
      <w:pPr>
        <w:jc w:val="both"/>
        <w:rPr>
          <w:rFonts w:eastAsiaTheme="minorHAnsi"/>
          <w:lang w:val="lv-LV" w:eastAsia="lv-LV"/>
        </w:rPr>
      </w:pPr>
      <w:r w:rsidRPr="00766759">
        <w:rPr>
          <w:rFonts w:eastAsiaTheme="minorHAnsi"/>
          <w:lang w:val="lv-LV" w:eastAsia="lv-LV"/>
        </w:rPr>
        <w:t xml:space="preserve">Atbilstoši Nolikuma 22. punktā ietvertajā Saimnieciski visizdevīgākā piedāvājuma izvērtēšanas kritēriju tabulā 3.1. un 3.2. punktos ir paskaidrots, ka, vērtējot iesniegtās ēdienkartes un to atbilstību sezonalitātei (katram gadalaikam raksturīgo produktu izmantošana), </w:t>
      </w:r>
      <w:r w:rsidRPr="00766759">
        <w:rPr>
          <w:rFonts w:eastAsiaTheme="minorHAnsi"/>
          <w:u w:val="single"/>
          <w:lang w:val="lv-LV" w:eastAsia="lv-LV"/>
        </w:rPr>
        <w:t>ir iespējams iegūt papildu punktus</w:t>
      </w:r>
      <w:r w:rsidRPr="00766759">
        <w:rPr>
          <w:rFonts w:eastAsiaTheme="minorHAnsi"/>
          <w:lang w:val="lv-LV" w:eastAsia="lv-LV"/>
        </w:rPr>
        <w:t xml:space="preserve"> par tajās iekļautajiem </w:t>
      </w:r>
      <w:r w:rsidR="003737B7">
        <w:rPr>
          <w:rFonts w:eastAsiaTheme="minorHAnsi"/>
          <w:lang w:val="lv-LV" w:eastAsia="lv-LV"/>
        </w:rPr>
        <w:t>NPKS</w:t>
      </w:r>
      <w:r w:rsidRPr="00766759">
        <w:rPr>
          <w:rFonts w:eastAsiaTheme="minorHAnsi"/>
          <w:lang w:val="lv-LV" w:eastAsia="lv-LV"/>
        </w:rPr>
        <w:t xml:space="preserve"> un LPIA produktiem. Savukārt 3.1. un 3.2. tabulās norādītie BL un NPKS produkti </w:t>
      </w:r>
      <w:r w:rsidRPr="00766759">
        <w:rPr>
          <w:rFonts w:eastAsiaTheme="minorHAnsi"/>
          <w:u w:val="single"/>
          <w:lang w:val="lv-LV" w:eastAsia="lv-LV"/>
        </w:rPr>
        <w:t>ir jāietver obligāti</w:t>
      </w:r>
      <w:r w:rsidRPr="00766759">
        <w:rPr>
          <w:rFonts w:eastAsiaTheme="minorHAnsi"/>
          <w:lang w:val="lv-LV" w:eastAsia="lv-LV"/>
        </w:rPr>
        <w:t>, jo to paredz 2017. gada 20. jūnija Ministru kabineta noteikumu Nr. 353 “Prasības zaļajam publiskajam iepirkumam un to piemērošanas kārtība”.</w:t>
      </w:r>
    </w:p>
    <w:p w14:paraId="07429F4F" w14:textId="77777777" w:rsidR="002D7C09" w:rsidRPr="00766759" w:rsidRDefault="002D7C09" w:rsidP="00196ACC">
      <w:pPr>
        <w:jc w:val="both"/>
        <w:rPr>
          <w:rFonts w:eastAsiaTheme="minorHAnsi"/>
          <w:lang w:val="lv-LV" w:eastAsia="lv-LV"/>
        </w:rPr>
      </w:pPr>
    </w:p>
    <w:p w14:paraId="78035691" w14:textId="77777777" w:rsidR="00766759" w:rsidRPr="00766759" w:rsidRDefault="00766759" w:rsidP="00196ACC">
      <w:pPr>
        <w:jc w:val="both"/>
        <w:rPr>
          <w:rFonts w:eastAsiaTheme="minorHAnsi"/>
          <w:lang w:val="lv-LV" w:eastAsia="lv-LV"/>
        </w:rPr>
      </w:pPr>
      <w:r w:rsidRPr="00766759">
        <w:rPr>
          <w:rFonts w:eastAsiaTheme="minorHAnsi"/>
          <w:lang w:val="lv-LV" w:eastAsia="lv-LV"/>
        </w:rPr>
        <w:t>Vēršam uzmanību, ka šī Nolikuma izpratnē 4 gadalaiku ēdienkaršu iesniegšana izvērtēšanai ir obligāta un sastāda daļu no tehniskā piedāvājuma, taču saimnieciskā izdevīguma vērtēšanai 3.3. tabulā ir ietverti gan NPKS gan LPIA produkti, kas paplašina potenciālo pretendentu iespējas iesniegt vairāk augstākas kvalitātes produktus, par to nopelnot papildus punktus. Ņemot vērā Latvijas klimatiskos apstākļus, sezonalitāti vērtēs 3 gadalaiku ēdienkartēs, jo pavasarī vietējie sezonas augļi un dārzeņi par konkurētspējīgām cenām vēl nav pieejami.</w:t>
      </w:r>
    </w:p>
    <w:p w14:paraId="331CE360" w14:textId="77777777" w:rsidR="00766759" w:rsidRDefault="00766759" w:rsidP="00196ACC">
      <w:pPr>
        <w:jc w:val="both"/>
        <w:rPr>
          <w:rFonts w:eastAsiaTheme="minorHAnsi"/>
          <w:lang w:val="lv-LV" w:eastAsia="lv-LV"/>
        </w:rPr>
      </w:pPr>
    </w:p>
    <w:p w14:paraId="05DD1DE2" w14:textId="77777777" w:rsidR="002D7C09" w:rsidRDefault="002D7C09" w:rsidP="00196ACC">
      <w:pPr>
        <w:jc w:val="both"/>
        <w:rPr>
          <w:rFonts w:eastAsiaTheme="minorHAnsi"/>
          <w:lang w:val="lv-LV" w:eastAsia="lv-LV"/>
        </w:rPr>
      </w:pPr>
    </w:p>
    <w:p w14:paraId="189CD073" w14:textId="77777777" w:rsidR="00C05014" w:rsidRDefault="00C05014" w:rsidP="00196ACC">
      <w:pPr>
        <w:jc w:val="both"/>
        <w:rPr>
          <w:rFonts w:eastAsiaTheme="minorHAnsi"/>
          <w:lang w:val="lv-LV" w:eastAsia="lv-LV"/>
        </w:rPr>
      </w:pPr>
    </w:p>
    <w:p w14:paraId="2F64AF2F" w14:textId="77777777" w:rsidR="00C05014" w:rsidRPr="00766759" w:rsidRDefault="00C05014" w:rsidP="00196ACC">
      <w:pPr>
        <w:jc w:val="both"/>
        <w:rPr>
          <w:rFonts w:eastAsiaTheme="minorHAnsi"/>
          <w:lang w:val="lv-LV" w:eastAsia="lv-LV"/>
        </w:rPr>
      </w:pPr>
    </w:p>
    <w:p w14:paraId="51B8B8F4" w14:textId="77777777" w:rsidR="002D7C09" w:rsidRDefault="002D7C09" w:rsidP="00196ACC">
      <w:pPr>
        <w:jc w:val="both"/>
        <w:rPr>
          <w:rFonts w:eastAsiaTheme="minorHAnsi"/>
          <w:lang w:val="lv-LV" w:eastAsia="lv-LV"/>
        </w:rPr>
      </w:pPr>
      <w:r w:rsidRPr="002D7C09">
        <w:rPr>
          <w:rFonts w:eastAsiaTheme="minorHAnsi"/>
          <w:b/>
          <w:bCs/>
          <w:u w:val="single"/>
          <w:lang w:val="lv-LV" w:eastAsia="lv-LV"/>
        </w:rPr>
        <w:lastRenderedPageBreak/>
        <w:t>2.j</w:t>
      </w:r>
      <w:r w:rsidR="00766759" w:rsidRPr="002D7C09">
        <w:rPr>
          <w:rFonts w:eastAsiaTheme="minorHAnsi"/>
          <w:b/>
          <w:bCs/>
          <w:u w:val="single"/>
          <w:lang w:val="lv-LV" w:eastAsia="lv-LV"/>
        </w:rPr>
        <w:t>autājums:</w:t>
      </w:r>
      <w:r w:rsidR="00766759" w:rsidRPr="00766759">
        <w:rPr>
          <w:rFonts w:eastAsiaTheme="minorHAnsi"/>
          <w:lang w:val="lv-LV" w:eastAsia="lv-LV"/>
        </w:rPr>
        <w:t xml:space="preserve"> </w:t>
      </w:r>
    </w:p>
    <w:p w14:paraId="764BA686" w14:textId="182EAD3D" w:rsidR="00766759" w:rsidRDefault="00766759" w:rsidP="00196ACC">
      <w:pPr>
        <w:jc w:val="both"/>
        <w:rPr>
          <w:rFonts w:eastAsiaTheme="minorHAnsi"/>
          <w:lang w:val="lv-LV" w:eastAsia="lv-LV"/>
        </w:rPr>
      </w:pPr>
      <w:r w:rsidRPr="00766759">
        <w:rPr>
          <w:rFonts w:eastAsiaTheme="minorHAnsi"/>
          <w:lang w:val="lv-LV" w:eastAsia="lv-LV"/>
        </w:rPr>
        <w:t>Kādēļ 3.3. tabulas apakšā tiek summēts kopējais produktu skaits BL, NPKS un LPIA, ja punkti tiek piešķirti tikai par NPKS produktiem?</w:t>
      </w:r>
    </w:p>
    <w:p w14:paraId="63D25B32" w14:textId="77777777" w:rsidR="0089545F" w:rsidRPr="00766759" w:rsidRDefault="0089545F" w:rsidP="00196ACC">
      <w:pPr>
        <w:jc w:val="both"/>
        <w:rPr>
          <w:rFonts w:eastAsiaTheme="minorHAnsi"/>
          <w:lang w:val="lv-LV" w:eastAsia="lv-LV"/>
        </w:rPr>
      </w:pPr>
    </w:p>
    <w:p w14:paraId="7312F5F3" w14:textId="77777777" w:rsidR="00766759" w:rsidRPr="002D7C09" w:rsidRDefault="00766759" w:rsidP="00196ACC">
      <w:pPr>
        <w:rPr>
          <w:rFonts w:eastAsiaTheme="minorHAnsi"/>
          <w:b/>
          <w:bCs/>
          <w:u w:val="single"/>
          <w:lang w:val="lv-LV" w:eastAsia="lv-LV"/>
        </w:rPr>
      </w:pPr>
      <w:r w:rsidRPr="002D7C09">
        <w:rPr>
          <w:rFonts w:eastAsiaTheme="minorHAnsi"/>
          <w:b/>
          <w:bCs/>
          <w:u w:val="single"/>
          <w:lang w:val="lv-LV" w:eastAsia="lv-LV"/>
        </w:rPr>
        <w:t>Atbilde:</w:t>
      </w:r>
    </w:p>
    <w:p w14:paraId="3972523B" w14:textId="636BCCD6" w:rsidR="00766759" w:rsidRPr="00766759" w:rsidRDefault="00766759" w:rsidP="00196ACC">
      <w:pPr>
        <w:jc w:val="both"/>
        <w:rPr>
          <w:rFonts w:eastAsiaTheme="minorHAnsi"/>
          <w:lang w:val="lv-LV" w:eastAsia="lv-LV"/>
        </w:rPr>
      </w:pPr>
      <w:r w:rsidRPr="00766759">
        <w:rPr>
          <w:rFonts w:eastAsiaTheme="minorHAnsi"/>
          <w:lang w:val="lv-LV" w:eastAsia="lv-LV"/>
        </w:rPr>
        <w:t xml:space="preserve">Lai varētu saskaitīt, cik papildus produktus no </w:t>
      </w:r>
      <w:r w:rsidR="003737B7">
        <w:rPr>
          <w:rFonts w:eastAsiaTheme="minorHAnsi"/>
          <w:lang w:val="lv-LV" w:eastAsia="lv-LV"/>
        </w:rPr>
        <w:t>NPKS</w:t>
      </w:r>
      <w:r w:rsidRPr="00766759">
        <w:rPr>
          <w:rFonts w:eastAsiaTheme="minorHAnsi"/>
          <w:lang w:val="lv-LV" w:eastAsia="lv-LV"/>
        </w:rPr>
        <w:t xml:space="preserve"> un LPIA piedāvās, vai un cik papildus punktus saņems, vērtējot ēdienkaršu sezonalitāti (skat. atbildi uz 1.jautājumu pēdējā rindkopa).</w:t>
      </w:r>
    </w:p>
    <w:p w14:paraId="71C96B16" w14:textId="77777777" w:rsidR="00766759" w:rsidRDefault="00766759" w:rsidP="00196ACC">
      <w:pPr>
        <w:jc w:val="both"/>
        <w:rPr>
          <w:rFonts w:eastAsiaTheme="minorHAnsi"/>
          <w:lang w:val="lv-LV" w:eastAsia="lv-LV"/>
        </w:rPr>
      </w:pPr>
    </w:p>
    <w:p w14:paraId="5E2E067E" w14:textId="77777777" w:rsidR="002D7C09" w:rsidRPr="00766759" w:rsidRDefault="002D7C09" w:rsidP="00196ACC">
      <w:pPr>
        <w:jc w:val="both"/>
        <w:rPr>
          <w:rFonts w:eastAsiaTheme="minorHAnsi"/>
          <w:lang w:val="lv-LV" w:eastAsia="lv-LV"/>
        </w:rPr>
      </w:pPr>
    </w:p>
    <w:p w14:paraId="3D0F094F" w14:textId="77777777" w:rsidR="002D7C09" w:rsidRPr="002D7C09" w:rsidRDefault="002D7C09" w:rsidP="00196ACC">
      <w:pPr>
        <w:jc w:val="both"/>
        <w:rPr>
          <w:rFonts w:eastAsiaTheme="minorHAnsi"/>
          <w:b/>
          <w:bCs/>
          <w:u w:val="single"/>
          <w:lang w:val="lv-LV" w:eastAsia="lv-LV"/>
        </w:rPr>
      </w:pPr>
      <w:r w:rsidRPr="002D7C09">
        <w:rPr>
          <w:rFonts w:eastAsiaTheme="minorHAnsi"/>
          <w:b/>
          <w:bCs/>
          <w:u w:val="single"/>
          <w:lang w:val="lv-LV" w:eastAsia="lv-LV"/>
        </w:rPr>
        <w:t>3.j</w:t>
      </w:r>
      <w:r w:rsidR="00766759" w:rsidRPr="002D7C09">
        <w:rPr>
          <w:rFonts w:eastAsiaTheme="minorHAnsi"/>
          <w:b/>
          <w:bCs/>
          <w:u w:val="single"/>
          <w:lang w:val="lv-LV" w:eastAsia="lv-LV"/>
        </w:rPr>
        <w:t xml:space="preserve">autājums: </w:t>
      </w:r>
    </w:p>
    <w:p w14:paraId="571E1A09" w14:textId="7D303285" w:rsidR="00766759" w:rsidRDefault="00766759" w:rsidP="00196ACC">
      <w:pPr>
        <w:jc w:val="both"/>
        <w:rPr>
          <w:rFonts w:eastAsiaTheme="minorHAnsi"/>
          <w:lang w:val="lv-LV" w:eastAsia="lv-LV"/>
        </w:rPr>
      </w:pPr>
      <w:r w:rsidRPr="00766759">
        <w:rPr>
          <w:rFonts w:eastAsiaTheme="minorHAnsi"/>
          <w:lang w:val="lv-LV" w:eastAsia="lv-LV"/>
        </w:rPr>
        <w:t>Vai pretendentam, kurš savā piedāvājumā, piemēram, iekļauj kefīru BL un NPKS – ir priekšrocības pret pretendentu, kurš iekļauj tikai NPKS kefīru?</w:t>
      </w:r>
    </w:p>
    <w:p w14:paraId="0DE6E8D8" w14:textId="77777777" w:rsidR="0089545F" w:rsidRPr="00766759" w:rsidRDefault="0089545F" w:rsidP="00196ACC">
      <w:pPr>
        <w:jc w:val="both"/>
        <w:rPr>
          <w:rFonts w:eastAsiaTheme="minorHAnsi"/>
          <w:lang w:val="lv-LV" w:eastAsia="lv-LV"/>
        </w:rPr>
      </w:pPr>
    </w:p>
    <w:p w14:paraId="11BF67EA" w14:textId="77777777" w:rsidR="00766759" w:rsidRPr="002D7C09" w:rsidRDefault="00766759" w:rsidP="00196ACC">
      <w:pPr>
        <w:rPr>
          <w:rFonts w:eastAsiaTheme="minorHAnsi"/>
          <w:b/>
          <w:bCs/>
          <w:u w:val="single"/>
          <w:lang w:val="lv-LV" w:eastAsia="lv-LV"/>
        </w:rPr>
      </w:pPr>
      <w:r w:rsidRPr="002D7C09">
        <w:rPr>
          <w:rFonts w:eastAsiaTheme="minorHAnsi"/>
          <w:b/>
          <w:bCs/>
          <w:u w:val="single"/>
          <w:lang w:val="lv-LV" w:eastAsia="lv-LV"/>
        </w:rPr>
        <w:t>Atbilde:</w:t>
      </w:r>
    </w:p>
    <w:p w14:paraId="770238EC" w14:textId="77777777" w:rsidR="00766759" w:rsidRPr="00766759" w:rsidRDefault="00766759" w:rsidP="00196ACC">
      <w:pPr>
        <w:jc w:val="both"/>
        <w:rPr>
          <w:rFonts w:eastAsiaTheme="minorHAnsi"/>
          <w:lang w:val="lv-LV" w:eastAsia="lv-LV"/>
        </w:rPr>
      </w:pPr>
      <w:r w:rsidRPr="00766759">
        <w:rPr>
          <w:rFonts w:eastAsiaTheme="minorHAnsi"/>
          <w:lang w:val="lv-LV" w:eastAsia="lv-LV"/>
        </w:rPr>
        <w:t xml:space="preserve">Kefīrs BL 25% apmērā no piedāvātā apjoma </w:t>
      </w:r>
      <w:r w:rsidRPr="00766759">
        <w:rPr>
          <w:rFonts w:eastAsiaTheme="minorHAnsi"/>
          <w:u w:val="single"/>
          <w:lang w:val="lv-LV" w:eastAsia="lv-LV"/>
        </w:rPr>
        <w:t>ir obligāts</w:t>
      </w:r>
      <w:r w:rsidRPr="00766759">
        <w:rPr>
          <w:rFonts w:eastAsiaTheme="minorHAnsi"/>
          <w:lang w:val="lv-LV" w:eastAsia="lv-LV"/>
        </w:rPr>
        <w:t>, respektīvi, to nepiedāvājot netiek izpildītas 2017. gada 20. jūnija Ministru kabineta noteikumu Nr. 353 “Prasības zaļajam publiskajam iepirkumam un to piemērošanas kārtība” prasības, un pretendenta piedāvājums netiks atzīts par atbilstošu tehniskās specifikācijas prasībām, tādejādi netiks virzīts uz piedāvājumu salīdzināšanu pēc piedāvājumu vērtēšanas kritērija.</w:t>
      </w:r>
    </w:p>
    <w:p w14:paraId="3AE1F76D" w14:textId="77777777" w:rsidR="00766759" w:rsidRPr="00766759" w:rsidRDefault="00766759" w:rsidP="00196ACC">
      <w:pPr>
        <w:jc w:val="both"/>
        <w:rPr>
          <w:rFonts w:eastAsiaTheme="minorHAnsi"/>
          <w:lang w:val="lv-LV" w:eastAsia="lv-LV"/>
        </w:rPr>
      </w:pPr>
      <w:r w:rsidRPr="00766759">
        <w:rPr>
          <w:rFonts w:eastAsiaTheme="minorHAnsi"/>
          <w:lang w:val="lv-LV" w:eastAsia="lv-LV"/>
        </w:rPr>
        <w:t xml:space="preserve">Par papildu kefīra (kas ir ārpus BL 25% obligātā apjoma), ar BL vai citu NPKS produktu marķējumu (ZK, BK), iekļaušanu ēdienkartē, ir </w:t>
      </w:r>
      <w:r w:rsidRPr="00766759">
        <w:rPr>
          <w:rFonts w:eastAsiaTheme="minorHAnsi"/>
          <w:u w:val="single"/>
          <w:lang w:val="lv-LV" w:eastAsia="lv-LV"/>
        </w:rPr>
        <w:t xml:space="preserve">iespējams nopelnīt papildus punktus, atbilstoši nolikuma 22. punktā ietvertajā tabulā </w:t>
      </w:r>
      <w:r w:rsidRPr="00766759">
        <w:rPr>
          <w:rFonts w:eastAsiaTheme="minorHAnsi"/>
          <w:lang w:val="lv-LV" w:eastAsia="lv-LV"/>
        </w:rPr>
        <w:t xml:space="preserve">3.1. punktā noteiktajiem vērtēšanas principiem. </w:t>
      </w:r>
    </w:p>
    <w:p w14:paraId="09DDE917" w14:textId="77777777" w:rsidR="00766759" w:rsidRPr="00766759" w:rsidRDefault="00766759" w:rsidP="00196ACC">
      <w:pPr>
        <w:jc w:val="both"/>
        <w:rPr>
          <w:rFonts w:eastAsiaTheme="minorHAnsi"/>
          <w:lang w:val="lv-LV" w:eastAsia="lv-LV"/>
        </w:rPr>
      </w:pPr>
    </w:p>
    <w:p w14:paraId="15F12F46" w14:textId="77777777" w:rsidR="002D7C09" w:rsidRDefault="002D7C09" w:rsidP="00196ACC">
      <w:pPr>
        <w:jc w:val="both"/>
        <w:rPr>
          <w:rFonts w:eastAsiaTheme="minorHAnsi"/>
          <w:lang w:val="lv-LV" w:eastAsia="lv-LV"/>
        </w:rPr>
      </w:pPr>
    </w:p>
    <w:p w14:paraId="49BEB609" w14:textId="77777777" w:rsidR="002D7C09" w:rsidRPr="002D7C09" w:rsidRDefault="002D7C09" w:rsidP="00196ACC">
      <w:pPr>
        <w:jc w:val="both"/>
        <w:rPr>
          <w:rFonts w:eastAsiaTheme="minorHAnsi"/>
          <w:b/>
          <w:bCs/>
          <w:u w:val="single"/>
          <w:lang w:val="lv-LV" w:eastAsia="lv-LV"/>
        </w:rPr>
      </w:pPr>
      <w:r w:rsidRPr="002D7C09">
        <w:rPr>
          <w:rFonts w:eastAsiaTheme="minorHAnsi"/>
          <w:b/>
          <w:bCs/>
          <w:u w:val="single"/>
          <w:lang w:val="lv-LV" w:eastAsia="lv-LV"/>
        </w:rPr>
        <w:t>4.j</w:t>
      </w:r>
      <w:r w:rsidR="00766759" w:rsidRPr="002D7C09">
        <w:rPr>
          <w:rFonts w:eastAsiaTheme="minorHAnsi"/>
          <w:b/>
          <w:bCs/>
          <w:u w:val="single"/>
          <w:lang w:val="lv-LV" w:eastAsia="lv-LV"/>
        </w:rPr>
        <w:t xml:space="preserve">autājums: </w:t>
      </w:r>
    </w:p>
    <w:p w14:paraId="43C2DCC8" w14:textId="001F3EF4" w:rsidR="00766759" w:rsidRDefault="00766759" w:rsidP="00196ACC">
      <w:pPr>
        <w:jc w:val="both"/>
        <w:rPr>
          <w:rFonts w:eastAsiaTheme="minorHAnsi"/>
          <w:lang w:val="lv-LV" w:eastAsia="lv-LV"/>
        </w:rPr>
      </w:pPr>
      <w:r w:rsidRPr="00766759">
        <w:rPr>
          <w:rFonts w:eastAsiaTheme="minorHAnsi"/>
          <w:lang w:val="lv-LV" w:eastAsia="lv-LV"/>
        </w:rPr>
        <w:t>Vai pretendentam, kurš savā piedāvājumā, piemēram, iekļauj kefīru BL no diviem dažādiem ražotājiem un NPKS kefīru no diviem dažādiem ražotājiem – ir priekšrocības pret pretendentu, kurš iekļauj tikai vienu BL un vienu NPKS kefīra ražotāju?</w:t>
      </w:r>
    </w:p>
    <w:p w14:paraId="24A501DE" w14:textId="77777777" w:rsidR="0089545F" w:rsidRPr="00766759" w:rsidRDefault="0089545F" w:rsidP="00196ACC">
      <w:pPr>
        <w:jc w:val="both"/>
        <w:rPr>
          <w:rFonts w:eastAsiaTheme="minorHAnsi"/>
          <w:lang w:val="lv-LV" w:eastAsia="lv-LV"/>
        </w:rPr>
      </w:pPr>
    </w:p>
    <w:p w14:paraId="06849F7F" w14:textId="77777777" w:rsidR="00766759" w:rsidRPr="002D7C09" w:rsidRDefault="00766759" w:rsidP="00196ACC">
      <w:pPr>
        <w:rPr>
          <w:rFonts w:eastAsiaTheme="minorHAnsi"/>
          <w:b/>
          <w:bCs/>
          <w:u w:val="single"/>
          <w:lang w:val="lv-LV" w:eastAsia="lv-LV"/>
        </w:rPr>
      </w:pPr>
      <w:r w:rsidRPr="002D7C09">
        <w:rPr>
          <w:rFonts w:eastAsiaTheme="minorHAnsi"/>
          <w:b/>
          <w:bCs/>
          <w:u w:val="single"/>
          <w:lang w:val="lv-LV" w:eastAsia="lv-LV"/>
        </w:rPr>
        <w:t>Atbilde:</w:t>
      </w:r>
    </w:p>
    <w:p w14:paraId="28E78A61" w14:textId="46BF1BC6" w:rsidR="00766759" w:rsidRPr="00766759" w:rsidRDefault="00766759" w:rsidP="00196ACC">
      <w:pPr>
        <w:jc w:val="both"/>
        <w:rPr>
          <w:rFonts w:eastAsiaTheme="minorHAnsi"/>
          <w:lang w:val="lv-LV" w:eastAsia="lv-LV"/>
        </w:rPr>
      </w:pPr>
      <w:r w:rsidRPr="00766759">
        <w:rPr>
          <w:rFonts w:eastAsiaTheme="minorHAnsi"/>
          <w:lang w:val="lv-LV" w:eastAsia="lv-LV"/>
        </w:rPr>
        <w:t xml:space="preserve">Kefīrs BL 25% apmērā no piedāvātā </w:t>
      </w:r>
      <w:r w:rsidRPr="00766759">
        <w:rPr>
          <w:rFonts w:eastAsiaTheme="minorHAnsi"/>
          <w:u w:val="single"/>
          <w:lang w:val="lv-LV" w:eastAsia="lv-LV"/>
        </w:rPr>
        <w:t>ir obligāts</w:t>
      </w:r>
      <w:r w:rsidRPr="00766759">
        <w:rPr>
          <w:rFonts w:eastAsiaTheme="minorHAnsi"/>
          <w:lang w:val="lv-LV" w:eastAsia="lv-LV"/>
        </w:rPr>
        <w:t>, respektīvi, to nepiedāvājot netiek izpildītas 2017. gada 20. jūnija Ministru kabineta noteikumu Nr. 353 “Prasības zaļajam publiskajam iepirkumam un to piemērošanas kārtība” prasības un nav svarīgi, no cik piegādātājiem tas tiek iepirkts. Papildus kefīram, kas nav obligātais BL 25%, par atlikušo apjomu, ne</w:t>
      </w:r>
      <w:r w:rsidR="00C874A1">
        <w:rPr>
          <w:rFonts w:eastAsiaTheme="minorHAnsi"/>
          <w:lang w:val="lv-LV" w:eastAsia="lv-LV"/>
        </w:rPr>
        <w:t>atkarīgi no piedāvātā ražotāju skaita</w:t>
      </w:r>
      <w:r w:rsidR="001D01B6">
        <w:rPr>
          <w:rFonts w:eastAsiaTheme="minorHAnsi"/>
          <w:lang w:val="lv-LV" w:eastAsia="lv-LV"/>
        </w:rPr>
        <w:t xml:space="preserve">, apjoma un NPKS/BL marķējuma tiks </w:t>
      </w:r>
      <w:r w:rsidRPr="00766759">
        <w:rPr>
          <w:rFonts w:eastAsiaTheme="minorHAnsi"/>
          <w:lang w:val="lv-LV" w:eastAsia="lv-LV"/>
        </w:rPr>
        <w:t>piešķirt</w:t>
      </w:r>
      <w:r w:rsidR="001D01B6">
        <w:rPr>
          <w:rFonts w:eastAsiaTheme="minorHAnsi"/>
          <w:lang w:val="lv-LV" w:eastAsia="lv-LV"/>
        </w:rPr>
        <w:t>s</w:t>
      </w:r>
      <w:r w:rsidRPr="00766759">
        <w:rPr>
          <w:rFonts w:eastAsiaTheme="minorHAnsi"/>
          <w:lang w:val="lv-LV" w:eastAsia="lv-LV"/>
        </w:rPr>
        <w:t xml:space="preserve"> 1 punkt</w:t>
      </w:r>
      <w:r w:rsidR="001D01B6">
        <w:rPr>
          <w:rFonts w:eastAsiaTheme="minorHAnsi"/>
          <w:lang w:val="lv-LV" w:eastAsia="lv-LV"/>
        </w:rPr>
        <w:t>s</w:t>
      </w:r>
      <w:r w:rsidRPr="00766759">
        <w:rPr>
          <w:rFonts w:eastAsiaTheme="minorHAnsi"/>
          <w:lang w:val="lv-LV" w:eastAsia="lv-LV"/>
        </w:rPr>
        <w:t>.</w:t>
      </w:r>
      <w:r w:rsidRPr="00766759">
        <w:rPr>
          <w:rFonts w:eastAsiaTheme="minorHAnsi"/>
          <w:lang w:val="lv-LV"/>
        </w:rPr>
        <w:t xml:space="preserve"> </w:t>
      </w:r>
    </w:p>
    <w:p w14:paraId="55B46A67" w14:textId="77777777" w:rsidR="00766759" w:rsidRDefault="00766759" w:rsidP="00196ACC">
      <w:pPr>
        <w:jc w:val="both"/>
        <w:rPr>
          <w:rFonts w:eastAsiaTheme="minorHAnsi"/>
          <w:lang w:val="lv-LV" w:eastAsia="lv-LV"/>
        </w:rPr>
      </w:pPr>
    </w:p>
    <w:p w14:paraId="23CE83B3" w14:textId="77777777" w:rsidR="002D7C09" w:rsidRPr="00766759" w:rsidRDefault="002D7C09" w:rsidP="00196ACC">
      <w:pPr>
        <w:jc w:val="both"/>
        <w:rPr>
          <w:rFonts w:eastAsiaTheme="minorHAnsi"/>
          <w:lang w:val="lv-LV" w:eastAsia="lv-LV"/>
        </w:rPr>
      </w:pPr>
    </w:p>
    <w:p w14:paraId="181E200C" w14:textId="77777777" w:rsidR="002D7C09" w:rsidRPr="002D7C09" w:rsidRDefault="002D7C09" w:rsidP="00196ACC">
      <w:pPr>
        <w:jc w:val="both"/>
        <w:rPr>
          <w:rFonts w:eastAsiaTheme="minorHAnsi"/>
          <w:b/>
          <w:bCs/>
          <w:u w:val="single"/>
          <w:lang w:val="lv-LV" w:eastAsia="lv-LV"/>
        </w:rPr>
      </w:pPr>
      <w:r w:rsidRPr="002D7C09">
        <w:rPr>
          <w:rFonts w:eastAsiaTheme="minorHAnsi"/>
          <w:b/>
          <w:bCs/>
          <w:u w:val="single"/>
          <w:lang w:val="lv-LV" w:eastAsia="lv-LV"/>
        </w:rPr>
        <w:t>5.j</w:t>
      </w:r>
      <w:r w:rsidR="00766759" w:rsidRPr="002D7C09">
        <w:rPr>
          <w:rFonts w:eastAsiaTheme="minorHAnsi"/>
          <w:b/>
          <w:bCs/>
          <w:u w:val="single"/>
          <w:lang w:val="lv-LV" w:eastAsia="lv-LV"/>
        </w:rPr>
        <w:t xml:space="preserve">autājums: </w:t>
      </w:r>
    </w:p>
    <w:p w14:paraId="5B2176F8" w14:textId="06236D20" w:rsidR="00766759" w:rsidRDefault="00766759" w:rsidP="00196ACC">
      <w:pPr>
        <w:jc w:val="both"/>
        <w:rPr>
          <w:rFonts w:eastAsiaTheme="minorHAnsi"/>
          <w:lang w:val="lv-LV" w:eastAsia="lv-LV"/>
        </w:rPr>
      </w:pPr>
      <w:r w:rsidRPr="00766759">
        <w:rPr>
          <w:rFonts w:eastAsiaTheme="minorHAnsi"/>
          <w:lang w:val="lv-LV" w:eastAsia="lv-LV"/>
        </w:rPr>
        <w:t>Vai pretendentam, kurš savā piedāvājumā, pie produktu rindā pie gadalaiku ēdienkartē, kad produkts tiks izmantots (vasaras, rudens, ziemas) – norāda trīs gadalaikus ir priekšrocības pret pretendentu, kas norāda pie konkrēta produkta tikai vienu gadalaiku? Ja priekšrocības ir, lūdzu paskaidrot, kā tas tiek vērtēts.</w:t>
      </w:r>
    </w:p>
    <w:p w14:paraId="25C26892" w14:textId="77777777" w:rsidR="0089545F" w:rsidRPr="00766759" w:rsidRDefault="0089545F" w:rsidP="00196ACC">
      <w:pPr>
        <w:jc w:val="both"/>
        <w:rPr>
          <w:rFonts w:eastAsiaTheme="minorHAnsi"/>
          <w:lang w:val="lv-LV" w:eastAsia="lv-LV"/>
        </w:rPr>
      </w:pPr>
    </w:p>
    <w:p w14:paraId="379E180D" w14:textId="77777777" w:rsidR="00766759" w:rsidRPr="002D7C09" w:rsidRDefault="00766759" w:rsidP="00196ACC">
      <w:pPr>
        <w:rPr>
          <w:rFonts w:eastAsiaTheme="minorHAnsi"/>
          <w:b/>
          <w:bCs/>
          <w:u w:val="single"/>
          <w:lang w:val="lv-LV" w:eastAsia="lv-LV"/>
        </w:rPr>
      </w:pPr>
      <w:r w:rsidRPr="002D7C09">
        <w:rPr>
          <w:rFonts w:eastAsiaTheme="minorHAnsi"/>
          <w:b/>
          <w:bCs/>
          <w:u w:val="single"/>
          <w:lang w:val="lv-LV" w:eastAsia="lv-LV"/>
        </w:rPr>
        <w:t>Atbilde:</w:t>
      </w:r>
    </w:p>
    <w:p w14:paraId="470D8D2E" w14:textId="77777777" w:rsidR="00766759" w:rsidRPr="00766759" w:rsidRDefault="00766759" w:rsidP="00196ACC">
      <w:pPr>
        <w:jc w:val="both"/>
        <w:rPr>
          <w:rFonts w:eastAsiaTheme="minorHAnsi"/>
          <w:lang w:val="lv-LV"/>
        </w:rPr>
      </w:pPr>
      <w:r w:rsidRPr="00766759">
        <w:rPr>
          <w:rFonts w:eastAsiaTheme="minorHAnsi"/>
          <w:lang w:val="lv-LV" w:eastAsia="lv-LV"/>
        </w:rPr>
        <w:t xml:space="preserve">Lai nopelnītu papildu punktus, </w:t>
      </w:r>
      <w:r w:rsidRPr="00766759">
        <w:rPr>
          <w:rFonts w:eastAsiaTheme="minorHAnsi"/>
          <w:lang w:val="lv-LV"/>
        </w:rPr>
        <w:t xml:space="preserve">svarīgi, lai katrā no 3 (trīs) gadalaiku ēdienkartēm būtu izmantoti vismaz 6 produkti no 3.3. tabulas (MS Excel) saraksta, tad ēdienkarte saņem 1 punktu. Ja pie katra konkrēta produkta ir tikai 1 gadalaiks, tad jābūt izmantotiem vismaz 18 produktiem. Tas, vai pie produkta ir norādīti vairāki gadalaiki, nav būtiski. Garšaugi (sīpoli, ķiploki, utt.) var būt izmantoti visu gadalaiku ēdienkartēs. </w:t>
      </w:r>
    </w:p>
    <w:p w14:paraId="6DEDEB1C" w14:textId="77777777" w:rsidR="00766759" w:rsidRPr="00766759" w:rsidRDefault="00766759" w:rsidP="00196ACC">
      <w:pPr>
        <w:rPr>
          <w:rFonts w:eastAsiaTheme="minorHAnsi"/>
          <w:lang w:val="lv-LV"/>
        </w:rPr>
      </w:pPr>
    </w:p>
    <w:p w14:paraId="08590E52" w14:textId="53B12C66" w:rsidR="00766759" w:rsidRPr="00766759" w:rsidRDefault="00766759" w:rsidP="00196ACC">
      <w:pPr>
        <w:jc w:val="both"/>
        <w:rPr>
          <w:rFonts w:eastAsiaTheme="minorHAnsi"/>
          <w:lang w:val="lv-LV" w:eastAsia="lv-LV"/>
        </w:rPr>
      </w:pPr>
      <w:r w:rsidRPr="00071A36">
        <w:rPr>
          <w:rFonts w:eastAsiaTheme="minorHAnsi"/>
          <w:lang w:val="lv-LV" w:eastAsia="lv-LV"/>
        </w:rPr>
        <w:t>Papildus vēršam Jūsu uzmanību, ka š</w:t>
      </w:r>
      <w:r w:rsidRPr="00766759">
        <w:rPr>
          <w:rFonts w:eastAsiaTheme="minorHAnsi"/>
          <w:lang w:val="lv-LV" w:eastAsia="lv-LV"/>
        </w:rPr>
        <w:t xml:space="preserve">ī </w:t>
      </w:r>
      <w:r w:rsidR="00071A36" w:rsidRPr="00071A36">
        <w:rPr>
          <w:rFonts w:eastAsiaTheme="minorHAnsi"/>
          <w:lang w:val="lv-LV" w:eastAsia="lv-LV"/>
        </w:rPr>
        <w:t xml:space="preserve">atklāta konkursa </w:t>
      </w:r>
      <w:r w:rsidRPr="00766759">
        <w:rPr>
          <w:rFonts w:eastAsiaTheme="minorHAnsi"/>
          <w:lang w:val="lv-LV" w:eastAsia="lv-LV"/>
        </w:rPr>
        <w:t xml:space="preserve">nolikuma ietvaros </w:t>
      </w:r>
      <w:r w:rsidR="00071A36" w:rsidRPr="00071A36">
        <w:rPr>
          <w:rFonts w:eastAsiaTheme="minorHAnsi"/>
          <w:lang w:val="lv-LV" w:eastAsia="lv-LV"/>
        </w:rPr>
        <w:t xml:space="preserve">tiek </w:t>
      </w:r>
      <w:r w:rsidRPr="00766759">
        <w:rPr>
          <w:rFonts w:eastAsiaTheme="minorHAnsi"/>
          <w:lang w:val="lv-LV" w:eastAsia="lv-LV"/>
        </w:rPr>
        <w:t>lietoti šādi saīsinājumi</w:t>
      </w:r>
      <w:r w:rsidR="00071A36" w:rsidRPr="00071A36">
        <w:rPr>
          <w:rFonts w:eastAsiaTheme="minorHAnsi"/>
          <w:lang w:val="lv-LV" w:eastAsia="lv-LV"/>
        </w:rPr>
        <w:t xml:space="preserve">, kas tiek atšifrēti šādā </w:t>
      </w:r>
      <w:r w:rsidRPr="00766759">
        <w:rPr>
          <w:rFonts w:eastAsiaTheme="minorHAnsi"/>
          <w:lang w:val="lv-LV" w:eastAsia="lv-LV"/>
        </w:rPr>
        <w:t xml:space="preserve">izpratnē: </w:t>
      </w:r>
    </w:p>
    <w:p w14:paraId="5B871BF5" w14:textId="77777777" w:rsidR="00766759" w:rsidRPr="00766759" w:rsidRDefault="00766759" w:rsidP="00196ACC">
      <w:pPr>
        <w:jc w:val="both"/>
        <w:rPr>
          <w:rFonts w:eastAsiaTheme="minorHAnsi"/>
          <w:lang w:val="lv-LV" w:eastAsia="lv-LV"/>
        </w:rPr>
      </w:pPr>
      <w:r w:rsidRPr="00766759">
        <w:rPr>
          <w:rFonts w:eastAsiaTheme="minorHAnsi"/>
          <w:lang w:val="lv-LV" w:eastAsia="lv-LV"/>
        </w:rPr>
        <w:lastRenderedPageBreak/>
        <w:t>NPKS – nacionālās pārtikas kvalitātes shēma;</w:t>
      </w:r>
    </w:p>
    <w:p w14:paraId="69485A5F" w14:textId="77777777" w:rsidR="00766759" w:rsidRPr="00766759" w:rsidRDefault="00766759" w:rsidP="00196ACC">
      <w:pPr>
        <w:jc w:val="both"/>
        <w:rPr>
          <w:rFonts w:eastAsiaTheme="minorHAnsi"/>
          <w:lang w:val="lv-LV" w:eastAsia="lv-LV"/>
        </w:rPr>
      </w:pPr>
      <w:r w:rsidRPr="00766759">
        <w:rPr>
          <w:rFonts w:eastAsiaTheme="minorHAnsi"/>
          <w:lang w:val="lv-LV" w:eastAsia="lv-LV"/>
        </w:rPr>
        <w:t>BL – Bioloģiskie produkti (BL ir NPKS shēma);</w:t>
      </w:r>
    </w:p>
    <w:p w14:paraId="17BFDC96" w14:textId="77777777" w:rsidR="00766759" w:rsidRPr="00766759" w:rsidRDefault="00766759" w:rsidP="00196ACC">
      <w:pPr>
        <w:jc w:val="both"/>
        <w:rPr>
          <w:rFonts w:eastAsiaTheme="minorHAnsi"/>
          <w:lang w:val="lv-LV" w:eastAsia="lv-LV"/>
        </w:rPr>
      </w:pPr>
      <w:r w:rsidRPr="00766759">
        <w:rPr>
          <w:rFonts w:eastAsiaTheme="minorHAnsi"/>
          <w:lang w:val="lv-LV" w:eastAsia="lv-LV"/>
        </w:rPr>
        <w:t>ZK – ar Zaļo karoti marķēti produkti (ZK ir NPKS produkta shēma);</w:t>
      </w:r>
    </w:p>
    <w:p w14:paraId="367E1373" w14:textId="77777777" w:rsidR="00766759" w:rsidRPr="00766759" w:rsidRDefault="00766759" w:rsidP="00196ACC">
      <w:pPr>
        <w:jc w:val="both"/>
        <w:rPr>
          <w:rFonts w:eastAsiaTheme="minorHAnsi"/>
          <w:lang w:val="lv-LV" w:eastAsia="lv-LV"/>
        </w:rPr>
      </w:pPr>
      <w:r w:rsidRPr="00766759">
        <w:rPr>
          <w:rFonts w:eastAsiaTheme="minorHAnsi"/>
          <w:lang w:val="lv-LV" w:eastAsia="lv-LV"/>
        </w:rPr>
        <w:t>BK – ar Bordo karoti marķēti produkti (BK ir NPKS produkta shēma).</w:t>
      </w:r>
    </w:p>
    <w:p w14:paraId="76C6F9D3" w14:textId="77777777" w:rsidR="00160557" w:rsidRPr="00071A36" w:rsidRDefault="00160557" w:rsidP="00196ACC">
      <w:pPr>
        <w:jc w:val="both"/>
        <w:rPr>
          <w:rFonts w:eastAsiaTheme="minorHAnsi"/>
          <w:u w:val="single"/>
          <w:lang w:val="lv-LV"/>
        </w:rPr>
      </w:pPr>
    </w:p>
    <w:p w14:paraId="3602AB91" w14:textId="77777777" w:rsidR="002E4AB5" w:rsidRDefault="002E4AB5" w:rsidP="00196ACC">
      <w:pPr>
        <w:rPr>
          <w:lang w:val="lv-LV"/>
        </w:rPr>
      </w:pPr>
    </w:p>
    <w:p w14:paraId="34614CF5" w14:textId="77777777" w:rsidR="002D7C09" w:rsidRPr="00071A36" w:rsidRDefault="002D7C09" w:rsidP="00196ACC">
      <w:pPr>
        <w:rPr>
          <w:lang w:val="lv-LV"/>
        </w:rPr>
      </w:pPr>
    </w:p>
    <w:p w14:paraId="2984E36F" w14:textId="298CAD21" w:rsidR="006D00DD" w:rsidRPr="00071A36" w:rsidRDefault="002E4AB5" w:rsidP="00196ACC">
      <w:pPr>
        <w:rPr>
          <w:lang w:val="lv-LV"/>
        </w:rPr>
      </w:pPr>
      <w:r w:rsidRPr="00071A36">
        <w:rPr>
          <w:lang w:val="lv-LV"/>
        </w:rPr>
        <w:t>I</w:t>
      </w:r>
      <w:r w:rsidR="006D00DD" w:rsidRPr="00071A36">
        <w:rPr>
          <w:lang w:val="lv-LV"/>
        </w:rPr>
        <w:t xml:space="preserve">epirkumu komisijas priekšsēdētāja                                                         </w:t>
      </w:r>
      <w:r w:rsidR="00C10E71" w:rsidRPr="00071A36">
        <w:rPr>
          <w:lang w:val="lv-LV"/>
        </w:rPr>
        <w:t>Karīna Meiberga</w:t>
      </w:r>
    </w:p>
    <w:p w14:paraId="1788D072" w14:textId="77777777" w:rsidR="00C10E71" w:rsidRPr="006D00DD" w:rsidRDefault="00C10E71" w:rsidP="00196ACC">
      <w:pPr>
        <w:rPr>
          <w:lang w:val="lv-LV"/>
        </w:rPr>
      </w:pPr>
    </w:p>
    <w:p w14:paraId="45745476" w14:textId="1AD9176C" w:rsidR="001D43D0" w:rsidRDefault="001D43D0" w:rsidP="00196ACC">
      <w:pPr>
        <w:rPr>
          <w:lang w:val="lv-LV"/>
        </w:rPr>
      </w:pPr>
    </w:p>
    <w:sectPr w:rsidR="001D43D0" w:rsidSect="002E4AB5">
      <w:headerReference w:type="even" r:id="rId12"/>
      <w:footerReference w:type="default" r:id="rId13"/>
      <w:headerReference w:type="first" r:id="rId14"/>
      <w:pgSz w:w="11900" w:h="16840" w:code="9"/>
      <w:pgMar w:top="1134" w:right="851" w:bottom="1134" w:left="1701" w:header="0" w:footer="11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7ADD" w14:textId="77777777" w:rsidR="007F3B78" w:rsidRDefault="007F3B78">
      <w:r>
        <w:separator/>
      </w:r>
    </w:p>
  </w:endnote>
  <w:endnote w:type="continuationSeparator" w:id="0">
    <w:p w14:paraId="19784743" w14:textId="77777777" w:rsidR="007F3B78" w:rsidRDefault="007F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220695"/>
      <w:docPartObj>
        <w:docPartGallery w:val="Page Numbers (Bottom of Page)"/>
        <w:docPartUnique/>
      </w:docPartObj>
    </w:sdtPr>
    <w:sdtEndPr>
      <w:rPr>
        <w:noProof/>
      </w:rPr>
    </w:sdtEndPr>
    <w:sdtContent>
      <w:p w14:paraId="7F8AE322" w14:textId="25B266C7" w:rsidR="002E4AB5" w:rsidRDefault="002E4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E8ED9" w14:textId="77777777" w:rsidR="002E4AB5" w:rsidRDefault="002E4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F060" w14:textId="77777777" w:rsidR="007F3B78" w:rsidRDefault="007F3B78">
      <w:r>
        <w:separator/>
      </w:r>
    </w:p>
  </w:footnote>
  <w:footnote w:type="continuationSeparator" w:id="0">
    <w:p w14:paraId="5DC19F74" w14:textId="77777777" w:rsidR="007F3B78" w:rsidRDefault="007F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19EC9"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75DD5FAE" w:rsidR="00BA1D4B" w:rsidRDefault="00BA1D4B" w:rsidP="00BA1D4B">
    <w:pPr>
      <w:pStyle w:val="Header"/>
      <w:tabs>
        <w:tab w:val="left" w:pos="426"/>
        <w:tab w:val="left" w:pos="1418"/>
      </w:tabs>
      <w:jc w:val="both"/>
    </w:pPr>
    <w:bookmarkStart w:id="0" w:name="docDate"/>
    <w:bookmarkStart w:id="1" w:name="docNr"/>
    <w:bookmarkEnd w:id="0"/>
    <w:bookmarkEnd w:id="1"/>
  </w:p>
  <w:p w14:paraId="1C483108" w14:textId="77777777" w:rsidR="007F550C" w:rsidRDefault="007F550C" w:rsidP="00BA1D4B">
    <w:pPr>
      <w:pStyle w:val="Header"/>
      <w:tabs>
        <w:tab w:val="left" w:pos="426"/>
        <w:tab w:val="left" w:pos="141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5E49D6"/>
    <w:multiLevelType w:val="hybridMultilevel"/>
    <w:tmpl w:val="67FEDC08"/>
    <w:lvl w:ilvl="0" w:tplc="C0C4A258">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15827D4"/>
    <w:multiLevelType w:val="hybridMultilevel"/>
    <w:tmpl w:val="97CC0F8A"/>
    <w:lvl w:ilvl="0" w:tplc="68365562">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4561385">
    <w:abstractNumId w:val="0"/>
  </w:num>
  <w:num w:numId="2" w16cid:durableId="424351935">
    <w:abstractNumId w:val="2"/>
  </w:num>
  <w:num w:numId="3" w16cid:durableId="34028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60593"/>
    <w:rsid w:val="00071A36"/>
    <w:rsid w:val="00083E27"/>
    <w:rsid w:val="000B2F8A"/>
    <w:rsid w:val="001049EB"/>
    <w:rsid w:val="00131466"/>
    <w:rsid w:val="00160557"/>
    <w:rsid w:val="00176AEB"/>
    <w:rsid w:val="00196ACC"/>
    <w:rsid w:val="001B000D"/>
    <w:rsid w:val="001C1098"/>
    <w:rsid w:val="001D01B6"/>
    <w:rsid w:val="001D43D0"/>
    <w:rsid w:val="00233FCE"/>
    <w:rsid w:val="002D7C09"/>
    <w:rsid w:val="002E0214"/>
    <w:rsid w:val="002E4AB5"/>
    <w:rsid w:val="002E786C"/>
    <w:rsid w:val="00325A6F"/>
    <w:rsid w:val="003737B7"/>
    <w:rsid w:val="00384C24"/>
    <w:rsid w:val="003877B2"/>
    <w:rsid w:val="003A76FA"/>
    <w:rsid w:val="003B6D13"/>
    <w:rsid w:val="003C2FBA"/>
    <w:rsid w:val="004124BC"/>
    <w:rsid w:val="00446224"/>
    <w:rsid w:val="00454D63"/>
    <w:rsid w:val="00495061"/>
    <w:rsid w:val="004A0D6C"/>
    <w:rsid w:val="004B40D5"/>
    <w:rsid w:val="004B47A2"/>
    <w:rsid w:val="004C2BFF"/>
    <w:rsid w:val="004C2F01"/>
    <w:rsid w:val="004C4EA1"/>
    <w:rsid w:val="004D67C4"/>
    <w:rsid w:val="004F581B"/>
    <w:rsid w:val="005313A3"/>
    <w:rsid w:val="0054525F"/>
    <w:rsid w:val="005D3F37"/>
    <w:rsid w:val="005F3188"/>
    <w:rsid w:val="00611305"/>
    <w:rsid w:val="006339F1"/>
    <w:rsid w:val="00646065"/>
    <w:rsid w:val="00670BDF"/>
    <w:rsid w:val="00681D93"/>
    <w:rsid w:val="006874A7"/>
    <w:rsid w:val="00697421"/>
    <w:rsid w:val="006A672C"/>
    <w:rsid w:val="006D00DD"/>
    <w:rsid w:val="00712459"/>
    <w:rsid w:val="0074421E"/>
    <w:rsid w:val="00756CAE"/>
    <w:rsid w:val="00766759"/>
    <w:rsid w:val="00775381"/>
    <w:rsid w:val="007857EA"/>
    <w:rsid w:val="007875D1"/>
    <w:rsid w:val="007A34BE"/>
    <w:rsid w:val="007D62F7"/>
    <w:rsid w:val="007F3B78"/>
    <w:rsid w:val="007F550C"/>
    <w:rsid w:val="008034ED"/>
    <w:rsid w:val="00832355"/>
    <w:rsid w:val="008533C8"/>
    <w:rsid w:val="00855766"/>
    <w:rsid w:val="00862B0B"/>
    <w:rsid w:val="0089545F"/>
    <w:rsid w:val="008E3092"/>
    <w:rsid w:val="008E4C93"/>
    <w:rsid w:val="008F5532"/>
    <w:rsid w:val="00901C98"/>
    <w:rsid w:val="00904B48"/>
    <w:rsid w:val="009134FF"/>
    <w:rsid w:val="00931737"/>
    <w:rsid w:val="00A075D3"/>
    <w:rsid w:val="00A3285A"/>
    <w:rsid w:val="00A328D0"/>
    <w:rsid w:val="00A52673"/>
    <w:rsid w:val="00A55640"/>
    <w:rsid w:val="00A90154"/>
    <w:rsid w:val="00AA0E4F"/>
    <w:rsid w:val="00AB152E"/>
    <w:rsid w:val="00AD6E80"/>
    <w:rsid w:val="00B17037"/>
    <w:rsid w:val="00B37C6E"/>
    <w:rsid w:val="00B63B31"/>
    <w:rsid w:val="00B67B48"/>
    <w:rsid w:val="00BA177B"/>
    <w:rsid w:val="00BA1D4B"/>
    <w:rsid w:val="00BD2765"/>
    <w:rsid w:val="00C05014"/>
    <w:rsid w:val="00C10E71"/>
    <w:rsid w:val="00C2117D"/>
    <w:rsid w:val="00C84303"/>
    <w:rsid w:val="00C84969"/>
    <w:rsid w:val="00C874A1"/>
    <w:rsid w:val="00C950CD"/>
    <w:rsid w:val="00C96B4F"/>
    <w:rsid w:val="00CA73ED"/>
    <w:rsid w:val="00D43D83"/>
    <w:rsid w:val="00D81F1C"/>
    <w:rsid w:val="00D86507"/>
    <w:rsid w:val="00DA0C26"/>
    <w:rsid w:val="00DC6352"/>
    <w:rsid w:val="00E16FE5"/>
    <w:rsid w:val="00E3203C"/>
    <w:rsid w:val="00EB089E"/>
    <w:rsid w:val="00EC1C69"/>
    <w:rsid w:val="00EF0FF9"/>
    <w:rsid w:val="00F01C15"/>
    <w:rsid w:val="00F213A8"/>
    <w:rsid w:val="00F527AA"/>
    <w:rsid w:val="00F631D4"/>
    <w:rsid w:val="00F83C9D"/>
    <w:rsid w:val="00F84DED"/>
    <w:rsid w:val="00FC5094"/>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locked/>
    <w:rsid w:val="007F550C"/>
    <w:rPr>
      <w:color w:val="0563C1" w:themeColor="hyperlink"/>
      <w:u w:val="single"/>
    </w:rPr>
  </w:style>
  <w:style w:type="character" w:styleId="UnresolvedMention">
    <w:name w:val="Unresolved Mention"/>
    <w:basedOn w:val="DefaultParagraphFont"/>
    <w:uiPriority w:val="99"/>
    <w:semiHidden/>
    <w:unhideWhenUsed/>
    <w:rsid w:val="007F550C"/>
    <w:rPr>
      <w:color w:val="605E5C"/>
      <w:shd w:val="clear" w:color="auto" w:fill="E1DFDD"/>
    </w:rPr>
  </w:style>
  <w:style w:type="paragraph" w:styleId="ListParagraph">
    <w:name w:val="List Paragraph"/>
    <w:basedOn w:val="Normal"/>
    <w:uiPriority w:val="34"/>
    <w:qFormat/>
    <w:rsid w:val="002D7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76916">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9A47C064-5862-4640-A4BF-6E0ECA2A2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4695</Characters>
  <Application>Microsoft Office Word</Application>
  <DocSecurity>0</DocSecurity>
  <Lines>39</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3</cp:revision>
  <cp:lastPrinted>2021-09-09T02:05:00Z</cp:lastPrinted>
  <dcterms:created xsi:type="dcterms:W3CDTF">2024-03-26T13:30:00Z</dcterms:created>
  <dcterms:modified xsi:type="dcterms:W3CDTF">2024-03-26T13:31:00Z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