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EB30" w14:textId="77777777" w:rsidR="00896962" w:rsidRDefault="00896962" w:rsidP="00152882">
      <w:pPr>
        <w:jc w:val="right"/>
        <w:rPr>
          <w:i/>
          <w:iCs/>
          <w:lang w:val="lv-LV"/>
        </w:rPr>
      </w:pPr>
    </w:p>
    <w:p w14:paraId="361E2A01" w14:textId="77777777" w:rsidR="00713E87" w:rsidRPr="002742D6" w:rsidRDefault="00713E87" w:rsidP="00713E87">
      <w:pPr>
        <w:rPr>
          <w:i/>
          <w:iCs/>
          <w:lang w:val="lv-LV"/>
        </w:rPr>
      </w:pPr>
      <w:r w:rsidRPr="002742D6">
        <w:rPr>
          <w:i/>
          <w:iCs/>
          <w:lang w:val="lv-LV"/>
        </w:rPr>
        <w:t xml:space="preserve">Par atbilžu sniegšanu </w:t>
      </w:r>
    </w:p>
    <w:p w14:paraId="3E3E4786" w14:textId="66A0DA2E" w:rsidR="00713E87" w:rsidRPr="000321AC" w:rsidRDefault="00713E87" w:rsidP="00713E87">
      <w:pPr>
        <w:rPr>
          <w:i/>
          <w:iCs/>
          <w:lang w:val="lv-LV"/>
        </w:rPr>
      </w:pPr>
      <w:r w:rsidRPr="000321AC">
        <w:rPr>
          <w:i/>
          <w:iCs/>
          <w:lang w:val="lv-LV"/>
        </w:rPr>
        <w:t xml:space="preserve">par </w:t>
      </w:r>
      <w:r w:rsidR="00815510">
        <w:rPr>
          <w:i/>
          <w:iCs/>
          <w:lang w:val="lv-LV"/>
        </w:rPr>
        <w:t>iepirkuma procedūras</w:t>
      </w:r>
      <w:r w:rsidRPr="000321AC">
        <w:rPr>
          <w:i/>
          <w:iCs/>
          <w:lang w:val="lv-LV"/>
        </w:rPr>
        <w:t xml:space="preserve"> “</w:t>
      </w:r>
      <w:r w:rsidR="000321AC" w:rsidRPr="000321AC">
        <w:rPr>
          <w:i/>
          <w:iCs/>
          <w:lang w:val="lv-LV"/>
        </w:rPr>
        <w:t>Finanšu pārskata revīzijas un ilgtspējas ziņojuma apliecinājuma pakalpojumi</w:t>
      </w:r>
      <w:r w:rsidRPr="000321AC">
        <w:rPr>
          <w:i/>
          <w:iCs/>
          <w:lang w:val="lv-LV"/>
        </w:rPr>
        <w:t>” (ID Nr. RS/2026/</w:t>
      </w:r>
      <w:r w:rsidR="000321AC" w:rsidRPr="000321AC">
        <w:rPr>
          <w:i/>
          <w:iCs/>
          <w:lang w:val="lv-LV"/>
        </w:rPr>
        <w:t>29</w:t>
      </w:r>
      <w:r w:rsidRPr="000321AC">
        <w:rPr>
          <w:i/>
          <w:iCs/>
          <w:lang w:val="lv-LV"/>
        </w:rPr>
        <w:t>) nolikuma prasībām</w:t>
      </w:r>
    </w:p>
    <w:p w14:paraId="6DC509E5" w14:textId="77777777" w:rsidR="000C5391" w:rsidRDefault="000C5391" w:rsidP="000C5391">
      <w:pPr>
        <w:rPr>
          <w:i/>
          <w:iCs/>
          <w:lang w:val="lv-LV"/>
        </w:rPr>
      </w:pPr>
    </w:p>
    <w:p w14:paraId="06B1A3B8" w14:textId="2DA2F898" w:rsidR="005A7A9C" w:rsidRPr="000321AC" w:rsidRDefault="005A7A9C" w:rsidP="000321AC">
      <w:pPr>
        <w:ind w:right="-8" w:firstLine="720"/>
        <w:jc w:val="both"/>
        <w:rPr>
          <w:b/>
          <w:bCs/>
          <w:lang w:val="lv-LV"/>
        </w:rPr>
      </w:pPr>
      <w:r w:rsidRPr="00C4199D">
        <w:rPr>
          <w:lang w:val="lv-LV"/>
        </w:rPr>
        <w:t xml:space="preserve">Rīgas pašvaldības sabiedrības ar ierobežotu atbildību </w:t>
      </w:r>
      <w:r>
        <w:rPr>
          <w:lang w:val="lv-LV"/>
        </w:rPr>
        <w:t>“</w:t>
      </w:r>
      <w:r w:rsidRPr="00C4199D">
        <w:rPr>
          <w:lang w:val="lv-LV"/>
        </w:rPr>
        <w:t xml:space="preserve">Rīgas satiksme” Iepirkuma komisija (turpmāk – Pasūtītājs) no iespējamā </w:t>
      </w:r>
      <w:r>
        <w:rPr>
          <w:lang w:val="lv-LV"/>
        </w:rPr>
        <w:t>pretendenta</w:t>
      </w:r>
      <w:r w:rsidRPr="00C4199D">
        <w:rPr>
          <w:lang w:val="lv-LV"/>
        </w:rPr>
        <w:t xml:space="preserve"> ir saņēmusi vēstuli ar lūgumu sniegt skaidrojumu par </w:t>
      </w:r>
      <w:r>
        <w:rPr>
          <w:lang w:val="lv-LV"/>
        </w:rPr>
        <w:t>iepirkuma procedūras</w:t>
      </w:r>
      <w:r w:rsidRPr="00C4199D">
        <w:rPr>
          <w:lang w:val="lv-LV"/>
        </w:rPr>
        <w:t xml:space="preserve"> </w:t>
      </w:r>
      <w:r w:rsidRPr="00164D9C">
        <w:rPr>
          <w:lang w:val="lv-LV"/>
        </w:rPr>
        <w:t>“</w:t>
      </w:r>
      <w:r w:rsidR="000321AC" w:rsidRPr="000321AC">
        <w:rPr>
          <w:lang w:val="lv-LV"/>
        </w:rPr>
        <w:t>Finanšu pārskata revīzijas un ilgtspējas ziņojuma apliecinājuma pakalpojumi</w:t>
      </w:r>
      <w:r w:rsidRPr="000321AC">
        <w:rPr>
          <w:lang w:val="lv-LV"/>
        </w:rPr>
        <w:t>” (ID Nr. RS/2026/</w:t>
      </w:r>
      <w:r w:rsidR="000321AC" w:rsidRPr="000321AC">
        <w:rPr>
          <w:lang w:val="lv-LV"/>
        </w:rPr>
        <w:t>29</w:t>
      </w:r>
      <w:r w:rsidRPr="000321AC">
        <w:rPr>
          <w:i/>
          <w:iCs/>
          <w:lang w:val="lv-LV"/>
        </w:rPr>
        <w:t>)</w:t>
      </w:r>
      <w:r w:rsidRPr="002742D6">
        <w:rPr>
          <w:i/>
          <w:iCs/>
          <w:lang w:val="lv-LV"/>
        </w:rPr>
        <w:t xml:space="preserve"> </w:t>
      </w:r>
      <w:r w:rsidRPr="0001357C">
        <w:rPr>
          <w:lang w:val="lv-LV"/>
        </w:rPr>
        <w:t>nolikumā (turpmāk – Nolikums) ietvertajām prasībām.</w:t>
      </w:r>
    </w:p>
    <w:p w14:paraId="00850BCC" w14:textId="77777777" w:rsidR="005A7A9C" w:rsidRDefault="005A7A9C" w:rsidP="002779F5">
      <w:pPr>
        <w:ind w:right="-8"/>
        <w:jc w:val="both"/>
        <w:rPr>
          <w:lang w:val="lv-LV"/>
        </w:rPr>
      </w:pPr>
    </w:p>
    <w:p w14:paraId="11AFF91D" w14:textId="5FB66549" w:rsidR="002779F5" w:rsidRPr="004C200B" w:rsidRDefault="002779F5" w:rsidP="002779F5">
      <w:pPr>
        <w:ind w:right="-8"/>
        <w:jc w:val="both"/>
        <w:rPr>
          <w:b/>
          <w:bCs/>
          <w:lang w:val="lv-LV"/>
        </w:rPr>
      </w:pPr>
      <w:r w:rsidRPr="004C200B">
        <w:rPr>
          <w:b/>
          <w:bCs/>
          <w:lang w:val="lv-LV"/>
        </w:rPr>
        <w:t>1. jautājums</w:t>
      </w:r>
      <w:r w:rsidR="004C200B">
        <w:rPr>
          <w:b/>
          <w:bCs/>
          <w:lang w:val="lv-LV"/>
        </w:rPr>
        <w:t>:</w:t>
      </w:r>
    </w:p>
    <w:p w14:paraId="540C8A32" w14:textId="77777777" w:rsidR="005E2CD1" w:rsidRPr="005E2CD1" w:rsidRDefault="005E2CD1" w:rsidP="005E2CD1">
      <w:pPr>
        <w:jc w:val="both"/>
        <w:rPr>
          <w:rFonts w:eastAsia="Calibri"/>
          <w:lang w:val="lv-LV"/>
        </w:rPr>
      </w:pPr>
      <w:r w:rsidRPr="005E2CD1">
        <w:rPr>
          <w:rFonts w:eastAsia="Calibri"/>
          <w:lang w:val="lv-LV"/>
        </w:rPr>
        <w:t xml:space="preserve">Lūdzam apstiprināt, ka Pretendents drīkst balstīties uz apakšuzņemēja tehniskajām spējām, lai apliecinātu savu atbilstību Nolikuma 16.5. un 16.6. punkta kvalifikācijas prasībām.  </w:t>
      </w:r>
    </w:p>
    <w:p w14:paraId="047124C8" w14:textId="77777777" w:rsidR="001B73F0" w:rsidRDefault="001B73F0" w:rsidP="00AC79C5">
      <w:pPr>
        <w:jc w:val="both"/>
        <w:rPr>
          <w:b/>
          <w:bCs/>
          <w:lang w:val="lv-LV"/>
        </w:rPr>
      </w:pPr>
    </w:p>
    <w:p w14:paraId="740EBA09" w14:textId="323A5F92" w:rsidR="00AC79C5" w:rsidRPr="00DC3242" w:rsidRDefault="00AC79C5" w:rsidP="00AC79C5">
      <w:pPr>
        <w:jc w:val="both"/>
        <w:rPr>
          <w:b/>
          <w:bCs/>
          <w:lang w:val="lv-LV"/>
        </w:rPr>
      </w:pPr>
      <w:r w:rsidRPr="00DC3242">
        <w:rPr>
          <w:b/>
          <w:bCs/>
          <w:lang w:val="lv-LV"/>
        </w:rPr>
        <w:t>Atbilde:</w:t>
      </w:r>
    </w:p>
    <w:p w14:paraId="1D55BFB3" w14:textId="1CD38418" w:rsidR="0073791F" w:rsidRDefault="000D4653" w:rsidP="00DC3242">
      <w:pPr>
        <w:jc w:val="both"/>
        <w:rPr>
          <w:lang w:val="lv-LV"/>
        </w:rPr>
      </w:pPr>
      <w:r>
        <w:rPr>
          <w:lang w:val="lv-LV"/>
        </w:rPr>
        <w:t>Nolikuma 18.4. punkts paredz, ka</w:t>
      </w:r>
      <w:r w:rsidR="00F2182D">
        <w:rPr>
          <w:lang w:val="lv-LV"/>
        </w:rPr>
        <w:t xml:space="preserve">, </w:t>
      </w:r>
      <w:r w:rsidRPr="000D4653">
        <w:rPr>
          <w:i/>
          <w:iCs/>
          <w:lang w:val="lv-LV"/>
        </w:rPr>
        <w:t>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w:t>
      </w:r>
      <w:r>
        <w:rPr>
          <w:i/>
          <w:iCs/>
          <w:lang w:val="lv-LV"/>
        </w:rPr>
        <w:t xml:space="preserve"> </w:t>
      </w:r>
      <w:r>
        <w:rPr>
          <w:lang w:val="lv-LV"/>
        </w:rPr>
        <w:t xml:space="preserve">Līdz ar to pretendents var balstīties uz </w:t>
      </w:r>
      <w:r w:rsidR="00C3641F">
        <w:rPr>
          <w:lang w:val="lv-LV"/>
        </w:rPr>
        <w:t xml:space="preserve">citu personu iespējām apliecinot </w:t>
      </w:r>
      <w:r w:rsidR="00901EA6">
        <w:rPr>
          <w:lang w:val="lv-LV"/>
        </w:rPr>
        <w:t>atbilstību Nolikuma 16.5. un 16.6. punkt</w:t>
      </w:r>
      <w:r w:rsidR="00CA54E5">
        <w:rPr>
          <w:lang w:val="lv-LV"/>
        </w:rPr>
        <w:t>os</w:t>
      </w:r>
      <w:r w:rsidR="00901EA6">
        <w:rPr>
          <w:lang w:val="lv-LV"/>
        </w:rPr>
        <w:t xml:space="preserve"> minētajām kvalifikācijas prasībām.</w:t>
      </w:r>
      <w:r w:rsidR="00376377">
        <w:rPr>
          <w:lang w:val="lv-LV"/>
        </w:rPr>
        <w:t xml:space="preserve"> </w:t>
      </w:r>
    </w:p>
    <w:p w14:paraId="1A863385" w14:textId="77777777" w:rsidR="00F2182D" w:rsidRDefault="00F2182D" w:rsidP="00DC3242">
      <w:pPr>
        <w:jc w:val="both"/>
        <w:rPr>
          <w:lang w:val="lv-LV"/>
        </w:rPr>
      </w:pPr>
    </w:p>
    <w:p w14:paraId="34202A54" w14:textId="77777777" w:rsidR="004C200B" w:rsidRDefault="004C200B" w:rsidP="00DC3242">
      <w:pPr>
        <w:jc w:val="both"/>
        <w:rPr>
          <w:lang w:val="lv-LV"/>
        </w:rPr>
      </w:pPr>
    </w:p>
    <w:p w14:paraId="4651D2FB" w14:textId="735887A5" w:rsidR="00F2182D" w:rsidRPr="004C200B" w:rsidRDefault="00F2182D" w:rsidP="00DC3242">
      <w:pPr>
        <w:jc w:val="both"/>
        <w:rPr>
          <w:b/>
          <w:bCs/>
          <w:lang w:val="lv-LV"/>
        </w:rPr>
      </w:pPr>
      <w:r w:rsidRPr="004C200B">
        <w:rPr>
          <w:b/>
          <w:bCs/>
          <w:lang w:val="lv-LV"/>
        </w:rPr>
        <w:t>2. jautājums</w:t>
      </w:r>
      <w:r w:rsidR="004C200B">
        <w:rPr>
          <w:b/>
          <w:bCs/>
          <w:lang w:val="lv-LV"/>
        </w:rPr>
        <w:t>:</w:t>
      </w:r>
    </w:p>
    <w:p w14:paraId="75C3586E" w14:textId="77777777" w:rsidR="008E4EAD" w:rsidRPr="008E4EAD" w:rsidRDefault="008E4EAD" w:rsidP="008E4EAD">
      <w:pPr>
        <w:jc w:val="both"/>
        <w:rPr>
          <w:rFonts w:eastAsia="Calibri"/>
          <w:lang w:val="lv-LV"/>
        </w:rPr>
      </w:pPr>
      <w:r w:rsidRPr="008E4EAD">
        <w:rPr>
          <w:rFonts w:eastAsia="Calibri"/>
          <w:lang w:val="lv-LV"/>
        </w:rPr>
        <w:t>Lūdzam skaidrot, vai atbilstību Nolikuma 16.5.punkta kvalifikācijas prasībām var pierādīt sekojoši:</w:t>
      </w:r>
    </w:p>
    <w:p w14:paraId="2FDF79FF" w14:textId="586EA3C3" w:rsidR="008E4EAD" w:rsidRPr="008E4EAD" w:rsidRDefault="008E4EAD" w:rsidP="008E4EAD">
      <w:pPr>
        <w:jc w:val="both"/>
        <w:rPr>
          <w:rFonts w:eastAsia="Calibri"/>
          <w:lang w:val="lv-LV"/>
        </w:rPr>
      </w:pPr>
      <w:r w:rsidRPr="008E4EAD">
        <w:rPr>
          <w:rFonts w:eastAsia="Calibri"/>
          <w:lang w:val="lv-LV"/>
        </w:rPr>
        <w:t>1)Viens kvalifikācijas prasībām atbilstošs pieredzes objekts ir no Pretendenta;</w:t>
      </w:r>
    </w:p>
    <w:p w14:paraId="2B58045A" w14:textId="2AC84091" w:rsidR="008E4EAD" w:rsidRDefault="008E4EAD" w:rsidP="008E4EAD">
      <w:pPr>
        <w:jc w:val="both"/>
        <w:rPr>
          <w:rFonts w:eastAsia="Calibri"/>
          <w:lang w:val="lv-LV"/>
        </w:rPr>
      </w:pPr>
      <w:r w:rsidRPr="008E4EAD">
        <w:rPr>
          <w:rFonts w:eastAsia="Calibri"/>
          <w:lang w:val="lv-LV"/>
        </w:rPr>
        <w:t>2)Otrs kvalifikācijas prasībām atbilstošs pieredzes objekts ir no apakšuzņēmēja, uz kura spējām Pretendents balstās.</w:t>
      </w:r>
    </w:p>
    <w:p w14:paraId="047EEE4C" w14:textId="77777777" w:rsidR="008E4EAD" w:rsidRDefault="008E4EAD" w:rsidP="008E4EAD">
      <w:pPr>
        <w:jc w:val="both"/>
        <w:rPr>
          <w:rFonts w:eastAsia="Calibri"/>
          <w:lang w:val="lv-LV"/>
        </w:rPr>
      </w:pPr>
    </w:p>
    <w:p w14:paraId="3646C661" w14:textId="284F0CAA" w:rsidR="008E4EAD" w:rsidRPr="00AE5D01" w:rsidRDefault="008E4EAD" w:rsidP="008E4EAD">
      <w:pPr>
        <w:jc w:val="both"/>
        <w:rPr>
          <w:rFonts w:eastAsia="Calibri"/>
          <w:b/>
          <w:bCs/>
          <w:lang w:val="lv-LV"/>
        </w:rPr>
      </w:pPr>
      <w:r w:rsidRPr="00AE5D01">
        <w:rPr>
          <w:rFonts w:eastAsia="Calibri"/>
          <w:b/>
          <w:bCs/>
          <w:lang w:val="lv-LV"/>
        </w:rPr>
        <w:t>Atbilde:</w:t>
      </w:r>
    </w:p>
    <w:p w14:paraId="1D70FC37" w14:textId="4CA01445" w:rsidR="008E4EAD" w:rsidRDefault="008E4EAD" w:rsidP="008E4EAD">
      <w:pPr>
        <w:jc w:val="both"/>
        <w:rPr>
          <w:rFonts w:eastAsia="Calibri"/>
          <w:lang w:val="lv-LV"/>
        </w:rPr>
      </w:pPr>
      <w:r>
        <w:rPr>
          <w:rFonts w:eastAsia="Calibri"/>
          <w:lang w:val="lv-LV"/>
        </w:rPr>
        <w:t xml:space="preserve">Jā, </w:t>
      </w:r>
      <w:r w:rsidR="00AE5D01">
        <w:rPr>
          <w:rFonts w:eastAsia="Calibri"/>
          <w:lang w:val="lv-LV"/>
        </w:rPr>
        <w:t>apliecinot atbilstību Nolikuma 16.5. punkta prasībai, pieredzes objektus var dalīt.</w:t>
      </w:r>
    </w:p>
    <w:p w14:paraId="2777C23B" w14:textId="77777777" w:rsidR="00AE5D01" w:rsidRDefault="00AE5D01" w:rsidP="008E4EAD">
      <w:pPr>
        <w:jc w:val="both"/>
        <w:rPr>
          <w:rFonts w:eastAsia="Calibri"/>
          <w:lang w:val="lv-LV"/>
        </w:rPr>
      </w:pPr>
    </w:p>
    <w:p w14:paraId="3A49D51B" w14:textId="77777777" w:rsidR="004C200B" w:rsidRDefault="004C200B" w:rsidP="008E4EAD">
      <w:pPr>
        <w:jc w:val="both"/>
        <w:rPr>
          <w:rFonts w:eastAsia="Calibri"/>
          <w:lang w:val="lv-LV"/>
        </w:rPr>
      </w:pPr>
    </w:p>
    <w:p w14:paraId="4EB6B727" w14:textId="3D81363D" w:rsidR="00AE5D01" w:rsidRPr="004C200B" w:rsidRDefault="00AE5D01" w:rsidP="008E4EAD">
      <w:pPr>
        <w:jc w:val="both"/>
        <w:rPr>
          <w:rFonts w:eastAsia="Calibri"/>
          <w:b/>
          <w:bCs/>
          <w:lang w:val="lv-LV"/>
        </w:rPr>
      </w:pPr>
      <w:r w:rsidRPr="004C200B">
        <w:rPr>
          <w:rFonts w:eastAsia="Calibri"/>
          <w:b/>
          <w:bCs/>
          <w:lang w:val="lv-LV"/>
        </w:rPr>
        <w:t>3.jautājums</w:t>
      </w:r>
      <w:r w:rsidR="004C200B">
        <w:rPr>
          <w:rFonts w:eastAsia="Calibri"/>
          <w:b/>
          <w:bCs/>
          <w:lang w:val="lv-LV"/>
        </w:rPr>
        <w:t>:</w:t>
      </w:r>
    </w:p>
    <w:p w14:paraId="088B48B6" w14:textId="77777777" w:rsidR="002C3981" w:rsidRPr="002C3981" w:rsidRDefault="002C3981" w:rsidP="002C3981">
      <w:pPr>
        <w:jc w:val="both"/>
        <w:rPr>
          <w:rFonts w:eastAsia="Calibri"/>
          <w:lang w:val="lv-LV"/>
        </w:rPr>
      </w:pPr>
      <w:r w:rsidRPr="002C3981">
        <w:rPr>
          <w:rFonts w:eastAsia="Calibri"/>
          <w:lang w:val="lv-LV"/>
        </w:rPr>
        <w:t xml:space="preserve">Pretendents piekrīt, ka kvalifikācijas prasību noteikšana ir Pasūtītāja prerogatīva, taču, izvērtējot Nolikumā izvirzītās prasības, nākas secināt, ka prasības būtiski sašaurina potenciālo pretendentu loku, pilnībā nesasniedzot Publisko iepirkumu likuma 2.pantā izvirzīto mērķi, proti, piegādātāju brīvu konkurenci kā arī vienlīdzīgu un taisnīgu attieksmi pret tiem, kā arī pasūtītāja līdzekļu efektīvu izmantošanu, maksimāli samazinot tā risku.  </w:t>
      </w:r>
    </w:p>
    <w:p w14:paraId="62713440" w14:textId="77777777" w:rsidR="002C3981" w:rsidRPr="002C3981" w:rsidRDefault="002C3981" w:rsidP="002C3981">
      <w:pPr>
        <w:pStyle w:val="ListParagraph"/>
        <w:ind w:left="1440"/>
        <w:jc w:val="both"/>
        <w:rPr>
          <w:rFonts w:eastAsia="Calibri"/>
          <w:lang w:val="lv-LV"/>
        </w:rPr>
      </w:pPr>
    </w:p>
    <w:p w14:paraId="2BEE55B1" w14:textId="77777777" w:rsidR="002C3981" w:rsidRPr="002C3981" w:rsidRDefault="002C3981" w:rsidP="002C3981">
      <w:pPr>
        <w:jc w:val="both"/>
        <w:rPr>
          <w:rFonts w:eastAsia="Calibri"/>
          <w:lang w:val="lv-LV"/>
        </w:rPr>
      </w:pPr>
      <w:r w:rsidRPr="002C3981">
        <w:rPr>
          <w:rFonts w:eastAsia="Calibri"/>
          <w:lang w:val="lv-LV"/>
        </w:rPr>
        <w:lastRenderedPageBreak/>
        <w:t xml:space="preserve">Lai paplašinātu potenciālo pretendentu loku, aicinām veikt grozījumus kvalifikācijas prasībās, nosakot, ka Pretendents savu iepriekšējo pieredzi var apliecināt ar pieredzi ne tikai finanšu pārskatu revīzijas pakalpojumu sniegšanā Latvijas Republikas valsts vai pašvaldības kapitālsabiedrībām, bet atzīt par derīgu arī iepriekšējo pieredzi, kas iegūta finanšu pārskatu revīzijas pakalpojumu sniegšanā privātā sektora uzņēmumiem. </w:t>
      </w:r>
    </w:p>
    <w:p w14:paraId="3EC002AB" w14:textId="77777777" w:rsidR="00AE5D01" w:rsidRPr="008E4EAD" w:rsidRDefault="00AE5D01" w:rsidP="008E4EAD">
      <w:pPr>
        <w:jc w:val="both"/>
        <w:rPr>
          <w:rFonts w:eastAsia="Calibri"/>
          <w:lang w:val="lv-LV"/>
        </w:rPr>
      </w:pPr>
    </w:p>
    <w:p w14:paraId="449B7B57" w14:textId="7CEF4503" w:rsidR="00F2182D" w:rsidRPr="00EE2353" w:rsidRDefault="002C3981" w:rsidP="00DC3242">
      <w:pPr>
        <w:jc w:val="both"/>
        <w:rPr>
          <w:b/>
          <w:bCs/>
          <w:lang w:val="lv-LV"/>
        </w:rPr>
      </w:pPr>
      <w:r w:rsidRPr="00EE2353">
        <w:rPr>
          <w:b/>
          <w:bCs/>
          <w:lang w:val="lv-LV"/>
        </w:rPr>
        <w:t>Atbilde</w:t>
      </w:r>
      <w:r w:rsidR="004C200B">
        <w:rPr>
          <w:b/>
          <w:bCs/>
          <w:lang w:val="lv-LV"/>
        </w:rPr>
        <w:t>:</w:t>
      </w:r>
    </w:p>
    <w:p w14:paraId="23A45B16" w14:textId="1A160009" w:rsidR="00FF0E23" w:rsidRPr="000D4653" w:rsidRDefault="00855A5E" w:rsidP="00DC3242">
      <w:pPr>
        <w:jc w:val="both"/>
        <w:rPr>
          <w:lang w:val="lv-LV"/>
        </w:rPr>
      </w:pPr>
      <w:r>
        <w:rPr>
          <w:lang w:val="lv-LV"/>
        </w:rPr>
        <w:t>Info</w:t>
      </w:r>
      <w:r w:rsidR="001E4BDB">
        <w:rPr>
          <w:lang w:val="lv-LV"/>
        </w:rPr>
        <w:t>r</w:t>
      </w:r>
      <w:r>
        <w:rPr>
          <w:lang w:val="lv-LV"/>
        </w:rPr>
        <w:t xml:space="preserve">mējam, ka nav plānots veikt grozījumus </w:t>
      </w:r>
      <w:r w:rsidR="00EE2353">
        <w:rPr>
          <w:lang w:val="lv-LV"/>
        </w:rPr>
        <w:t>atlases prasībās</w:t>
      </w:r>
      <w:r w:rsidRPr="00855A5E">
        <w:rPr>
          <w:lang w:val="lv-LV"/>
        </w:rPr>
        <w:t xml:space="preserve">. </w:t>
      </w:r>
      <w:r w:rsidR="00EE2353">
        <w:rPr>
          <w:lang w:val="lv-LV"/>
        </w:rPr>
        <w:t>Paskaidrojam, ka, ņ</w:t>
      </w:r>
      <w:r w:rsidRPr="00855A5E">
        <w:rPr>
          <w:lang w:val="lv-LV"/>
        </w:rPr>
        <w:t>emot vērā valsts un/vai pašvaldības finansējuma (dotācijas, kompensācijas) uzskaites īpatnības, kas ietekmē gada pārskata revīzijas procesu, ir būtiski, lai revidenta iepriekšējā pieredze būtu revīzijas pakalpojuma sniegšanā valsts vai pašvaldības kapitālsabiedrībām. Papildus jāuzsver, ka iepriekšējā pieredze ir būtiska arī tādēļ, ka gada pārskata revīzijas veikšanai dalībnieks (Rīgas dome) ir noteikusi ļoti īsus termiņus.</w:t>
      </w:r>
    </w:p>
    <w:p w14:paraId="3622528B" w14:textId="77777777" w:rsidR="00713E87" w:rsidRPr="000C5391" w:rsidRDefault="00713E87" w:rsidP="000C5391">
      <w:pPr>
        <w:rPr>
          <w:i/>
          <w:iCs/>
          <w:lang w:val="lv-LV"/>
        </w:rPr>
      </w:pPr>
    </w:p>
    <w:p w14:paraId="1A3FB0D7" w14:textId="77777777" w:rsidR="00561390" w:rsidRDefault="00561390" w:rsidP="00561390">
      <w:pPr>
        <w:ind w:right="372"/>
        <w:jc w:val="both"/>
        <w:outlineLvl w:val="0"/>
        <w:rPr>
          <w:lang w:val="lv-LV"/>
        </w:rPr>
      </w:pPr>
    </w:p>
    <w:p w14:paraId="03CEFE06" w14:textId="6F97F78C" w:rsidR="00561390" w:rsidRPr="00C4199D" w:rsidRDefault="00561390" w:rsidP="00561390">
      <w:pPr>
        <w:ind w:right="372"/>
        <w:jc w:val="both"/>
        <w:outlineLvl w:val="0"/>
        <w:rPr>
          <w:lang w:val="lv-LV"/>
        </w:rPr>
      </w:pPr>
      <w:r w:rsidRPr="00C4199D">
        <w:rPr>
          <w:lang w:val="lv-LV"/>
        </w:rPr>
        <w:t>Iepirkumu komisijas priekšsēdētāja                                                                     Karīna Meiberga</w:t>
      </w:r>
    </w:p>
    <w:p w14:paraId="36F3EB6C" w14:textId="77777777" w:rsidR="00561390" w:rsidRPr="00C4199D" w:rsidRDefault="00561390" w:rsidP="00561390">
      <w:pPr>
        <w:rPr>
          <w:lang w:val="lv-LV"/>
        </w:rPr>
      </w:pPr>
    </w:p>
    <w:p w14:paraId="469B4D66" w14:textId="77777777" w:rsidR="00561390" w:rsidRPr="00C4199D" w:rsidRDefault="00561390" w:rsidP="00561390">
      <w:pPr>
        <w:rPr>
          <w:lang w:val="lv-LV"/>
        </w:rPr>
      </w:pPr>
    </w:p>
    <w:p w14:paraId="1FD8FE2E" w14:textId="59EBC869" w:rsidR="00B67B48" w:rsidRDefault="00B67B48" w:rsidP="001C1098">
      <w:pPr>
        <w:rPr>
          <w:lang w:val="lv-LV"/>
        </w:rPr>
      </w:pPr>
    </w:p>
    <w:p w14:paraId="45745476" w14:textId="1AD9176C" w:rsidR="001D43D0" w:rsidRDefault="001D43D0" w:rsidP="001C1098">
      <w:pPr>
        <w:rPr>
          <w:lang w:val="lv-LV"/>
        </w:rPr>
      </w:pPr>
    </w:p>
    <w:p w14:paraId="15645AEF" w14:textId="77777777" w:rsidR="001D43D0" w:rsidRDefault="001D43D0" w:rsidP="001C1098">
      <w:pPr>
        <w:rPr>
          <w:lang w:val="lv-LV"/>
        </w:rPr>
      </w:pPr>
    </w:p>
    <w:p w14:paraId="2EE61468" w14:textId="59A844A5" w:rsidR="00AD6E80" w:rsidRPr="00561390" w:rsidRDefault="00AD6E80" w:rsidP="00561390">
      <w:pPr>
        <w:tabs>
          <w:tab w:val="left" w:pos="1603"/>
        </w:tabs>
        <w:rPr>
          <w:lang w:val="lv-LV"/>
        </w:rPr>
      </w:pPr>
    </w:p>
    <w:sectPr w:rsidR="00AD6E80" w:rsidRPr="00561390"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EBFBF" w14:textId="77777777" w:rsidR="00383BF8" w:rsidRDefault="00383BF8">
      <w:r>
        <w:separator/>
      </w:r>
    </w:p>
  </w:endnote>
  <w:endnote w:type="continuationSeparator" w:id="0">
    <w:p w14:paraId="2537AEF2" w14:textId="77777777" w:rsidR="00383BF8" w:rsidRDefault="0038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0527" w14:textId="77777777" w:rsidR="00383BF8" w:rsidRDefault="00383BF8">
      <w:r>
        <w:separator/>
      </w:r>
    </w:p>
  </w:footnote>
  <w:footnote w:type="continuationSeparator" w:id="0">
    <w:p w14:paraId="71CFADFC" w14:textId="77777777" w:rsidR="00383BF8" w:rsidRDefault="0038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CF5DD"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92806C1"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D525C5">
      <w:t>29.04.2026.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DA330E"/>
    <w:multiLevelType w:val="hybridMultilevel"/>
    <w:tmpl w:val="2D52FBDE"/>
    <w:lvl w:ilvl="0" w:tplc="050260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F74583"/>
    <w:multiLevelType w:val="hybridMultilevel"/>
    <w:tmpl w:val="7C1CA1B6"/>
    <w:lvl w:ilvl="0" w:tplc="3A34570E">
      <w:start w:val="1"/>
      <w:numFmt w:val="decimal"/>
      <w:lvlText w:val="%1)"/>
      <w:lvlJc w:val="left"/>
      <w:pPr>
        <w:ind w:left="1800" w:hanging="360"/>
      </w:pPr>
      <w:rPr>
        <w:rFonts w:ascii="Trebuchet MS" w:eastAsia="Calibri" w:hAnsi="Trebuchet M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AB31907"/>
    <w:multiLevelType w:val="hybridMultilevel"/>
    <w:tmpl w:val="A00C8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0429434">
    <w:abstractNumId w:val="0"/>
  </w:num>
  <w:num w:numId="2" w16cid:durableId="701059122">
    <w:abstractNumId w:val="3"/>
  </w:num>
  <w:num w:numId="3" w16cid:durableId="2134520668">
    <w:abstractNumId w:val="1"/>
  </w:num>
  <w:num w:numId="4" w16cid:durableId="300891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7685"/>
    <w:rsid w:val="00016DD0"/>
    <w:rsid w:val="000321AC"/>
    <w:rsid w:val="000423D3"/>
    <w:rsid w:val="0004286D"/>
    <w:rsid w:val="000525F0"/>
    <w:rsid w:val="00056D3B"/>
    <w:rsid w:val="00081F62"/>
    <w:rsid w:val="00082DBE"/>
    <w:rsid w:val="00083E27"/>
    <w:rsid w:val="000C5391"/>
    <w:rsid w:val="000D4653"/>
    <w:rsid w:val="000E77C8"/>
    <w:rsid w:val="000F6DD0"/>
    <w:rsid w:val="00122E8F"/>
    <w:rsid w:val="0013132D"/>
    <w:rsid w:val="00134738"/>
    <w:rsid w:val="0013503B"/>
    <w:rsid w:val="00152882"/>
    <w:rsid w:val="001712E9"/>
    <w:rsid w:val="00176AEB"/>
    <w:rsid w:val="00194B33"/>
    <w:rsid w:val="001A069B"/>
    <w:rsid w:val="001B000D"/>
    <w:rsid w:val="001B4C0C"/>
    <w:rsid w:val="001B73F0"/>
    <w:rsid w:val="001C1098"/>
    <w:rsid w:val="001D1604"/>
    <w:rsid w:val="001D43D0"/>
    <w:rsid w:val="001D50AC"/>
    <w:rsid w:val="001E00C6"/>
    <w:rsid w:val="001E4BDB"/>
    <w:rsid w:val="001E6EA3"/>
    <w:rsid w:val="00212AD7"/>
    <w:rsid w:val="00233FCE"/>
    <w:rsid w:val="00243F10"/>
    <w:rsid w:val="00265DC0"/>
    <w:rsid w:val="002746D8"/>
    <w:rsid w:val="002779F5"/>
    <w:rsid w:val="00291F56"/>
    <w:rsid w:val="002C3981"/>
    <w:rsid w:val="002E0214"/>
    <w:rsid w:val="002E786C"/>
    <w:rsid w:val="00313DB1"/>
    <w:rsid w:val="00325A6F"/>
    <w:rsid w:val="00334B60"/>
    <w:rsid w:val="00371AB5"/>
    <w:rsid w:val="0037357A"/>
    <w:rsid w:val="00376377"/>
    <w:rsid w:val="00381D66"/>
    <w:rsid w:val="00383BF8"/>
    <w:rsid w:val="00384C24"/>
    <w:rsid w:val="003877B2"/>
    <w:rsid w:val="003A76FA"/>
    <w:rsid w:val="003B2683"/>
    <w:rsid w:val="003C232B"/>
    <w:rsid w:val="003C2FBA"/>
    <w:rsid w:val="003C3653"/>
    <w:rsid w:val="003F3E4A"/>
    <w:rsid w:val="004124BC"/>
    <w:rsid w:val="004300BD"/>
    <w:rsid w:val="00444C25"/>
    <w:rsid w:val="00446224"/>
    <w:rsid w:val="00454D63"/>
    <w:rsid w:val="00457E36"/>
    <w:rsid w:val="00480F6E"/>
    <w:rsid w:val="00495061"/>
    <w:rsid w:val="004A0D6C"/>
    <w:rsid w:val="004A412C"/>
    <w:rsid w:val="004C200B"/>
    <w:rsid w:val="004C2F01"/>
    <w:rsid w:val="004C4EA1"/>
    <w:rsid w:val="004F2129"/>
    <w:rsid w:val="004F581B"/>
    <w:rsid w:val="004F7F16"/>
    <w:rsid w:val="00503974"/>
    <w:rsid w:val="005079CC"/>
    <w:rsid w:val="00516556"/>
    <w:rsid w:val="0054525F"/>
    <w:rsid w:val="00561390"/>
    <w:rsid w:val="005A7A9C"/>
    <w:rsid w:val="005D1BBE"/>
    <w:rsid w:val="005D3F37"/>
    <w:rsid w:val="005E2CD1"/>
    <w:rsid w:val="00611305"/>
    <w:rsid w:val="00612976"/>
    <w:rsid w:val="00617BD6"/>
    <w:rsid w:val="00622CBE"/>
    <w:rsid w:val="006339F1"/>
    <w:rsid w:val="006568C8"/>
    <w:rsid w:val="00660745"/>
    <w:rsid w:val="00670FF9"/>
    <w:rsid w:val="00671FF0"/>
    <w:rsid w:val="00681D93"/>
    <w:rsid w:val="006874A7"/>
    <w:rsid w:val="00697421"/>
    <w:rsid w:val="006A64D2"/>
    <w:rsid w:val="006A672C"/>
    <w:rsid w:val="006B6ACB"/>
    <w:rsid w:val="006F38EE"/>
    <w:rsid w:val="006F3DD1"/>
    <w:rsid w:val="00706C00"/>
    <w:rsid w:val="00712459"/>
    <w:rsid w:val="00713E87"/>
    <w:rsid w:val="0073791F"/>
    <w:rsid w:val="00741DA4"/>
    <w:rsid w:val="00741E14"/>
    <w:rsid w:val="00756CAE"/>
    <w:rsid w:val="007857EA"/>
    <w:rsid w:val="007875D1"/>
    <w:rsid w:val="007A34BE"/>
    <w:rsid w:val="007B1B5D"/>
    <w:rsid w:val="007D62F7"/>
    <w:rsid w:val="008034ED"/>
    <w:rsid w:val="00815510"/>
    <w:rsid w:val="008206E9"/>
    <w:rsid w:val="00832355"/>
    <w:rsid w:val="00841DBE"/>
    <w:rsid w:val="008533C8"/>
    <w:rsid w:val="00855A5E"/>
    <w:rsid w:val="00885C1B"/>
    <w:rsid w:val="00896962"/>
    <w:rsid w:val="008B711B"/>
    <w:rsid w:val="008E3092"/>
    <w:rsid w:val="008E43DF"/>
    <w:rsid w:val="008E4C93"/>
    <w:rsid w:val="008E4EAD"/>
    <w:rsid w:val="008F2C97"/>
    <w:rsid w:val="00901C98"/>
    <w:rsid w:val="00901EA6"/>
    <w:rsid w:val="00904B48"/>
    <w:rsid w:val="00905FF5"/>
    <w:rsid w:val="009134FF"/>
    <w:rsid w:val="0091786F"/>
    <w:rsid w:val="00931737"/>
    <w:rsid w:val="00935F53"/>
    <w:rsid w:val="00953B8C"/>
    <w:rsid w:val="00957F33"/>
    <w:rsid w:val="009D280E"/>
    <w:rsid w:val="00A075D3"/>
    <w:rsid w:val="00A320F2"/>
    <w:rsid w:val="00A3285A"/>
    <w:rsid w:val="00A52673"/>
    <w:rsid w:val="00A55640"/>
    <w:rsid w:val="00A90154"/>
    <w:rsid w:val="00A903EE"/>
    <w:rsid w:val="00AA0E4F"/>
    <w:rsid w:val="00AB07EB"/>
    <w:rsid w:val="00AB152E"/>
    <w:rsid w:val="00AC477A"/>
    <w:rsid w:val="00AC79C5"/>
    <w:rsid w:val="00AD6E80"/>
    <w:rsid w:val="00AE5D01"/>
    <w:rsid w:val="00B041E9"/>
    <w:rsid w:val="00B17037"/>
    <w:rsid w:val="00B455EA"/>
    <w:rsid w:val="00B67B48"/>
    <w:rsid w:val="00B71E7E"/>
    <w:rsid w:val="00B76BBD"/>
    <w:rsid w:val="00BA1D4B"/>
    <w:rsid w:val="00BA2125"/>
    <w:rsid w:val="00BA74A6"/>
    <w:rsid w:val="00BD515B"/>
    <w:rsid w:val="00C2117D"/>
    <w:rsid w:val="00C3641F"/>
    <w:rsid w:val="00C53612"/>
    <w:rsid w:val="00C64C8D"/>
    <w:rsid w:val="00C65A61"/>
    <w:rsid w:val="00C824B5"/>
    <w:rsid w:val="00C84969"/>
    <w:rsid w:val="00C950CD"/>
    <w:rsid w:val="00C96B4F"/>
    <w:rsid w:val="00CA54E5"/>
    <w:rsid w:val="00CA73ED"/>
    <w:rsid w:val="00CA7616"/>
    <w:rsid w:val="00D0011B"/>
    <w:rsid w:val="00D43D83"/>
    <w:rsid w:val="00D525C5"/>
    <w:rsid w:val="00D653C8"/>
    <w:rsid w:val="00D660AB"/>
    <w:rsid w:val="00D81F1C"/>
    <w:rsid w:val="00D86507"/>
    <w:rsid w:val="00D87DC4"/>
    <w:rsid w:val="00DA0C26"/>
    <w:rsid w:val="00DB4075"/>
    <w:rsid w:val="00DB4915"/>
    <w:rsid w:val="00DC3242"/>
    <w:rsid w:val="00DC6352"/>
    <w:rsid w:val="00E3203C"/>
    <w:rsid w:val="00E47E37"/>
    <w:rsid w:val="00E56798"/>
    <w:rsid w:val="00EA4EA0"/>
    <w:rsid w:val="00EB089E"/>
    <w:rsid w:val="00EE2353"/>
    <w:rsid w:val="00EE4CED"/>
    <w:rsid w:val="00F01C15"/>
    <w:rsid w:val="00F213A8"/>
    <w:rsid w:val="00F2182D"/>
    <w:rsid w:val="00F3575B"/>
    <w:rsid w:val="00F527AA"/>
    <w:rsid w:val="00F631D4"/>
    <w:rsid w:val="00F83C9D"/>
    <w:rsid w:val="00F84DED"/>
    <w:rsid w:val="00F97E7A"/>
    <w:rsid w:val="00FE0013"/>
    <w:rsid w:val="00FF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semiHidden/>
    <w:unhideWhenUsed/>
    <w:qFormat/>
    <w:locked/>
    <w:rsid w:val="001313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ing2Char">
    <w:name w:val="Heading 2 Char"/>
    <w:basedOn w:val="DefaultParagraphFont"/>
    <w:link w:val="Heading2"/>
    <w:semiHidden/>
    <w:rsid w:val="0013132D"/>
    <w:rPr>
      <w:rFonts w:asciiTheme="majorHAnsi" w:eastAsiaTheme="majorEastAsia" w:hAnsiTheme="majorHAnsi" w:cstheme="majorBidi"/>
      <w:color w:val="2F5496" w:themeColor="accent1" w:themeShade="BF"/>
      <w:sz w:val="26"/>
      <w:szCs w:val="26"/>
      <w:lang w:val="en-GB" w:eastAsia="en-US"/>
    </w:rPr>
  </w:style>
  <w:style w:type="paragraph" w:styleId="ListParagraph">
    <w:name w:val="List Paragraph"/>
    <w:aliases w:val="1st level - Bullet List Paragraph,2,Bullet list,Bullet point 1,Bullets,H&amp;P List Paragraph,List Paragraph1,Normal bullet 2,Numbered List,Numurets,PPS_Bullet,Paragraph,Saistīto dokumentu saraksts,Strip,Syle 1,Virsraksti,list paragraph"/>
    <w:basedOn w:val="Normal"/>
    <w:link w:val="ListParagraphChar"/>
    <w:uiPriority w:val="34"/>
    <w:qFormat/>
    <w:rsid w:val="00660745"/>
    <w:pPr>
      <w:ind w:left="720"/>
      <w:contextualSpacing/>
    </w:pPr>
  </w:style>
  <w:style w:type="character" w:customStyle="1" w:styleId="ListParagraphChar">
    <w:name w:val="List Paragraph Char"/>
    <w:aliases w:val="1st level - Bullet List Paragraph Char,2 Char,Bullet list Char,Bullet point 1 Char,Bullets Char,H&amp;P List Paragraph Char,List Paragraph1 Char,Normal bullet 2 Char,Numbered List Char,Numurets Char,PPS_Bullet Char,Paragraph Char"/>
    <w:link w:val="ListParagraph"/>
    <w:uiPriority w:val="34"/>
    <w:qFormat/>
    <w:locked/>
    <w:rsid w:val="005E2CD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8965">
      <w:bodyDiv w:val="1"/>
      <w:marLeft w:val="0"/>
      <w:marRight w:val="0"/>
      <w:marTop w:val="0"/>
      <w:marBottom w:val="0"/>
      <w:divBdr>
        <w:top w:val="none" w:sz="0" w:space="0" w:color="auto"/>
        <w:left w:val="none" w:sz="0" w:space="0" w:color="auto"/>
        <w:bottom w:val="none" w:sz="0" w:space="0" w:color="auto"/>
        <w:right w:val="none" w:sz="0" w:space="0" w:color="auto"/>
      </w:divBdr>
    </w:div>
    <w:div w:id="97063858">
      <w:bodyDiv w:val="1"/>
      <w:marLeft w:val="0"/>
      <w:marRight w:val="0"/>
      <w:marTop w:val="0"/>
      <w:marBottom w:val="0"/>
      <w:divBdr>
        <w:top w:val="none" w:sz="0" w:space="0" w:color="auto"/>
        <w:left w:val="none" w:sz="0" w:space="0" w:color="auto"/>
        <w:bottom w:val="none" w:sz="0" w:space="0" w:color="auto"/>
        <w:right w:val="none" w:sz="0" w:space="0" w:color="auto"/>
      </w:divBdr>
    </w:div>
    <w:div w:id="106707346">
      <w:bodyDiv w:val="1"/>
      <w:marLeft w:val="0"/>
      <w:marRight w:val="0"/>
      <w:marTop w:val="0"/>
      <w:marBottom w:val="0"/>
      <w:divBdr>
        <w:top w:val="none" w:sz="0" w:space="0" w:color="auto"/>
        <w:left w:val="none" w:sz="0" w:space="0" w:color="auto"/>
        <w:bottom w:val="none" w:sz="0" w:space="0" w:color="auto"/>
        <w:right w:val="none" w:sz="0" w:space="0" w:color="auto"/>
      </w:divBdr>
    </w:div>
    <w:div w:id="155654790">
      <w:bodyDiv w:val="1"/>
      <w:marLeft w:val="0"/>
      <w:marRight w:val="0"/>
      <w:marTop w:val="0"/>
      <w:marBottom w:val="0"/>
      <w:divBdr>
        <w:top w:val="none" w:sz="0" w:space="0" w:color="auto"/>
        <w:left w:val="none" w:sz="0" w:space="0" w:color="auto"/>
        <w:bottom w:val="none" w:sz="0" w:space="0" w:color="auto"/>
        <w:right w:val="none" w:sz="0" w:space="0" w:color="auto"/>
      </w:divBdr>
    </w:div>
    <w:div w:id="337581467">
      <w:bodyDiv w:val="1"/>
      <w:marLeft w:val="0"/>
      <w:marRight w:val="0"/>
      <w:marTop w:val="0"/>
      <w:marBottom w:val="0"/>
      <w:divBdr>
        <w:top w:val="none" w:sz="0" w:space="0" w:color="auto"/>
        <w:left w:val="none" w:sz="0" w:space="0" w:color="auto"/>
        <w:bottom w:val="none" w:sz="0" w:space="0" w:color="auto"/>
        <w:right w:val="none" w:sz="0" w:space="0" w:color="auto"/>
      </w:divBdr>
    </w:div>
    <w:div w:id="472059501">
      <w:bodyDiv w:val="1"/>
      <w:marLeft w:val="0"/>
      <w:marRight w:val="0"/>
      <w:marTop w:val="0"/>
      <w:marBottom w:val="0"/>
      <w:divBdr>
        <w:top w:val="none" w:sz="0" w:space="0" w:color="auto"/>
        <w:left w:val="none" w:sz="0" w:space="0" w:color="auto"/>
        <w:bottom w:val="none" w:sz="0" w:space="0" w:color="auto"/>
        <w:right w:val="none" w:sz="0" w:space="0" w:color="auto"/>
      </w:divBdr>
    </w:div>
    <w:div w:id="550579442">
      <w:bodyDiv w:val="1"/>
      <w:marLeft w:val="0"/>
      <w:marRight w:val="0"/>
      <w:marTop w:val="0"/>
      <w:marBottom w:val="0"/>
      <w:divBdr>
        <w:top w:val="none" w:sz="0" w:space="0" w:color="auto"/>
        <w:left w:val="none" w:sz="0" w:space="0" w:color="auto"/>
        <w:bottom w:val="none" w:sz="0" w:space="0" w:color="auto"/>
        <w:right w:val="none" w:sz="0" w:space="0" w:color="auto"/>
      </w:divBdr>
    </w:div>
    <w:div w:id="633874728">
      <w:bodyDiv w:val="1"/>
      <w:marLeft w:val="0"/>
      <w:marRight w:val="0"/>
      <w:marTop w:val="0"/>
      <w:marBottom w:val="0"/>
      <w:divBdr>
        <w:top w:val="none" w:sz="0" w:space="0" w:color="auto"/>
        <w:left w:val="none" w:sz="0" w:space="0" w:color="auto"/>
        <w:bottom w:val="none" w:sz="0" w:space="0" w:color="auto"/>
        <w:right w:val="none" w:sz="0" w:space="0" w:color="auto"/>
      </w:divBdr>
    </w:div>
    <w:div w:id="711199471">
      <w:bodyDiv w:val="1"/>
      <w:marLeft w:val="0"/>
      <w:marRight w:val="0"/>
      <w:marTop w:val="0"/>
      <w:marBottom w:val="0"/>
      <w:divBdr>
        <w:top w:val="none" w:sz="0" w:space="0" w:color="auto"/>
        <w:left w:val="none" w:sz="0" w:space="0" w:color="auto"/>
        <w:bottom w:val="none" w:sz="0" w:space="0" w:color="auto"/>
        <w:right w:val="none" w:sz="0" w:space="0" w:color="auto"/>
      </w:divBdr>
    </w:div>
    <w:div w:id="896433466">
      <w:bodyDiv w:val="1"/>
      <w:marLeft w:val="0"/>
      <w:marRight w:val="0"/>
      <w:marTop w:val="0"/>
      <w:marBottom w:val="0"/>
      <w:divBdr>
        <w:top w:val="none" w:sz="0" w:space="0" w:color="auto"/>
        <w:left w:val="none" w:sz="0" w:space="0" w:color="auto"/>
        <w:bottom w:val="none" w:sz="0" w:space="0" w:color="auto"/>
        <w:right w:val="none" w:sz="0" w:space="0" w:color="auto"/>
      </w:divBdr>
    </w:div>
    <w:div w:id="914123336">
      <w:bodyDiv w:val="1"/>
      <w:marLeft w:val="0"/>
      <w:marRight w:val="0"/>
      <w:marTop w:val="0"/>
      <w:marBottom w:val="0"/>
      <w:divBdr>
        <w:top w:val="none" w:sz="0" w:space="0" w:color="auto"/>
        <w:left w:val="none" w:sz="0" w:space="0" w:color="auto"/>
        <w:bottom w:val="none" w:sz="0" w:space="0" w:color="auto"/>
        <w:right w:val="none" w:sz="0" w:space="0" w:color="auto"/>
      </w:divBdr>
    </w:div>
    <w:div w:id="1022896203">
      <w:bodyDiv w:val="1"/>
      <w:marLeft w:val="0"/>
      <w:marRight w:val="0"/>
      <w:marTop w:val="0"/>
      <w:marBottom w:val="0"/>
      <w:divBdr>
        <w:top w:val="none" w:sz="0" w:space="0" w:color="auto"/>
        <w:left w:val="none" w:sz="0" w:space="0" w:color="auto"/>
        <w:bottom w:val="none" w:sz="0" w:space="0" w:color="auto"/>
        <w:right w:val="none" w:sz="0" w:space="0" w:color="auto"/>
      </w:divBdr>
    </w:div>
    <w:div w:id="1306859505">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93327523">
      <w:bodyDiv w:val="1"/>
      <w:marLeft w:val="0"/>
      <w:marRight w:val="0"/>
      <w:marTop w:val="0"/>
      <w:marBottom w:val="0"/>
      <w:divBdr>
        <w:top w:val="none" w:sz="0" w:space="0" w:color="auto"/>
        <w:left w:val="none" w:sz="0" w:space="0" w:color="auto"/>
        <w:bottom w:val="none" w:sz="0" w:space="0" w:color="auto"/>
        <w:right w:val="none" w:sz="0" w:space="0" w:color="auto"/>
      </w:divBdr>
    </w:div>
    <w:div w:id="1693990592">
      <w:bodyDiv w:val="1"/>
      <w:marLeft w:val="0"/>
      <w:marRight w:val="0"/>
      <w:marTop w:val="0"/>
      <w:marBottom w:val="0"/>
      <w:divBdr>
        <w:top w:val="none" w:sz="0" w:space="0" w:color="auto"/>
        <w:left w:val="none" w:sz="0" w:space="0" w:color="auto"/>
        <w:bottom w:val="none" w:sz="0" w:space="0" w:color="auto"/>
        <w:right w:val="none" w:sz="0" w:space="0" w:color="auto"/>
      </w:divBdr>
    </w:div>
    <w:div w:id="1829129354">
      <w:bodyDiv w:val="1"/>
      <w:marLeft w:val="0"/>
      <w:marRight w:val="0"/>
      <w:marTop w:val="0"/>
      <w:marBottom w:val="0"/>
      <w:divBdr>
        <w:top w:val="none" w:sz="0" w:space="0" w:color="auto"/>
        <w:left w:val="none" w:sz="0" w:space="0" w:color="auto"/>
        <w:bottom w:val="none" w:sz="0" w:space="0" w:color="auto"/>
        <w:right w:val="none" w:sz="0" w:space="0" w:color="auto"/>
      </w:divBdr>
    </w:div>
    <w:div w:id="2059352112">
      <w:bodyDiv w:val="1"/>
      <w:marLeft w:val="0"/>
      <w:marRight w:val="0"/>
      <w:marTop w:val="0"/>
      <w:marBottom w:val="0"/>
      <w:divBdr>
        <w:top w:val="none" w:sz="0" w:space="0" w:color="auto"/>
        <w:left w:val="none" w:sz="0" w:space="0" w:color="auto"/>
        <w:bottom w:val="none" w:sz="0" w:space="0" w:color="auto"/>
        <w:right w:val="none" w:sz="0" w:space="0" w:color="auto"/>
      </w:divBdr>
    </w:div>
    <w:div w:id="210726213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C2C1-F3E9-4142-953B-7E0DC0B7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3103</Characters>
  <Application>Microsoft Office Word</Application>
  <DocSecurity>0</DocSecurity>
  <Lines>25</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5</cp:revision>
  <cp:lastPrinted>2021-09-09T02:05:00Z</cp:lastPrinted>
  <dcterms:created xsi:type="dcterms:W3CDTF">2026-04-29T05:30:00Z</dcterms:created>
  <dcterms:modified xsi:type="dcterms:W3CDTF">2026-04-29T05:31:00Z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