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C670" w14:textId="77777777" w:rsidR="007F3584" w:rsidRPr="008365EC" w:rsidRDefault="007F3584" w:rsidP="007F3584">
      <w:pPr>
        <w:pStyle w:val="Default"/>
        <w:tabs>
          <w:tab w:val="left" w:pos="5387"/>
        </w:tabs>
        <w:ind w:right="2686"/>
        <w:jc w:val="both"/>
        <w:rPr>
          <w:iCs/>
        </w:rPr>
      </w:pPr>
    </w:p>
    <w:p w14:paraId="014E78B8" w14:textId="77777777" w:rsidR="001349FA" w:rsidRPr="001349FA" w:rsidRDefault="00B74FDD" w:rsidP="00B74FDD">
      <w:pPr>
        <w:pStyle w:val="Default"/>
        <w:tabs>
          <w:tab w:val="left" w:pos="5387"/>
        </w:tabs>
        <w:ind w:right="4103"/>
        <w:jc w:val="both"/>
        <w:rPr>
          <w:i/>
        </w:rPr>
      </w:pPr>
      <w:r w:rsidRPr="001349FA">
        <w:rPr>
          <w:i/>
        </w:rPr>
        <w:t xml:space="preserve">Par </w:t>
      </w:r>
      <w:r w:rsidR="001349FA" w:rsidRPr="001349FA">
        <w:rPr>
          <w:i/>
        </w:rPr>
        <w:t>atklāta konkursa</w:t>
      </w:r>
      <w:r w:rsidRPr="001349FA">
        <w:rPr>
          <w:i/>
        </w:rPr>
        <w:t xml:space="preserve"> “Autobusu piegāde” </w:t>
      </w:r>
    </w:p>
    <w:p w14:paraId="5BDD3E68" w14:textId="71DC8FBE" w:rsidR="00B74FDD" w:rsidRPr="001349FA" w:rsidRDefault="00B74FDD" w:rsidP="00B74FDD">
      <w:pPr>
        <w:pStyle w:val="Default"/>
        <w:tabs>
          <w:tab w:val="left" w:pos="5387"/>
        </w:tabs>
        <w:ind w:right="4103"/>
        <w:jc w:val="both"/>
        <w:rPr>
          <w:i/>
        </w:rPr>
      </w:pPr>
      <w:r w:rsidRPr="001349FA">
        <w:rPr>
          <w:i/>
        </w:rPr>
        <w:t>(ID Nr. RS</w:t>
      </w:r>
      <w:r w:rsidR="001349FA">
        <w:rPr>
          <w:i/>
        </w:rPr>
        <w:t>/</w:t>
      </w:r>
      <w:r w:rsidRPr="001349FA">
        <w:rPr>
          <w:i/>
        </w:rPr>
        <w:t>2026/17) nolikuma prasībām</w:t>
      </w:r>
    </w:p>
    <w:p w14:paraId="60CCE50F" w14:textId="77777777" w:rsidR="007F3584" w:rsidRPr="008365EC" w:rsidRDefault="007F3584" w:rsidP="007F3584">
      <w:pPr>
        <w:ind w:right="417"/>
        <w:rPr>
          <w:i/>
        </w:rPr>
      </w:pPr>
    </w:p>
    <w:p w14:paraId="2F7C4F3C" w14:textId="3823CEC7" w:rsidR="007F3584" w:rsidRPr="008365EC" w:rsidRDefault="007F3584" w:rsidP="007F3584">
      <w:pPr>
        <w:tabs>
          <w:tab w:val="right" w:pos="9355"/>
        </w:tabs>
        <w:ind w:right="-45" w:firstLine="426"/>
        <w:jc w:val="both"/>
      </w:pPr>
      <w:r w:rsidRPr="008365EC">
        <w:t>Rīgas pašvaldības sabiedrības ar ierobežotu atbildību „Rīgas satiksme” (turpmāk – Pasūtītājs) Iepirkuma komisija no iespējamā pretendenta ir</w:t>
      </w:r>
      <w:r w:rsidR="00B74FDD" w:rsidRPr="008365EC">
        <w:t xml:space="preserve"> saņēmusi</w:t>
      </w:r>
      <w:r w:rsidRPr="008365EC">
        <w:t xml:space="preserve"> lūgumu sniegt atbildes uz jautājumiem par </w:t>
      </w:r>
      <w:r w:rsidR="00A47A54" w:rsidRPr="008365EC">
        <w:t>iepirkuma procedūras “Autobusu piegāde” (ID Nr. RS 2026/17) (turpmāk – iepirkuma procedūra) nolikuma prasībām.</w:t>
      </w:r>
    </w:p>
    <w:p w14:paraId="2EA0CFC3" w14:textId="77777777" w:rsidR="007F3584" w:rsidRPr="008365EC" w:rsidRDefault="007F3584" w:rsidP="007F3584">
      <w:pPr>
        <w:ind w:right="-8"/>
        <w:jc w:val="both"/>
      </w:pPr>
    </w:p>
    <w:p w14:paraId="6A4F2C6D" w14:textId="77777777" w:rsidR="007F3584" w:rsidRPr="008365EC" w:rsidRDefault="007F3584" w:rsidP="007F3584">
      <w:pPr>
        <w:ind w:right="-8"/>
        <w:jc w:val="both"/>
        <w:rPr>
          <w:b/>
          <w:bCs/>
        </w:rPr>
      </w:pPr>
      <w:r w:rsidRPr="008365EC">
        <w:rPr>
          <w:b/>
          <w:bCs/>
        </w:rPr>
        <w:t>1.jautājums:</w:t>
      </w:r>
    </w:p>
    <w:p w14:paraId="7DF8BE87" w14:textId="77777777" w:rsidR="004E14A2" w:rsidRPr="008365EC" w:rsidRDefault="004E14A2" w:rsidP="004E14A2">
      <w:pPr>
        <w:ind w:right="-8" w:firstLine="720"/>
        <w:jc w:val="both"/>
      </w:pPr>
      <w:r w:rsidRPr="008365EC">
        <w:t>Nolikuma 15.2. un 15.3. punktā noteiktās minimālā gada finanšu apgrozījuma prasības (attiecīgi EUR 30 000 000 un EUR 60 000 000) ir paredzētas kā apliecinājums pretendenta finansiālajai stabilitātei un spējai izpildīt iepirkuma līgumu. Lūdzam pasūtītāju pārskatīt šīs prasības, ņemot vērā divus būtiskus apsvērumus-</w:t>
      </w:r>
    </w:p>
    <w:p w14:paraId="4AB22D77" w14:textId="77777777" w:rsidR="004E14A2" w:rsidRPr="008365EC" w:rsidRDefault="004E14A2" w:rsidP="00BE6435">
      <w:pPr>
        <w:ind w:right="-8" w:firstLine="720"/>
        <w:jc w:val="both"/>
      </w:pPr>
      <w:r w:rsidRPr="008365EC">
        <w:t>pirmkārt, pasūtītāja finansiālā aizsardzība līguma neizpildes gadījumā tiek nodrošināta ar nolikumā jau paredzētajiem instrumentiem – piedāvājuma nodrošinājumu un līguma izpildes garantiju 10% apmērā no līgumcenas, kuru izsniedz banka vai apdrošināšanas sabiedrība. Tieši šie instrumenti reāli aizsargā pasūtītāju riska iestāšanās gadījumā. Pretendenta spēja iegūt šādu garantiju jau apliecina finanšu iestāžu veiktu pretendenta novērtējumu. Ja pasūtītāja intereses tiek nodrošinātas ar šiem mehānismiem, lūdzam paskaidrot, kādu papildu aizsardzību sniedz apgrozījuma prasība, ko minētie instrumenti jau nenodrošina.</w:t>
      </w:r>
    </w:p>
    <w:p w14:paraId="308701C7" w14:textId="77777777" w:rsidR="004E14A2" w:rsidRPr="008365EC" w:rsidRDefault="004E14A2" w:rsidP="00BE6435">
      <w:pPr>
        <w:ind w:right="-8" w:firstLine="720"/>
        <w:jc w:val="both"/>
      </w:pPr>
      <w:r w:rsidRPr="008365EC">
        <w:t>Otrkārt, finanšu apgrozījums nav uzticams uzņēmuma finansiālās stabilitātes rādītājs. Uzņēmums var uzrādīt EUR 60 000 000 apgrozījumu un vienlaikus strādāt ar būtiskiem zaudējumiem, savukārt cits uzņēmums ar EUR 20 000 000 apgrozījumu var būt stabils, rentabls un finansiāli daudz drošāks sadarbības partneris. Ja mērķis ir novērtēt pretendenta finansiālo stabilitāti, daudz ticamāki rādītāji būtu, piemēram, pašu kapitāls, likviditātes koeficients vai peļņas rādītāji – kas, starp citu, nolikumā jau paredzēti kā atsevišķa prasība (nolikuma 15.1. punkts).</w:t>
      </w:r>
    </w:p>
    <w:p w14:paraId="4280760E" w14:textId="465BF713" w:rsidR="004E14A2" w:rsidRPr="008365EC" w:rsidRDefault="004E14A2" w:rsidP="00BE6435">
      <w:pPr>
        <w:ind w:right="-8" w:firstLine="720"/>
        <w:jc w:val="both"/>
      </w:pPr>
      <w:r w:rsidRPr="008365EC">
        <w:t>Ņemot vērā minēto, lūdzam pasūtītāju apsvērt nolikuma 15.2. un 15.3. punktā noteikto apgrozījuma slieksni samazināt vai aizstāt ar alternatīvu finanšu spēju apliecinājuma mehānismu, kas reāli atspoguļo pretendenta finansiālo stabilitāti un neizslēdz no dalības ražotājus, kuri, iespējams, ir finansiāli stabilāki par citiem, taču darbojas šaurākā tirgus segmentā ar mazāku kopējo apgrozījumu.</w:t>
      </w:r>
    </w:p>
    <w:p w14:paraId="6A314D66" w14:textId="77777777" w:rsidR="00C80CAD" w:rsidRPr="008365EC" w:rsidRDefault="00C80CAD" w:rsidP="00C80CAD">
      <w:pPr>
        <w:ind w:right="-8"/>
        <w:jc w:val="both"/>
        <w:rPr>
          <w:i/>
          <w:iCs/>
        </w:rPr>
      </w:pPr>
    </w:p>
    <w:p w14:paraId="54BCF287" w14:textId="504FCE1B" w:rsidR="007F3584" w:rsidRPr="008365EC" w:rsidRDefault="00A466A6" w:rsidP="007F3584">
      <w:pPr>
        <w:ind w:right="-8"/>
        <w:jc w:val="both"/>
        <w:rPr>
          <w:b/>
          <w:bCs/>
        </w:rPr>
      </w:pPr>
      <w:r w:rsidRPr="008365EC">
        <w:rPr>
          <w:b/>
          <w:bCs/>
        </w:rPr>
        <w:t>1.a</w:t>
      </w:r>
      <w:r w:rsidR="007F3584" w:rsidRPr="008365EC">
        <w:rPr>
          <w:b/>
          <w:bCs/>
        </w:rPr>
        <w:t>tbilde:</w:t>
      </w:r>
    </w:p>
    <w:p w14:paraId="7C764935" w14:textId="1C040D2C" w:rsidR="00AA3FCC" w:rsidRPr="008365EC" w:rsidRDefault="00AA3FCC" w:rsidP="00AA3FCC">
      <w:pPr>
        <w:ind w:right="-8" w:firstLine="720"/>
        <w:jc w:val="both"/>
      </w:pPr>
      <w:r w:rsidRPr="008365EC">
        <w:t>Pasūtītājs, izvērtējot iesniegto priekšlikumu</w:t>
      </w:r>
      <w:r w:rsidR="00D724E1" w:rsidRPr="008365EC">
        <w:t xml:space="preserve">, skaidro, ka </w:t>
      </w:r>
      <w:r w:rsidRPr="008365EC">
        <w:t>minimālā gada finanšu apgrozījuma prasības (attiecīgi EUR 30 000 000 un EUR 60 000 000) ir noteiktas ar mērķi pārliecināties par pretendenta pietiekamu finansiālo kapacitāti un stabilitāti, kas ir būtiski, lai nodrošinātu sekmīgu un savlaicīgu iepirkuma līguma izpildi, ņemot vērā iepirkuma apjomu, sarežģītību un ar to saistītos riskus.</w:t>
      </w:r>
    </w:p>
    <w:p w14:paraId="60E376FB" w14:textId="6F35A823" w:rsidR="00AA3FCC" w:rsidRPr="008365EC" w:rsidRDefault="00386982" w:rsidP="00AA3FCC">
      <w:pPr>
        <w:ind w:right="-8" w:firstLine="720"/>
        <w:jc w:val="both"/>
      </w:pPr>
      <w:r w:rsidRPr="008365EC">
        <w:t>P</w:t>
      </w:r>
      <w:r w:rsidR="00AA3FCC" w:rsidRPr="008365EC">
        <w:t>iedāvājuma nodrošinājums un līguma izpildes garantija neaizstāj prasību pēc pietiekamas pretendenta saimnieciskās darbības kapacitātes. Apgrozījuma prasība kalpo kā papildu indikators uzņēmuma darbības mērogam, pieredzei un spējai vienlaikus pārvaldīt nozīmīgus finanšu un operatīvos resursus.</w:t>
      </w:r>
    </w:p>
    <w:p w14:paraId="1158576C" w14:textId="77777777" w:rsidR="00AA3FCC" w:rsidRPr="008365EC" w:rsidRDefault="00AA3FCC" w:rsidP="00AA3FCC">
      <w:pPr>
        <w:ind w:right="-8" w:firstLine="720"/>
        <w:jc w:val="both"/>
      </w:pPr>
      <w:r w:rsidRPr="008365EC">
        <w:t xml:space="preserve">Vienlaikus pasūtītājs norāda, ka finanšu stabilitātes vērtēšana nolikumā jau ir paredzēta kompleksi, tostarp ar citiem finanšu rādītājiem (piemēram, nolikuma 15.1. punktā noteiktajām </w:t>
      </w:r>
      <w:r w:rsidRPr="008365EC">
        <w:lastRenderedPageBreak/>
        <w:t>prasībām), un apgrozījuma prasība ir viens no savstarpēji papildinošiem kritērijiem, nevis vienīgais vērtēšanas elements.</w:t>
      </w:r>
    </w:p>
    <w:p w14:paraId="3A4E32A8" w14:textId="6AFCB974" w:rsidR="00E825A9" w:rsidRPr="008365EC" w:rsidRDefault="00E825A9" w:rsidP="00E825A9">
      <w:pPr>
        <w:ind w:right="-8" w:firstLine="720"/>
        <w:jc w:val="both"/>
      </w:pPr>
      <w:r w:rsidRPr="008365EC">
        <w:t xml:space="preserve">Papildus pasūtītājs informē, ka prasība par minimālo gada finanšu apgrozījumu ir noteikta, pamatojoties uz </w:t>
      </w:r>
      <w:r w:rsidRPr="008365EC">
        <w:rPr>
          <w:b/>
          <w:bCs/>
        </w:rPr>
        <w:t>Sabiedrisko pakalpojumu sniedzēju iepirkumu likuma 51. pantu</w:t>
      </w:r>
      <w:r w:rsidRPr="008365EC">
        <w:t>, kas tieši paredz pasūtītāja tiesības noteikt prasības attiecībā uz piegādātāja saimniecisko un finansiālo stāvokli, tostarp piegādātāja gada minimālo finanšu apgrozījumu. Vienlaikus noteiktā prasība atbilst minētā panta otrajā daļā ietvertajam samērīguma principam</w:t>
      </w:r>
      <w:r w:rsidR="00386982" w:rsidRPr="008365EC">
        <w:t>.</w:t>
      </w:r>
    </w:p>
    <w:p w14:paraId="7B96D732" w14:textId="4A29A91A" w:rsidR="00F60E97" w:rsidRPr="008365EC" w:rsidRDefault="00AA3FCC" w:rsidP="00AA3FCC">
      <w:pPr>
        <w:ind w:right="-8" w:firstLine="720"/>
        <w:jc w:val="both"/>
      </w:pPr>
      <w:r w:rsidRPr="008365EC">
        <w:t xml:space="preserve">Ņemot vērā iepriekš minēto, pasūtītājs uzskata, ka noteiktās prasības ir objektīvas, samērīgas un pamatotas ar iepirkuma priekšmeta specifiku un apjomu, un līdz ar to </w:t>
      </w:r>
      <w:r w:rsidR="00386982" w:rsidRPr="008365EC">
        <w:t>neplāno grozīt šīs prasības</w:t>
      </w:r>
      <w:r w:rsidRPr="008365EC">
        <w:t>.</w:t>
      </w:r>
    </w:p>
    <w:p w14:paraId="26D0E0AC" w14:textId="77777777" w:rsidR="003A01A5" w:rsidRPr="008365EC" w:rsidRDefault="003A01A5" w:rsidP="007F3584">
      <w:pPr>
        <w:rPr>
          <w:b/>
          <w:bCs/>
        </w:rPr>
      </w:pPr>
    </w:p>
    <w:p w14:paraId="43B4889F" w14:textId="77777777" w:rsidR="00DE602E" w:rsidRPr="008365EC" w:rsidRDefault="00DE602E" w:rsidP="00A466A6">
      <w:pPr>
        <w:ind w:right="-8"/>
        <w:jc w:val="both"/>
        <w:rPr>
          <w:b/>
          <w:bCs/>
        </w:rPr>
      </w:pPr>
    </w:p>
    <w:p w14:paraId="75D5EC2C" w14:textId="7492EDAA" w:rsidR="00A466A6" w:rsidRPr="008365EC" w:rsidRDefault="00A466A6" w:rsidP="00A466A6">
      <w:pPr>
        <w:ind w:right="-8"/>
        <w:jc w:val="both"/>
        <w:rPr>
          <w:b/>
          <w:bCs/>
        </w:rPr>
      </w:pPr>
      <w:r w:rsidRPr="008365EC">
        <w:rPr>
          <w:b/>
          <w:bCs/>
        </w:rPr>
        <w:t>2.jautājums:</w:t>
      </w:r>
    </w:p>
    <w:p w14:paraId="55489EA9" w14:textId="68120C6A" w:rsidR="00C80CAD" w:rsidRPr="008365EC" w:rsidRDefault="00BE6435" w:rsidP="00BE6435">
      <w:pPr>
        <w:ind w:right="-8" w:firstLine="720"/>
        <w:jc w:val="both"/>
      </w:pPr>
      <w:r w:rsidRPr="008365EC">
        <w:t>Nolikuma 37. punkts paredz, ka gadījumā, ja piedāvājumu iesniedz piegādātāju apvienība un tā tiek atzīta par uzvarētāju, apvienības dalībniekiem pirms iepirkuma līguma noslēgšanas jāizpilda viena no divām prasībām: vai nu jāizveido pilnsabiedrība, kura reģistrēta Latvijas Republikas Uzņēmumu reģistrā vai attiecīgā ārvalsts reģistrā, un jāiesniedz tās dibināšanas līguma kopija, vai arī jānoslēdz sabiedrības līgums, vienojoties par apvienības dalībnieku atbildības sadalījumu, kurš iesniedzams pasūtītājam.</w:t>
      </w:r>
    </w:p>
    <w:p w14:paraId="3007B00A" w14:textId="1C70489D" w:rsidR="00BE6435" w:rsidRPr="008365EC" w:rsidRDefault="00BD4F97" w:rsidP="00BE6435">
      <w:pPr>
        <w:ind w:right="-8" w:firstLine="720"/>
        <w:jc w:val="both"/>
      </w:pPr>
      <w:r w:rsidRPr="008365EC">
        <w:t>No punkta formulējuma saprotam, ka abi varianti ir līdzvērtīgas alternatīvas un pasūtītājam ir pieņemams jebkurš no tiem – t.i., apvienībai nav obligāti jāreģistrējas Uzņēmumu reģistrā, ja tā iesniedz sabiedrības līgumu ar skaidri noteiktu dalībnieku atbildības sadalījumu. Lūdzam pasūtītāju apstiprināt šo izpratni un paskaidrot, vai pastāv kādi papildu nosacījumi vai apstākļi, kādos pasūtītājs varētu dot priekšroku vai prasīt tieši reģistrētas pilnsabiedrības izveidošanu.</w:t>
      </w:r>
    </w:p>
    <w:p w14:paraId="41B2CD94" w14:textId="77777777" w:rsidR="00BE6435" w:rsidRPr="008365EC" w:rsidRDefault="00BE6435" w:rsidP="00BE6435">
      <w:pPr>
        <w:ind w:right="-8" w:firstLine="720"/>
        <w:jc w:val="both"/>
        <w:rPr>
          <w:i/>
          <w:iCs/>
        </w:rPr>
      </w:pPr>
    </w:p>
    <w:p w14:paraId="232A5D4D" w14:textId="77777777" w:rsidR="00E85B8A" w:rsidRPr="008365EC" w:rsidRDefault="00A466A6" w:rsidP="00A466A6">
      <w:pPr>
        <w:ind w:right="-8"/>
        <w:jc w:val="both"/>
        <w:rPr>
          <w:b/>
          <w:bCs/>
        </w:rPr>
      </w:pPr>
      <w:r w:rsidRPr="008365EC">
        <w:rPr>
          <w:b/>
          <w:bCs/>
        </w:rPr>
        <w:t>2.atbilde:</w:t>
      </w:r>
    </w:p>
    <w:p w14:paraId="41B2A1A1" w14:textId="77777777" w:rsidR="00934E5B" w:rsidRPr="008365EC" w:rsidRDefault="00934E5B" w:rsidP="00A264CA">
      <w:pPr>
        <w:pStyle w:val="NormalWeb"/>
        <w:spacing w:before="0" w:beforeAutospacing="0" w:after="0" w:afterAutospacing="0" w:line="300" w:lineRule="atLeast"/>
        <w:ind w:firstLine="720"/>
        <w:jc w:val="both"/>
      </w:pPr>
      <w:r w:rsidRPr="008365EC">
        <w:t>Pasūtītājs informē, ka nolikuma 37. punktā noteiktie risinājumi ir uzskatāmi par savstarpēji līdzvērtīgām alternatīvām, un pasūtītājam nav nozīmes, kuru no tiem piegādātāju apvienība izvēlas.</w:t>
      </w:r>
    </w:p>
    <w:p w14:paraId="7CEF7A3F" w14:textId="77777777" w:rsidR="00934E5B" w:rsidRPr="008365EC" w:rsidRDefault="00934E5B" w:rsidP="00825028">
      <w:pPr>
        <w:pStyle w:val="NormalWeb"/>
        <w:spacing w:before="0" w:beforeAutospacing="0" w:line="300" w:lineRule="atLeast"/>
        <w:ind w:firstLine="720"/>
        <w:jc w:val="both"/>
      </w:pPr>
      <w:r w:rsidRPr="008365EC">
        <w:t>Attiecīgi pasūtītājs apstiprina, ka apvienībai nav obligāti jāreģistrē pilnsabiedrība Uzņēmumu reģistrā, ja tā izvēlas noslēgt sabiedrības līgumu, kurā ir skaidri noteikts apvienības dalībnieku atbildības sadalījums un kas tiek iesniegts pasūtītājam.</w:t>
      </w:r>
    </w:p>
    <w:p w14:paraId="79495624" w14:textId="77777777" w:rsidR="00934E5B" w:rsidRPr="008365EC" w:rsidRDefault="00934E5B" w:rsidP="00C43740">
      <w:pPr>
        <w:pStyle w:val="Tabulasheader"/>
        <w:spacing w:before="0" w:after="0"/>
        <w:ind w:right="-7" w:firstLine="720"/>
        <w:jc w:val="both"/>
        <w:rPr>
          <w:rFonts w:ascii="Times New Roman" w:hAnsi="Times New Roman" w:cs="Times New Roman"/>
          <w:b w:val="0"/>
          <w:bCs w:val="0"/>
          <w:sz w:val="24"/>
          <w:szCs w:val="24"/>
          <w:lang w:val="lv-LV"/>
        </w:rPr>
      </w:pPr>
    </w:p>
    <w:p w14:paraId="6E4B22FF" w14:textId="74535BAC" w:rsidR="00A36920" w:rsidRPr="008365EC" w:rsidRDefault="00A36920" w:rsidP="00A36920">
      <w:pPr>
        <w:ind w:right="-8"/>
        <w:jc w:val="both"/>
        <w:rPr>
          <w:b/>
          <w:bCs/>
        </w:rPr>
      </w:pPr>
      <w:r w:rsidRPr="008365EC">
        <w:rPr>
          <w:b/>
          <w:bCs/>
        </w:rPr>
        <w:t>3.jautājums:</w:t>
      </w:r>
    </w:p>
    <w:p w14:paraId="0E2B6BF6" w14:textId="5EFF26C1" w:rsidR="00BD4F97" w:rsidRPr="008365EC" w:rsidRDefault="00BD4F97" w:rsidP="00BD4F97">
      <w:pPr>
        <w:ind w:right="-8" w:firstLine="720"/>
        <w:jc w:val="both"/>
      </w:pPr>
      <w:r w:rsidRPr="008365EC">
        <w:t>Nolikuma 15.4. punkts paredz, ka pretendents, kurš vēlas balstīties uz citas personas saimnieciskajām un finansiālajām iespējām, pierāda pasūtītājam, ka viņa rīcībā būs nepieciešamie resursi, iesniedzot attiecīgu apliecinājumu vai vienošanos par sadarbību. Minētā punkta otrajā teikumā papildus noteikts, ka pretendentam un personai, uz kuras spējām tas balstās, jābūt solidāri atbildīgiem par iepirkuma līguma izpildi. Savukārt nolikuma 17.1.5. un 17.2.5. punkts, kas regulē balstīšanos uz citas personas tehniskajām un profesionālajām spējām (pieredzi), paredz vienīgi apliecinājuma vai sadarbības vienošanās iesniegšanu – bez prasības par solidāru atbildību.</w:t>
      </w:r>
    </w:p>
    <w:p w14:paraId="32D97923" w14:textId="77777777" w:rsidR="00BD4F97" w:rsidRPr="008365EC" w:rsidRDefault="00BD4F97" w:rsidP="00BD4F97">
      <w:pPr>
        <w:ind w:right="-8" w:firstLine="720"/>
        <w:jc w:val="both"/>
      </w:pPr>
      <w:r w:rsidRPr="008365EC">
        <w:t>Šāda asimetrija rada vairākus praktiski nozīmīgus jautājumus. Finanšu spēju gadījumā solidāras atbildības prasība pēc satura ir identiska apvienības dalībnieka atbildībai, kas de facto nozīmē, ka pretendents, kurš vēlas balstīties uz citas personas finanšu spējām, ir spiests uzņemties apvienībai raksturīgās saistības, pat ja formāli apvienība netiek veidota. Turpretim pretendents, kurš balstās uz citas personas pieredzi, var palikt kā viens pretendents bez šādiem papildu nosacījumiem. Nolikums pie tam nedod skaidru atbildi uz jautājumu, vai persona, uz kuras spējām pretendents balstās – neatkarīgi no tā, vai tā ir finanšu spējas vai pieredze – šī iepirkuma izpratnē tiek uzskatīta par apakšuzņēmēju, uz kuru attiecināmas nolikuma 16.2. punkta prasības (vienošanās par sadarbību, kurā norādīti nododamo pakalpojumu veidi un to vērtība naudas izteiksmē) un izslēgšanas nosacījumu pārbaude.</w:t>
      </w:r>
    </w:p>
    <w:p w14:paraId="7EDE1F7A" w14:textId="5C08F31A" w:rsidR="000F6B23" w:rsidRPr="008365EC" w:rsidRDefault="00BD4F97" w:rsidP="00BD4F97">
      <w:pPr>
        <w:ind w:right="-8" w:firstLine="720"/>
        <w:jc w:val="both"/>
      </w:pPr>
      <w:r w:rsidRPr="008365EC">
        <w:t xml:space="preserve">Nolikuma 18.7. punkts paredz, ka gadījumā, ja pretendents plāno piesaistīt apakšuzņēmēju, kura sniedzamo pakalpojumu vērtība ir vismaz 10 000 eiro, jāiesniedz nolikuma 16.2. punktā </w:t>
      </w:r>
      <w:r w:rsidRPr="008365EC">
        <w:lastRenderedPageBreak/>
        <w:t>minētās vienošanās kopija. Vienlaikus SPSIL izpratnē apakšuzņēmējs ir ikviena persona, kura sniedz pakalpojumus, kas nepieciešami pasūtītāja noslēgtā līguma izpildei, neatkarīgi no tā, kādā tiesiskajā formā šī sadarbība noformēta. Tādēļ nav skaidrs, vai persona, uz kuras spējām pretendents balstās un kura, iespējams, piedalīsies arī līguma izpildē, automātiski iegūst apakšuzņēmēja statusu ar visām no tā izrietošajām dokumentārām un pārbaudes prasībām.</w:t>
      </w:r>
    </w:p>
    <w:p w14:paraId="585B1368" w14:textId="77777777" w:rsidR="00525EB5" w:rsidRPr="008365EC" w:rsidRDefault="00525EB5" w:rsidP="00525EB5">
      <w:pPr>
        <w:ind w:right="-8" w:firstLine="720"/>
        <w:jc w:val="both"/>
      </w:pPr>
      <w:r w:rsidRPr="008365EC">
        <w:t>Ņemot vērā minēto, lūdzam pasūtītāju paskaidrot:</w:t>
      </w:r>
    </w:p>
    <w:p w14:paraId="39047019" w14:textId="77777777" w:rsidR="00525EB5" w:rsidRPr="008365EC" w:rsidRDefault="00525EB5" w:rsidP="00525EB5">
      <w:pPr>
        <w:ind w:right="-8" w:firstLine="720"/>
        <w:jc w:val="both"/>
      </w:pPr>
      <w:r w:rsidRPr="008365EC">
        <w:t>(1) vai pretendents, kurš balstās uz citas personas finanšu spējām un uzņemas solidāru atbildību, bet formāli neveido piegādātāju apvienību, tiek pielīdzināts apvienībai vai uzskatāms par vienu pretendentu ar atbalsta struktūru;</w:t>
      </w:r>
    </w:p>
    <w:p w14:paraId="7A4D3776" w14:textId="77777777" w:rsidR="00525EB5" w:rsidRPr="008365EC" w:rsidRDefault="00525EB5" w:rsidP="00525EB5">
      <w:pPr>
        <w:ind w:right="-8" w:firstLine="720"/>
        <w:jc w:val="both"/>
      </w:pPr>
      <w:r w:rsidRPr="008365EC">
        <w:t>(2) vai persona, uz kuras tehniskajām un profesionālajām spējām (pieredzi) balstās pretendents, šī iepirkuma izpratnē tiek uzskatīta par apakšuzņēmēju, uz kuru attiecināmas nolikuma 16.2. punkta prasības un izslēgšanas nosacījumu pārbaude;</w:t>
      </w:r>
    </w:p>
    <w:p w14:paraId="0AA08A9B" w14:textId="7F559589" w:rsidR="00525EB5" w:rsidRPr="008365EC" w:rsidRDefault="00525EB5" w:rsidP="00525EB5">
      <w:pPr>
        <w:ind w:right="-8" w:firstLine="720"/>
        <w:jc w:val="both"/>
      </w:pPr>
      <w:r w:rsidRPr="008365EC">
        <w:t>(3) Ja, piemēram, pretendents ir piegādātājs un ražo ražotājs, kur ražotājs ir apakšuzņēmējs, kā norādīt apakšuzņēmēja veicamo darbu apjomu balstoties uz 16.2 punktu?</w:t>
      </w:r>
    </w:p>
    <w:p w14:paraId="21DD0239" w14:textId="77777777" w:rsidR="000476FA" w:rsidRPr="008365EC" w:rsidRDefault="000476FA" w:rsidP="00A36920">
      <w:pPr>
        <w:pStyle w:val="ListParagraph"/>
        <w:ind w:right="-8"/>
        <w:jc w:val="both"/>
        <w:rPr>
          <w:i/>
          <w:iCs/>
        </w:rPr>
      </w:pPr>
    </w:p>
    <w:p w14:paraId="1932ABBD" w14:textId="77777777" w:rsidR="009F0750" w:rsidRPr="008365EC" w:rsidRDefault="00A36920" w:rsidP="009F0750">
      <w:pPr>
        <w:ind w:right="-8"/>
        <w:jc w:val="both"/>
        <w:rPr>
          <w:b/>
          <w:bCs/>
        </w:rPr>
      </w:pPr>
      <w:r w:rsidRPr="008365EC">
        <w:rPr>
          <w:b/>
          <w:bCs/>
        </w:rPr>
        <w:t>3.atbilde:</w:t>
      </w:r>
    </w:p>
    <w:p w14:paraId="42FE0CFB" w14:textId="5B1872EA" w:rsidR="008F76D6" w:rsidRPr="008365EC" w:rsidRDefault="009F0750" w:rsidP="008F76D6">
      <w:pPr>
        <w:ind w:right="-8"/>
        <w:jc w:val="both"/>
        <w:rPr>
          <w:rStyle w:val="Strong"/>
        </w:rPr>
      </w:pPr>
      <w:r w:rsidRPr="008365EC">
        <w:rPr>
          <w:rStyle w:val="Strong"/>
        </w:rPr>
        <w:t>Par jautājum</w:t>
      </w:r>
      <w:r w:rsidR="00952FD4" w:rsidRPr="008365EC">
        <w:rPr>
          <w:rStyle w:val="Strong"/>
        </w:rPr>
        <w:t>a 1.daļu</w:t>
      </w:r>
      <w:r w:rsidRPr="008365EC">
        <w:rPr>
          <w:rStyle w:val="Strong"/>
        </w:rPr>
        <w:t>:</w:t>
      </w:r>
    </w:p>
    <w:p w14:paraId="34A2B2A8" w14:textId="33D7AE24" w:rsidR="009F0750" w:rsidRPr="008365EC" w:rsidRDefault="009F0750" w:rsidP="008F76D6">
      <w:pPr>
        <w:ind w:right="-8" w:firstLine="720"/>
        <w:jc w:val="both"/>
        <w:rPr>
          <w:b/>
          <w:bCs/>
        </w:rPr>
      </w:pPr>
      <w:r w:rsidRPr="008365EC">
        <w:t>Skaidrojam, ka Pretendents, kurš balstās uz citas personas saimnieciskajām un finansiālajām iespējām, saskaņā ar S</w:t>
      </w:r>
      <w:r w:rsidR="00AE4880" w:rsidRPr="008365EC">
        <w:t>abiedrisko pakalpojuma sniedzēju iepirkuma likuma</w:t>
      </w:r>
      <w:r w:rsidRPr="008365EC">
        <w:t xml:space="preserve"> 51. panta astoto daļu, paliek viens pretendents, nevis tiek pielīdzināts piegādātāju apvienībai. Prasība par solidāru atbildību šajā gadījumā nepadara to par apvienību, bet kalpo kā tiesisks mehānisms, lai nodrošinātu, ka pasūtītājam ir iespēja vērsties pret abām personām līguma neizpildes gadījumā.</w:t>
      </w:r>
      <w:r w:rsidRPr="008365EC">
        <w:br/>
        <w:t>Līdz ar to šādā situācijā runa ir par vienu pretendentu ar atbalsta personu, nevis par piegādātāju apvienību.</w:t>
      </w:r>
      <w:r w:rsidR="00CF3691" w:rsidRPr="008365EC">
        <w:t xml:space="preserve"> Papildus norādām, ka Pasūtītājs būs tiesīgs personu, uz kuras saimnieciskajām un finansiālajām iespējām pretendents balstās, norādīt iepirkuma līgumā, tādejādi nodrošinot, ka solidārās atbildības jautājums ir fiksēts arī iepirkuma līgumā.</w:t>
      </w:r>
    </w:p>
    <w:p w14:paraId="403DD639" w14:textId="5DFF1F04" w:rsidR="008F76D6" w:rsidRPr="008365EC" w:rsidRDefault="009F0750" w:rsidP="008F76D6">
      <w:pPr>
        <w:pStyle w:val="NormalWeb"/>
        <w:spacing w:after="0" w:afterAutospacing="0" w:line="300" w:lineRule="atLeast"/>
        <w:jc w:val="both"/>
      </w:pPr>
      <w:r w:rsidRPr="008365EC">
        <w:rPr>
          <w:rStyle w:val="Strong"/>
        </w:rPr>
        <w:t>Par</w:t>
      </w:r>
      <w:r w:rsidR="00AE4880" w:rsidRPr="008365EC">
        <w:rPr>
          <w:rStyle w:val="Strong"/>
        </w:rPr>
        <w:t xml:space="preserve"> jautājum</w:t>
      </w:r>
      <w:r w:rsidR="00952FD4" w:rsidRPr="008365EC">
        <w:rPr>
          <w:rStyle w:val="Strong"/>
        </w:rPr>
        <w:t>a 2.daļu</w:t>
      </w:r>
      <w:r w:rsidRPr="008365EC">
        <w:rPr>
          <w:rStyle w:val="Strong"/>
        </w:rPr>
        <w:t>:</w:t>
      </w:r>
    </w:p>
    <w:p w14:paraId="30A5C021" w14:textId="693BE0CB" w:rsidR="00071403" w:rsidRPr="008365EC" w:rsidRDefault="00071403" w:rsidP="00071403">
      <w:pPr>
        <w:spacing w:line="300" w:lineRule="atLeast"/>
        <w:ind w:firstLine="720"/>
        <w:jc w:val="both"/>
      </w:pPr>
      <w:bookmarkStart w:id="0" w:name="_Hlk230868226"/>
      <w:r w:rsidRPr="008365EC">
        <w:t>Saskaņā ar iepirkuma procedūras 17.1.5. un 17.2.5. punktu, Pretendents var balstīties uz citas personas tehniskajām un profesionālajām iespējām tikai tad, ja šī persona iepirkuma līguma izpildes ietvaros sniegs pakalpojumu (</w:t>
      </w:r>
      <w:r w:rsidRPr="008365EC">
        <w:rPr>
          <w:b/>
          <w:bCs/>
        </w:rPr>
        <w:t>piedalīsies līguma izpildē</w:t>
      </w:r>
      <w:r w:rsidRPr="008365EC">
        <w:t xml:space="preserve">), kura izpildei attiecīgās spējas ir nepieciešamas. Attiecīga, ja persona </w:t>
      </w:r>
      <w:r w:rsidRPr="008365EC">
        <w:rPr>
          <w:rStyle w:val="Strong"/>
        </w:rPr>
        <w:t>piedalās līguma izpildē</w:t>
      </w:r>
      <w:r w:rsidRPr="008365EC">
        <w:t>, tā uzskatāma par apakšuzņēmēju attiecīgās iepirkumu procedūras un Sabiedrisko pakalpojuma sniedzēju iepirkuma likuma izpratnē, un uz to attiecināmas nolikuma 16.2. punkta prasības, kā arī izslēgšanas nosacījumu pārbaude.</w:t>
      </w:r>
    </w:p>
    <w:bookmarkEnd w:id="0"/>
    <w:p w14:paraId="44836AA6" w14:textId="77777777" w:rsidR="00F127CF" w:rsidRDefault="00F127CF" w:rsidP="008F76D6">
      <w:pPr>
        <w:pStyle w:val="NormalWeb"/>
        <w:spacing w:before="0" w:beforeAutospacing="0" w:after="0" w:afterAutospacing="0" w:line="300" w:lineRule="atLeast"/>
        <w:jc w:val="both"/>
        <w:rPr>
          <w:rStyle w:val="Strong"/>
        </w:rPr>
      </w:pPr>
    </w:p>
    <w:p w14:paraId="227E9F84" w14:textId="696E38BC" w:rsidR="008F76D6" w:rsidRPr="008365EC" w:rsidRDefault="009F0750" w:rsidP="008F76D6">
      <w:pPr>
        <w:pStyle w:val="NormalWeb"/>
        <w:spacing w:before="0" w:beforeAutospacing="0" w:after="0" w:afterAutospacing="0" w:line="300" w:lineRule="atLeast"/>
        <w:jc w:val="both"/>
        <w:rPr>
          <w:rStyle w:val="Strong"/>
        </w:rPr>
      </w:pPr>
      <w:r w:rsidRPr="008365EC">
        <w:rPr>
          <w:rStyle w:val="Strong"/>
        </w:rPr>
        <w:t>Par</w:t>
      </w:r>
      <w:r w:rsidR="005607C7" w:rsidRPr="008365EC">
        <w:rPr>
          <w:rStyle w:val="Strong"/>
        </w:rPr>
        <w:t xml:space="preserve"> jautājum</w:t>
      </w:r>
      <w:r w:rsidR="00952FD4" w:rsidRPr="008365EC">
        <w:rPr>
          <w:rStyle w:val="Strong"/>
        </w:rPr>
        <w:t>a 3.daļu</w:t>
      </w:r>
      <w:r w:rsidRPr="008365EC">
        <w:rPr>
          <w:rStyle w:val="Strong"/>
        </w:rPr>
        <w:t>:</w:t>
      </w:r>
    </w:p>
    <w:p w14:paraId="4324763A" w14:textId="07BBD85B" w:rsidR="009F0750" w:rsidRPr="008365EC" w:rsidRDefault="009F0750" w:rsidP="008F76D6">
      <w:pPr>
        <w:pStyle w:val="NormalWeb"/>
        <w:spacing w:before="0" w:beforeAutospacing="0" w:after="0" w:afterAutospacing="0" w:line="300" w:lineRule="atLeast"/>
        <w:ind w:firstLine="720"/>
        <w:jc w:val="both"/>
      </w:pPr>
      <w:r w:rsidRPr="008365EC">
        <w:t>Ja pretendents ir piegādātājs un ražotājs tiek piesaistīts kā apakšuzņēmējs (, tad apakšuzņēmēja veicamā darba apjoms saskaņā ar nolikuma 16.2. punktu jānorāda, identificējot:</w:t>
      </w:r>
    </w:p>
    <w:p w14:paraId="68D87739" w14:textId="664A232F" w:rsidR="009F0750" w:rsidRPr="008365EC" w:rsidRDefault="009F0750" w:rsidP="005607C7">
      <w:pPr>
        <w:numPr>
          <w:ilvl w:val="0"/>
          <w:numId w:val="7"/>
        </w:numPr>
        <w:spacing w:after="100" w:afterAutospacing="1" w:line="300" w:lineRule="atLeast"/>
        <w:jc w:val="both"/>
      </w:pPr>
      <w:r w:rsidRPr="008365EC">
        <w:t>sniedzamo piegāžu vai pakalpojumu veidu (piemēram, transportlīdzekļu ražošana, komplektēšana, u.c.),</w:t>
      </w:r>
    </w:p>
    <w:p w14:paraId="5362A29E" w14:textId="77777777" w:rsidR="009F0750" w:rsidRPr="008365EC" w:rsidRDefault="009F0750" w:rsidP="009E5F7A">
      <w:pPr>
        <w:numPr>
          <w:ilvl w:val="0"/>
          <w:numId w:val="7"/>
        </w:numPr>
        <w:spacing w:before="100" w:beforeAutospacing="1" w:line="300" w:lineRule="atLeast"/>
        <w:jc w:val="both"/>
      </w:pPr>
      <w:r w:rsidRPr="008365EC">
        <w:t>attiecīgo darbu vai piegāžu apjomu un vērtību naudas izteiksmē (piemēram, procentuāli no līgumcenas vai konkrētā summā).</w:t>
      </w:r>
    </w:p>
    <w:p w14:paraId="0A056A3C" w14:textId="0EABFBBF" w:rsidR="009F0750" w:rsidRPr="008365EC" w:rsidRDefault="009F0750" w:rsidP="009E5F7A">
      <w:pPr>
        <w:pStyle w:val="NormalWeb"/>
        <w:spacing w:before="0" w:beforeAutospacing="0" w:after="0" w:afterAutospacing="0" w:line="300" w:lineRule="atLeast"/>
        <w:ind w:firstLine="720"/>
        <w:jc w:val="both"/>
      </w:pPr>
      <w:r w:rsidRPr="008365EC">
        <w:t xml:space="preserve">Pasūtītājs </w:t>
      </w:r>
      <w:r w:rsidR="004C4326" w:rsidRPr="008365EC">
        <w:t>informē</w:t>
      </w:r>
      <w:r w:rsidRPr="008365EC">
        <w:t>, ka šādai informācijai jābūt pietiekami skaidrai, lai būtu saprotams apakšuzņēmēja faktiskās iesaistes apjoms līguma izpildē.</w:t>
      </w:r>
    </w:p>
    <w:p w14:paraId="0CC92351" w14:textId="2F9439B4" w:rsidR="009F0750" w:rsidRPr="008365EC" w:rsidRDefault="009F0750" w:rsidP="009E5F7A">
      <w:pPr>
        <w:pStyle w:val="NormalWeb"/>
        <w:spacing w:before="0" w:beforeAutospacing="0" w:after="0" w:afterAutospacing="0" w:line="300" w:lineRule="atLeast"/>
        <w:ind w:firstLine="720"/>
        <w:jc w:val="both"/>
        <w:rPr>
          <w:b/>
          <w:bCs/>
        </w:rPr>
      </w:pPr>
      <w:r w:rsidRPr="008365EC">
        <w:rPr>
          <w:rStyle w:val="Strong"/>
        </w:rPr>
        <w:t>Papildus</w:t>
      </w:r>
      <w:r w:rsidR="00D66D5B" w:rsidRPr="008365EC">
        <w:rPr>
          <w:rStyle w:val="Strong"/>
        </w:rPr>
        <w:t xml:space="preserve"> </w:t>
      </w:r>
      <w:r w:rsidR="00D66D5B" w:rsidRPr="008365EC">
        <w:rPr>
          <w:rStyle w:val="Strong"/>
          <w:b w:val="0"/>
          <w:bCs w:val="0"/>
        </w:rPr>
        <w:t>Pasūtītājs skaidro, ka</w:t>
      </w:r>
      <w:r w:rsidR="009E5F7A" w:rsidRPr="008365EC">
        <w:rPr>
          <w:rStyle w:val="Strong"/>
          <w:b w:val="0"/>
          <w:bCs w:val="0"/>
        </w:rPr>
        <w:t xml:space="preserve"> </w:t>
      </w:r>
      <w:r w:rsidR="00D66D5B" w:rsidRPr="008365EC">
        <w:rPr>
          <w:rStyle w:val="Strong"/>
          <w:b w:val="0"/>
          <w:bCs w:val="0"/>
        </w:rPr>
        <w:t>a</w:t>
      </w:r>
      <w:r w:rsidRPr="008365EC">
        <w:t xml:space="preserve">tšķirīgā pieeja finanšu spējām (solidārā atbildība) un tehniskajām/profesionālajām spējām atbilst </w:t>
      </w:r>
      <w:r w:rsidR="00175B46" w:rsidRPr="008365EC">
        <w:t xml:space="preserve">Sabiedrisko pakalpojuma sniedzēju iepirkuma likuma </w:t>
      </w:r>
      <w:r w:rsidRPr="008365EC">
        <w:t xml:space="preserve">regulējumam. </w:t>
      </w:r>
      <w:r w:rsidR="00175B46" w:rsidRPr="008365EC">
        <w:t xml:space="preserve">Sabiedrisko pakalpojuma sniedzēju iepirkuma likuma </w:t>
      </w:r>
      <w:r w:rsidRPr="008365EC">
        <w:t>51. panta astotā daļa tieši paredz pasūtītāja tiesības noteikt solidāru atbildību gadījumos, kad pretendents balstās uz citas personas saimnieciskajām un finansiālajām iespējām, savukārt attiecībā uz tehniskajām un profesionālajām spējām šāda prasība nav obligāti piemērojama.</w:t>
      </w:r>
    </w:p>
    <w:p w14:paraId="1B5C91A7" w14:textId="7FEE1141" w:rsidR="009F0750" w:rsidRPr="008365EC" w:rsidRDefault="009F0750" w:rsidP="00175B46">
      <w:pPr>
        <w:pStyle w:val="NormalWeb"/>
        <w:spacing w:before="0" w:beforeAutospacing="0" w:line="300" w:lineRule="atLeast"/>
        <w:ind w:firstLine="720"/>
        <w:jc w:val="both"/>
      </w:pPr>
      <w:r w:rsidRPr="008365EC">
        <w:t>Ņemot vērā minēto, nolikumā ietvertais regulējums nav pretrunīgs, bet gan atbilst normatīvajam regulējumam.</w:t>
      </w:r>
    </w:p>
    <w:p w14:paraId="1876D142" w14:textId="68244D92" w:rsidR="00423666" w:rsidRPr="008365EC" w:rsidRDefault="00423666" w:rsidP="00423666">
      <w:pPr>
        <w:ind w:right="-8"/>
        <w:jc w:val="both"/>
        <w:rPr>
          <w:b/>
          <w:bCs/>
        </w:rPr>
      </w:pPr>
      <w:r w:rsidRPr="008365EC">
        <w:rPr>
          <w:b/>
          <w:bCs/>
        </w:rPr>
        <w:lastRenderedPageBreak/>
        <w:t>4.jautājums:</w:t>
      </w:r>
    </w:p>
    <w:p w14:paraId="109832A1" w14:textId="791C8B50" w:rsidR="007532F0" w:rsidRPr="008365EC" w:rsidRDefault="00525EB5" w:rsidP="00427DCC">
      <w:pPr>
        <w:ind w:right="-8"/>
        <w:jc w:val="both"/>
        <w:outlineLvl w:val="0"/>
      </w:pPr>
      <w:r w:rsidRPr="008365EC">
        <w:t>Kas ir paātrinājuma pieauguma ātrums (rāviens) un kāda ir tā mērvienība?</w:t>
      </w:r>
    </w:p>
    <w:p w14:paraId="59983FB0" w14:textId="77777777" w:rsidR="00423666" w:rsidRPr="008365EC" w:rsidRDefault="00423666" w:rsidP="00423666">
      <w:pPr>
        <w:ind w:right="372"/>
        <w:jc w:val="both"/>
        <w:outlineLvl w:val="0"/>
      </w:pPr>
    </w:p>
    <w:p w14:paraId="5E06BD2B" w14:textId="5614296F" w:rsidR="00423666" w:rsidRPr="008365EC" w:rsidRDefault="00423666" w:rsidP="00423666">
      <w:pPr>
        <w:ind w:right="-8"/>
        <w:jc w:val="both"/>
        <w:rPr>
          <w:b/>
          <w:bCs/>
        </w:rPr>
      </w:pPr>
      <w:r w:rsidRPr="008365EC">
        <w:rPr>
          <w:b/>
          <w:bCs/>
        </w:rPr>
        <w:t>4.atbilde:</w:t>
      </w:r>
    </w:p>
    <w:p w14:paraId="2AE306D8" w14:textId="593A5867" w:rsidR="00594C45" w:rsidRPr="008365EC" w:rsidRDefault="009974F3" w:rsidP="00F127CF">
      <w:pPr>
        <w:ind w:firstLine="720"/>
        <w:jc w:val="both"/>
      </w:pPr>
      <w:r w:rsidRPr="008365EC">
        <w:t>Skaidrojam, ka r</w:t>
      </w:r>
      <w:r w:rsidR="00594C45" w:rsidRPr="008365EC">
        <w:t>āviens (</w:t>
      </w:r>
      <w:r w:rsidRPr="008365EC">
        <w:t xml:space="preserve">no </w:t>
      </w:r>
      <w:r w:rsidR="00594C45" w:rsidRPr="008365EC">
        <w:t xml:space="preserve">angļu val. </w:t>
      </w:r>
      <w:r w:rsidR="00594C45" w:rsidRPr="008365EC">
        <w:rPr>
          <w:i/>
          <w:iCs/>
        </w:rPr>
        <w:t>jerk</w:t>
      </w:r>
      <w:r w:rsidR="00594C45" w:rsidRPr="008365EC">
        <w:t>) ir paātrinājuma vai palēninājuma izmaiņas ātrums attiecībā pret laiku. Tā mērvienība ir m/s</w:t>
      </w:r>
      <w:r w:rsidR="00594C45" w:rsidRPr="008365EC">
        <w:rPr>
          <w:vertAlign w:val="superscript"/>
        </w:rPr>
        <w:t>3</w:t>
      </w:r>
      <w:r w:rsidR="00594C45" w:rsidRPr="008365EC">
        <w:t>.</w:t>
      </w:r>
    </w:p>
    <w:p w14:paraId="628A4B08" w14:textId="77777777" w:rsidR="00594C45" w:rsidRPr="008365EC" w:rsidRDefault="00594C45" w:rsidP="00F127CF">
      <w:pPr>
        <w:ind w:firstLine="720"/>
        <w:jc w:val="both"/>
      </w:pPr>
      <w:r w:rsidRPr="008365EC">
        <w:t>Rāviens ir komforta parametrs, kas raksturo kustības vienmērīgumu un ietekmē pasažieru drošību un transportlīdzekļa braukšanas kvalitāti.</w:t>
      </w:r>
    </w:p>
    <w:p w14:paraId="6E6D6571" w14:textId="77777777" w:rsidR="00594C45" w:rsidRPr="00F127CF" w:rsidRDefault="00594C45" w:rsidP="00F127CF">
      <w:pPr>
        <w:ind w:firstLine="720"/>
        <w:jc w:val="both"/>
        <w:rPr>
          <w:b/>
          <w:bCs/>
        </w:rPr>
      </w:pPr>
      <w:r w:rsidRPr="00F127CF">
        <w:rPr>
          <w:b/>
          <w:bCs/>
        </w:rPr>
        <w:t>Vēršam uzmanību, ka tehniskajā specifikācijā norādītā mērvienība (m/s²) ir tehniska kļūda, un pareizā mērvienība rāvienam ir m/s³.</w:t>
      </w:r>
    </w:p>
    <w:p w14:paraId="513753EB" w14:textId="77777777" w:rsidR="00730621" w:rsidRPr="008365EC" w:rsidRDefault="00730621" w:rsidP="00F25D58">
      <w:pPr>
        <w:ind w:right="-8" w:firstLine="720"/>
        <w:jc w:val="both"/>
      </w:pPr>
    </w:p>
    <w:p w14:paraId="20A9E6F3" w14:textId="77777777" w:rsidR="00DE602E" w:rsidRPr="008365EC" w:rsidRDefault="00DE602E" w:rsidP="007532F0">
      <w:pPr>
        <w:ind w:right="-8"/>
        <w:jc w:val="both"/>
        <w:rPr>
          <w:b/>
          <w:bCs/>
        </w:rPr>
      </w:pPr>
    </w:p>
    <w:p w14:paraId="0C9F1C9F" w14:textId="7DF44FE4" w:rsidR="007532F0" w:rsidRPr="008365EC" w:rsidRDefault="007532F0" w:rsidP="007532F0">
      <w:pPr>
        <w:ind w:right="-8"/>
        <w:jc w:val="both"/>
        <w:rPr>
          <w:b/>
          <w:bCs/>
        </w:rPr>
      </w:pPr>
      <w:r w:rsidRPr="008365EC">
        <w:rPr>
          <w:b/>
          <w:bCs/>
        </w:rPr>
        <w:t>5.jautājums:</w:t>
      </w:r>
    </w:p>
    <w:p w14:paraId="3863844E" w14:textId="77777777" w:rsidR="00525EB5" w:rsidRPr="008365EC" w:rsidRDefault="00525EB5" w:rsidP="00525EB5">
      <w:pPr>
        <w:ind w:right="372" w:firstLine="720"/>
        <w:jc w:val="both"/>
        <w:outlineLvl w:val="0"/>
      </w:pPr>
      <w:r w:rsidRPr="008365EC">
        <w:t>Tehniskās specifikācijas E.4. punkts paredz, ka Piegādātājs pilnvaro Pircēju kā autorizētu garantijas servisa partneri, kuram ir tiesības veikt garantijas un defektu novēršanas darbus Piegādātāja vārdā un uz Piegādātāja rēķina. Šāds modelis uzliek Piegādātājam pienākumu nodrošināt Pircēju ar visu nepieciešamo aprīkojumu, instrumentiem un diagnostikas iekārtām, kas vajadzīgas šo darbu kvalitatīvai un garantijas nosacījumiem atbilstošai veikšanai, savukārt finanšu piedāvājuma 2. punkts paredz, ka šo aprīkojumu pretendentam jāiekļauj finanšu piedāvājumā.</w:t>
      </w:r>
    </w:p>
    <w:p w14:paraId="5CD786CA" w14:textId="77777777" w:rsidR="00525EB5" w:rsidRPr="008365EC" w:rsidRDefault="00525EB5" w:rsidP="00525EB5">
      <w:pPr>
        <w:ind w:right="372" w:firstLine="720"/>
        <w:jc w:val="both"/>
        <w:outlineLvl w:val="0"/>
      </w:pPr>
      <w:r w:rsidRPr="008365EC">
        <w:t>Lai pretendentu varētu sagatavot pilnvērtīgu un korektu finanšu piedāvājumu, ir nepieciešama informācija par vairākiem būtiskiem aspektiem, kas iepirkuma dokumentos nav precizēti.</w:t>
      </w:r>
    </w:p>
    <w:p w14:paraId="535AE725" w14:textId="6133AF6A" w:rsidR="00525EB5" w:rsidRPr="008365EC" w:rsidRDefault="00525EB5" w:rsidP="00525EB5">
      <w:pPr>
        <w:ind w:right="372"/>
        <w:jc w:val="both"/>
        <w:outlineLvl w:val="0"/>
      </w:pPr>
      <w:r w:rsidRPr="008365EC">
        <w:t xml:space="preserve">Pirmkārt, no publiski pieejamās informācijas ir zināms, ka Pasūtītājs jau šobrīd ekspluatē elektroautobusus un attiecīgi rīcībā jau ir zināms aprīkojums, instrumenti un diagnostikas iekārtas. Daļa no šī aprīkojuma – piemēram, rites diagnostikas instrumenti, hidrauliskās platformas, celšanas iekārtas, stalažas u.c. – ir universāli un neatkarīgi no autobusu ražotāja. </w:t>
      </w:r>
      <w:r w:rsidR="003C3AF3" w:rsidRPr="008365EC">
        <w:rPr>
          <w:b/>
          <w:bCs/>
        </w:rPr>
        <w:t>[1]</w:t>
      </w:r>
      <w:r w:rsidR="001949B9" w:rsidRPr="008365EC">
        <w:rPr>
          <w:b/>
          <w:bCs/>
        </w:rPr>
        <w:t xml:space="preserve"> </w:t>
      </w:r>
      <w:r w:rsidRPr="008365EC">
        <w:t>Lūdzam paskaidrot, vai pretendentam ir iespēja iepazīties ar Pasūtītāja jau esošo aprīkojumu, lai novērtētu, kas no piedāvājamā autobusu modeļa apkopei un diagnostikai nepieciešamā aprīkojuma jau ir Pasūtītāja rīcībā un ko tātad nav nepieciešams iekļaut finanšu piedāvājumā tādejādi radot vienlīdzīgu izpratni starp pretendentiem un nodrošināt vienlīdzīgus apstākļus starp tiem iepirkuma procedūrā.</w:t>
      </w:r>
    </w:p>
    <w:p w14:paraId="616268A1" w14:textId="7E0A750D" w:rsidR="00525EB5" w:rsidRPr="008365EC" w:rsidRDefault="00525EB5" w:rsidP="00525EB5">
      <w:pPr>
        <w:ind w:right="372" w:firstLine="720"/>
        <w:jc w:val="both"/>
        <w:outlineLvl w:val="0"/>
      </w:pPr>
      <w:r w:rsidRPr="008365EC">
        <w:t xml:space="preserve">Otrkārt, garantijas un defektu novēršanas darbu apjoms un attiecīgi nepieciešamo instrumentu un iekārtu komplektu skaits tieši atkarīgs no tā, cik dažādās atrašanās vietās (bāzēs, depo) Pasūtītājs plāno šos darbus veikt. Lūdzam norādīt, cik atrašanās vietās garantijas darbi tiks veikti un vai katrā no tām nepieciešams pilns instrumentu un iekārtu komplekts vai arī paredzēts centralizēts modelis ar vienu apkopes bāzi. </w:t>
      </w:r>
      <w:r w:rsidR="001949B9" w:rsidRPr="008365EC">
        <w:rPr>
          <w:b/>
          <w:bCs/>
        </w:rPr>
        <w:t xml:space="preserve">[2] </w:t>
      </w:r>
      <w:r w:rsidRPr="008365EC">
        <w:t>Vai pareizi saprotam, ka šo bāzu skaits ir 2, kā norādīts komplektu skaitā finanšu piedāvājumā?</w:t>
      </w:r>
    </w:p>
    <w:p w14:paraId="1754E1CD" w14:textId="640C9085" w:rsidR="00525EB5" w:rsidRPr="008365EC" w:rsidRDefault="00525EB5" w:rsidP="00525EB5">
      <w:pPr>
        <w:ind w:right="372" w:firstLine="720"/>
        <w:jc w:val="both"/>
        <w:outlineLvl w:val="0"/>
      </w:pPr>
      <w:r w:rsidRPr="008365EC">
        <w:t xml:space="preserve">Treškārt, nolikumā nav skaidri noteikts, uz kādu laiku un ar kādiem īpašumtiesību nosacījumiem Piegādātājam jānodod instrumenti un diagnostikas iekārtas. Iespējamie varianti atšķiras būtiski – nodošana tikai uz garantijas perioda laiku (3 gadi vai 210 000 km), uz visu paredzamo transportlīdzekļu ekspluatācijas laiku (12 gadi) vai nodošana Pasūtītāja īpašumā bez laika ierobežojuma. </w:t>
      </w:r>
      <w:r w:rsidR="001949B9" w:rsidRPr="008365EC">
        <w:rPr>
          <w:b/>
          <w:bCs/>
        </w:rPr>
        <w:t>[3]</w:t>
      </w:r>
      <w:r w:rsidR="001949B9" w:rsidRPr="008365EC">
        <w:t xml:space="preserve"> </w:t>
      </w:r>
      <w:r w:rsidRPr="008365EC">
        <w:t>Katra no šīm situācijām rada krasi atšķirīgu finanšu ietekmi uz piedāvājuma cenu, tāpēc lūdzam precizēt, uz kādu laika periodu un ar kādiem īpašumtiesību nosacījumiem aprīkojums jānodod Pasūtītājam?</w:t>
      </w:r>
    </w:p>
    <w:p w14:paraId="6251565B" w14:textId="2E672BDF" w:rsidR="00DA6E49" w:rsidRPr="008365EC" w:rsidRDefault="00525EB5" w:rsidP="00525EB5">
      <w:pPr>
        <w:ind w:right="372" w:firstLine="720"/>
        <w:jc w:val="both"/>
        <w:outlineLvl w:val="0"/>
      </w:pPr>
      <w:r w:rsidRPr="008365EC">
        <w:t>Lūdzam pasūtītāju sniegt atbildes uz minētajiem jautājumiem un, ja nepieciešams, veikt attiecīgus precizējumus iepirkuma dokumentācijā, lai nodrošinātu pretendentu iespēju sagatavot salīdzināmus un korekti aprēķinātus finanšu piedāvājumus.</w:t>
      </w:r>
    </w:p>
    <w:p w14:paraId="59467C16" w14:textId="77777777" w:rsidR="00525EB5" w:rsidRPr="008365EC" w:rsidRDefault="00525EB5" w:rsidP="00525EB5">
      <w:pPr>
        <w:ind w:right="372" w:firstLine="720"/>
        <w:jc w:val="both"/>
        <w:outlineLvl w:val="0"/>
      </w:pPr>
    </w:p>
    <w:p w14:paraId="0CCDDA0F" w14:textId="4E2CBE74" w:rsidR="007532F0" w:rsidRPr="008365EC" w:rsidRDefault="007532F0" w:rsidP="007532F0">
      <w:pPr>
        <w:ind w:right="-8"/>
        <w:jc w:val="both"/>
        <w:rPr>
          <w:b/>
          <w:bCs/>
        </w:rPr>
      </w:pPr>
      <w:r w:rsidRPr="008365EC">
        <w:rPr>
          <w:b/>
          <w:bCs/>
        </w:rPr>
        <w:t>5.atbilde:</w:t>
      </w:r>
    </w:p>
    <w:p w14:paraId="4D662A03" w14:textId="72226553" w:rsidR="003C3AF3" w:rsidRPr="00F127CF" w:rsidRDefault="003C3AF3" w:rsidP="003C3AF3">
      <w:pPr>
        <w:jc w:val="both"/>
        <w:rPr>
          <w:b/>
          <w:bCs/>
        </w:rPr>
      </w:pPr>
      <w:r w:rsidRPr="00F127CF">
        <w:rPr>
          <w:b/>
          <w:bCs/>
        </w:rPr>
        <w:t>Par jautājum</w:t>
      </w:r>
      <w:r w:rsidR="008365EC" w:rsidRPr="00F127CF">
        <w:rPr>
          <w:b/>
          <w:bCs/>
        </w:rPr>
        <w:t xml:space="preserve">a </w:t>
      </w:r>
      <w:r w:rsidR="00AE5BED">
        <w:rPr>
          <w:b/>
          <w:bCs/>
        </w:rPr>
        <w:t xml:space="preserve">1. </w:t>
      </w:r>
      <w:r w:rsidR="008365EC" w:rsidRPr="00F127CF">
        <w:rPr>
          <w:b/>
          <w:bCs/>
        </w:rPr>
        <w:t>daļu</w:t>
      </w:r>
      <w:r w:rsidRPr="00F127CF">
        <w:rPr>
          <w:b/>
          <w:bCs/>
        </w:rPr>
        <w:t>:</w:t>
      </w:r>
    </w:p>
    <w:p w14:paraId="63669A3E" w14:textId="77777777" w:rsidR="003C3AF3" w:rsidRPr="008365EC" w:rsidRDefault="003C3AF3" w:rsidP="003C3AF3">
      <w:pPr>
        <w:ind w:firstLine="720"/>
        <w:jc w:val="both"/>
      </w:pPr>
      <w:r w:rsidRPr="008365EC">
        <w:t xml:space="preserve">Tehniskās specifikācijas C.3 nodaļā “Speciālie un diagnostikas instrumenti” ir noteikts, ka </w:t>
      </w:r>
      <w:r w:rsidRPr="00F127CF">
        <w:rPr>
          <w:b/>
          <w:bCs/>
        </w:rPr>
        <w:t xml:space="preserve">par speciālajiem instrumentiem netiek uzskatīti standarta darbnīcu instrumenti un aprīkojums, kas ir vispārēji pieejams tirgū un nav specifisks konkrētajam transportlīdzekļa </w:t>
      </w:r>
      <w:r w:rsidRPr="00F127CF">
        <w:rPr>
          <w:b/>
          <w:bCs/>
        </w:rPr>
        <w:lastRenderedPageBreak/>
        <w:t>modelim vai tā sistēmām</w:t>
      </w:r>
      <w:r w:rsidRPr="008365EC">
        <w:t>. Līdz ar to, pretendenta piedāvājumā nav jāiekļauj universālais darbnīcu aprīkojums (piemēram, pacēlāji, platformas u.c.), kas nav specifiski attiecīgā autobusa apkopei un diagnostikai.</w:t>
      </w:r>
    </w:p>
    <w:p w14:paraId="121242D6" w14:textId="77777777" w:rsidR="001949B9" w:rsidRPr="008365EC" w:rsidRDefault="001949B9" w:rsidP="003C3AF3">
      <w:pPr>
        <w:ind w:firstLine="720"/>
        <w:jc w:val="both"/>
      </w:pPr>
    </w:p>
    <w:p w14:paraId="72381E9A" w14:textId="161A56C7" w:rsidR="003C3AF3" w:rsidRPr="00F127CF" w:rsidRDefault="003C3AF3" w:rsidP="003C3AF3">
      <w:pPr>
        <w:jc w:val="both"/>
        <w:rPr>
          <w:b/>
          <w:bCs/>
        </w:rPr>
      </w:pPr>
      <w:r w:rsidRPr="00F127CF">
        <w:rPr>
          <w:b/>
          <w:bCs/>
        </w:rPr>
        <w:t>Par jautājum</w:t>
      </w:r>
      <w:r w:rsidR="008365EC" w:rsidRPr="00F127CF">
        <w:rPr>
          <w:b/>
          <w:bCs/>
        </w:rPr>
        <w:t xml:space="preserve">a </w:t>
      </w:r>
      <w:r w:rsidR="00AE5BED">
        <w:rPr>
          <w:b/>
          <w:bCs/>
        </w:rPr>
        <w:t>2.</w:t>
      </w:r>
      <w:r w:rsidR="008365EC" w:rsidRPr="00F127CF">
        <w:rPr>
          <w:b/>
          <w:bCs/>
        </w:rPr>
        <w:t xml:space="preserve"> daļu</w:t>
      </w:r>
      <w:r w:rsidRPr="00F127CF">
        <w:rPr>
          <w:b/>
          <w:bCs/>
        </w:rPr>
        <w:t>:</w:t>
      </w:r>
    </w:p>
    <w:p w14:paraId="6DFAF13B" w14:textId="0B7FCA97" w:rsidR="003C3AF3" w:rsidRPr="008365EC" w:rsidRDefault="003C3AF3" w:rsidP="003C3AF3">
      <w:pPr>
        <w:ind w:firstLine="720"/>
        <w:jc w:val="both"/>
      </w:pPr>
      <w:r w:rsidRPr="008365EC">
        <w:t xml:space="preserve">Tehniskās specifikācijas C.3 nodaļā un finanšu piedāvājuma formā ir noteikts, ka </w:t>
      </w:r>
      <w:r w:rsidRPr="00F127CF">
        <w:rPr>
          <w:b/>
          <w:bCs/>
        </w:rPr>
        <w:t xml:space="preserve">Piegādātājam jānodrošina </w:t>
      </w:r>
      <w:r w:rsidR="00FF2D63">
        <w:rPr>
          <w:b/>
          <w:bCs/>
        </w:rPr>
        <w:t>2 (</w:t>
      </w:r>
      <w:r w:rsidRPr="00F127CF">
        <w:rPr>
          <w:b/>
          <w:bCs/>
        </w:rPr>
        <w:t>divi</w:t>
      </w:r>
      <w:r w:rsidR="00FF2D63">
        <w:rPr>
          <w:b/>
          <w:bCs/>
        </w:rPr>
        <w:t>)</w:t>
      </w:r>
      <w:r w:rsidRPr="00F127CF">
        <w:rPr>
          <w:b/>
          <w:bCs/>
        </w:rPr>
        <w:t xml:space="preserve"> speciālo un diagnostikas instrumentu komplekti</w:t>
      </w:r>
      <w:r w:rsidRPr="008365EC">
        <w:t>. Attiecīgais komplektu skaits ir uzskatāms par pietiekamu Pasūtītāja vajadzībām, un tas jāņem vērā, sagatavojot finanšu piedāvājumu.</w:t>
      </w:r>
    </w:p>
    <w:p w14:paraId="53788874" w14:textId="77777777" w:rsidR="001949B9" w:rsidRPr="008365EC" w:rsidRDefault="001949B9" w:rsidP="003C3AF3">
      <w:pPr>
        <w:jc w:val="both"/>
      </w:pPr>
    </w:p>
    <w:p w14:paraId="4F0544DE" w14:textId="4CB05799" w:rsidR="003C3AF3" w:rsidRPr="00F127CF" w:rsidRDefault="003C3AF3" w:rsidP="003C3AF3">
      <w:pPr>
        <w:jc w:val="both"/>
        <w:rPr>
          <w:b/>
          <w:bCs/>
        </w:rPr>
      </w:pPr>
      <w:r w:rsidRPr="00F127CF">
        <w:rPr>
          <w:b/>
          <w:bCs/>
        </w:rPr>
        <w:t>Par jautājum</w:t>
      </w:r>
      <w:r w:rsidR="008365EC" w:rsidRPr="00F127CF">
        <w:rPr>
          <w:b/>
          <w:bCs/>
        </w:rPr>
        <w:t xml:space="preserve">a </w:t>
      </w:r>
      <w:r w:rsidR="00AE5BED">
        <w:rPr>
          <w:b/>
          <w:bCs/>
        </w:rPr>
        <w:t>3.</w:t>
      </w:r>
      <w:r w:rsidR="008365EC" w:rsidRPr="00F127CF">
        <w:rPr>
          <w:b/>
          <w:bCs/>
        </w:rPr>
        <w:t xml:space="preserve"> daļu</w:t>
      </w:r>
      <w:r w:rsidRPr="00F127CF">
        <w:rPr>
          <w:b/>
          <w:bCs/>
        </w:rPr>
        <w:t>:</w:t>
      </w:r>
    </w:p>
    <w:p w14:paraId="182FC9CC" w14:textId="77777777" w:rsidR="003C3AF3" w:rsidRPr="008365EC" w:rsidRDefault="003C3AF3" w:rsidP="003C3AF3">
      <w:pPr>
        <w:ind w:firstLine="720"/>
        <w:jc w:val="both"/>
      </w:pPr>
      <w:r w:rsidRPr="008365EC">
        <w:t xml:space="preserve">Ņemot vērā, ka finanšu piedāvājumā ir paredzēta konkrēta instrumentu un diagnostikas iekārtu komplektu iegāde (2 komplekti), tiek uzskatīts, ka šie </w:t>
      </w:r>
      <w:r w:rsidRPr="00F127CF">
        <w:rPr>
          <w:b/>
          <w:bCs/>
        </w:rPr>
        <w:t>komplekti tiek nodoti Pasūtītāja īpašumā bez laika ierobežojuma</w:t>
      </w:r>
      <w:r w:rsidRPr="008365EC">
        <w:t>.</w:t>
      </w:r>
    </w:p>
    <w:p w14:paraId="7C5D6615" w14:textId="77777777" w:rsidR="003C3AF3" w:rsidRPr="008365EC" w:rsidRDefault="003C3AF3" w:rsidP="00F127CF">
      <w:pPr>
        <w:ind w:firstLine="720"/>
        <w:jc w:val="both"/>
      </w:pPr>
      <w:r w:rsidRPr="008365EC">
        <w:t>Papildu informējam, ka tehniskajā specifikācijā noteiktās prasības attiecībā uz instrumentiem un diagnostikas iekārtām ir pietiekami skaidras, lai pretendenti varētu sagatavot savstarpēji salīdzināmus un korektus finanšu piedāvājumus.</w:t>
      </w:r>
    </w:p>
    <w:p w14:paraId="427799A4" w14:textId="2078C7DC" w:rsidR="000A0105" w:rsidRPr="008365EC" w:rsidRDefault="000A0105" w:rsidP="000823F7">
      <w:pPr>
        <w:ind w:right="-8"/>
        <w:jc w:val="both"/>
      </w:pPr>
    </w:p>
    <w:p w14:paraId="78241F57" w14:textId="77777777" w:rsidR="00717601" w:rsidRPr="008365EC" w:rsidRDefault="00717601" w:rsidP="00F25D58">
      <w:pPr>
        <w:ind w:right="-8" w:firstLine="720"/>
        <w:jc w:val="both"/>
      </w:pPr>
    </w:p>
    <w:p w14:paraId="05F69D1D" w14:textId="294E2AC8" w:rsidR="007532F0" w:rsidRPr="008365EC" w:rsidRDefault="007532F0" w:rsidP="007532F0">
      <w:pPr>
        <w:ind w:right="-8"/>
        <w:jc w:val="both"/>
        <w:rPr>
          <w:b/>
          <w:bCs/>
        </w:rPr>
      </w:pPr>
      <w:r w:rsidRPr="008365EC">
        <w:rPr>
          <w:b/>
          <w:bCs/>
        </w:rPr>
        <w:t>6.jautājums:</w:t>
      </w:r>
    </w:p>
    <w:p w14:paraId="37D3B5F4" w14:textId="77777777" w:rsidR="00525EB5" w:rsidRPr="008365EC" w:rsidRDefault="00525EB5" w:rsidP="00525EB5">
      <w:pPr>
        <w:ind w:right="372" w:firstLine="720"/>
        <w:jc w:val="both"/>
        <w:outlineLvl w:val="0"/>
      </w:pPr>
      <w:r w:rsidRPr="008365EC">
        <w:t xml:space="preserve">Nolikuma tehniskās specifikācijas A.18. punkts paredz, ka ne vēlāk kā 6 mēnešu laikā pēc līguma stāšanās spēkā Piegādātājam rakstiski jāsaskaņo ar Pasūtītāju vairāki variējamie izpildījuma un konfigurācijas elementi, tostarp iekšējās apdares dizains, sēdekļu apdares materiāli, pieturēšanās stieņu un sēdvietu izvietojums, kā arī lēnās uzlādes pieslēguma (CCS2) izvietojums. </w:t>
      </w:r>
    </w:p>
    <w:p w14:paraId="4156BDAC" w14:textId="77777777" w:rsidR="00BA486D" w:rsidRPr="008365EC" w:rsidRDefault="00BA486D" w:rsidP="00BA486D">
      <w:pPr>
        <w:ind w:right="372" w:firstLine="720"/>
        <w:jc w:val="both"/>
        <w:outlineLvl w:val="0"/>
      </w:pPr>
      <w:r w:rsidRPr="008365EC">
        <w:t xml:space="preserve">Minētais punkts nenosaka nekādus kritērijus, robežas vai ierobežojumus, pēc kuriem Pasūtītāja izvēle vai prasības ir vērtējamas kā pamatotas un pieņemamas, nedz arī paredz kādu mehānismu gadījumam, ja puses par saskaņojamo elementu nevar vienoties. Tas rada virkni praktiski nozīmīgu jautājumu. </w:t>
      </w:r>
    </w:p>
    <w:p w14:paraId="37B74FC5" w14:textId="77777777" w:rsidR="00BA486D" w:rsidRPr="008365EC" w:rsidRDefault="00BA486D" w:rsidP="00BA486D">
      <w:pPr>
        <w:ind w:right="372" w:firstLine="720"/>
        <w:jc w:val="both"/>
        <w:outlineLvl w:val="0"/>
      </w:pPr>
      <w:r w:rsidRPr="008365EC">
        <w:t xml:space="preserve">Pirmkārt, attiecībā uz materiāliem un dizainu — nolikumā nav noteikts, kādas ir pieļaujamās materiālu kategorijas, cenas robežas vai funkcionālās prasības. Tas nozīmē, ka Pasūtītājs teorētiski varētu pieprasīt materiālus, kas ir tehniski sarežģīti montāžā, reti pieejami vai ievērojami dārgāki par salīdzināmiem tirgū pieejamiem analogiem, un Piegādātājam nebūtu tiesiskas pamata atteikties, jo šāds nosacījums nav nolikumā ietverts. </w:t>
      </w:r>
    </w:p>
    <w:p w14:paraId="0E7BFBB5" w14:textId="77777777" w:rsidR="00BA486D" w:rsidRPr="008365EC" w:rsidRDefault="00BA486D" w:rsidP="00BA486D">
      <w:pPr>
        <w:ind w:right="372" w:firstLine="720"/>
        <w:jc w:val="both"/>
        <w:outlineLvl w:val="0"/>
      </w:pPr>
      <w:r w:rsidRPr="008365EC">
        <w:t xml:space="preserve">Otrkārt, attiecībā uz CCS2 uzlādes pieslēguma izvietojumu — specifikācija pieļauj noteiktus izvietojuma risinājumus, kas izriet no transportlīdzekļa konstrukcijas un drošības prasībām. Ja Pasūtītājs saskaņošanas gaitā pieprasa izvietojumu, kas neatbilst ražotāja konstruktīvajiem risinājumiem, nav skaidrs, vai Piegādātājs var to noraidīt un uz kāda pamata. </w:t>
      </w:r>
    </w:p>
    <w:p w14:paraId="4573F8A4" w14:textId="77777777" w:rsidR="00BA486D" w:rsidRPr="008365EC" w:rsidRDefault="00BA486D" w:rsidP="00BA486D">
      <w:pPr>
        <w:ind w:right="372" w:firstLine="720"/>
        <w:jc w:val="both"/>
        <w:outlineLvl w:val="0"/>
      </w:pPr>
      <w:r w:rsidRPr="008365EC">
        <w:t xml:space="preserve">Treškārt, nolikums neparedz, kas notiek, ja saskaņošana netiek panākta. Nav paredzēts ne strīdu risināšanas mehānisms, ne samērīgs termiņš Pasūtītāja lēmuma pieņemšanai, ne sekas kavēšanās gadījumā. Tas rada risku, ka Piegādātāja ražošanas uzsākšana var tikt bloķēta no Piegādātāja neatkarīgu apstākļu dēļ. </w:t>
      </w:r>
    </w:p>
    <w:p w14:paraId="0D1673AA" w14:textId="77777777" w:rsidR="00BA486D" w:rsidRPr="008365EC" w:rsidRDefault="00BA486D" w:rsidP="00BA486D">
      <w:pPr>
        <w:ind w:right="372" w:firstLine="720"/>
        <w:jc w:val="both"/>
        <w:outlineLvl w:val="0"/>
      </w:pPr>
      <w:r w:rsidRPr="008365EC">
        <w:t xml:space="preserve">Ņemot vērā minēto, lūdzam pasūtītāju paskaidrot: </w:t>
      </w:r>
    </w:p>
    <w:p w14:paraId="315FEA32" w14:textId="77777777" w:rsidR="00BA486D" w:rsidRPr="008365EC" w:rsidRDefault="00BA486D" w:rsidP="00BA486D">
      <w:pPr>
        <w:ind w:right="372"/>
        <w:jc w:val="both"/>
        <w:outlineLvl w:val="0"/>
      </w:pPr>
      <w:r w:rsidRPr="008365EC">
        <w:t xml:space="preserve">(1) kādi ir kritēriji vai ierobežojumi, pēc kuriem Pasūtītājs veiks savu izvēli attiecībā uz A.18. punktā minētajiem saskaņojamajiem elementiem, lai nodrošinātu, ka prasības ir prognozējamas un tehniski izpildāmas; </w:t>
      </w:r>
    </w:p>
    <w:p w14:paraId="47A844CC" w14:textId="77777777" w:rsidR="00BA486D" w:rsidRPr="008365EC" w:rsidRDefault="00BA486D" w:rsidP="00BA486D">
      <w:pPr>
        <w:ind w:right="372"/>
        <w:jc w:val="both"/>
        <w:outlineLvl w:val="0"/>
      </w:pPr>
      <w:r w:rsidRPr="008365EC">
        <w:t xml:space="preserve">(2) vai Piegādātājam ir tiesības noraidīt vai apstrīdēt Pasūtītāja izvēli, ja tā neatbilst transportlīdzekļa tehniskajiem vai konstrukcijas ierobežojumiem vai ir nesamērīgi dārga salīdzinājumā ar standarta risinājumiem; </w:t>
      </w:r>
    </w:p>
    <w:p w14:paraId="7E2EAA3C" w14:textId="1D642EA3" w:rsidR="00525EB5" w:rsidRPr="008365EC" w:rsidRDefault="00BA486D" w:rsidP="00BA486D">
      <w:pPr>
        <w:ind w:right="372"/>
        <w:jc w:val="both"/>
        <w:outlineLvl w:val="0"/>
      </w:pPr>
      <w:r w:rsidRPr="008365EC">
        <w:t>(3) kāda ir paredzētā kārtība gadījumā, ja puses nevar vienoties par kādu no saskaņojamajiem elementiem 6 mēnešu termiņā.</w:t>
      </w:r>
    </w:p>
    <w:p w14:paraId="78856118" w14:textId="77777777" w:rsidR="00F127CF" w:rsidRDefault="00F127CF" w:rsidP="007532F0">
      <w:pPr>
        <w:ind w:right="372"/>
        <w:jc w:val="both"/>
        <w:outlineLvl w:val="0"/>
      </w:pPr>
    </w:p>
    <w:p w14:paraId="5AB60028" w14:textId="77777777" w:rsidR="008640C5" w:rsidRDefault="008640C5" w:rsidP="007532F0">
      <w:pPr>
        <w:ind w:right="372"/>
        <w:jc w:val="both"/>
        <w:outlineLvl w:val="0"/>
      </w:pPr>
    </w:p>
    <w:p w14:paraId="54B42D07" w14:textId="77777777" w:rsidR="008640C5" w:rsidRPr="008365EC" w:rsidRDefault="008640C5" w:rsidP="007532F0">
      <w:pPr>
        <w:ind w:right="372"/>
        <w:jc w:val="both"/>
        <w:outlineLvl w:val="0"/>
      </w:pPr>
    </w:p>
    <w:p w14:paraId="2F2E0ED1" w14:textId="205C4912" w:rsidR="007532F0" w:rsidRPr="008365EC" w:rsidRDefault="007532F0" w:rsidP="007532F0">
      <w:pPr>
        <w:ind w:right="-8"/>
        <w:jc w:val="both"/>
        <w:rPr>
          <w:b/>
          <w:bCs/>
        </w:rPr>
      </w:pPr>
      <w:r w:rsidRPr="008365EC">
        <w:rPr>
          <w:b/>
          <w:bCs/>
        </w:rPr>
        <w:lastRenderedPageBreak/>
        <w:t>6.atbilde:</w:t>
      </w:r>
    </w:p>
    <w:p w14:paraId="66C77E9E" w14:textId="19B3F41C" w:rsidR="006B7E8D" w:rsidRPr="006B7E8D" w:rsidRDefault="006B7E8D" w:rsidP="006B7E8D">
      <w:pPr>
        <w:jc w:val="both"/>
        <w:rPr>
          <w:b/>
          <w:bCs/>
        </w:rPr>
      </w:pPr>
      <w:r w:rsidRPr="006B7E8D">
        <w:rPr>
          <w:b/>
          <w:bCs/>
        </w:rPr>
        <w:t>Par jautājum</w:t>
      </w:r>
      <w:r>
        <w:rPr>
          <w:b/>
          <w:bCs/>
        </w:rPr>
        <w:t>a 1. daļu</w:t>
      </w:r>
      <w:r w:rsidRPr="006B7E8D">
        <w:rPr>
          <w:b/>
          <w:bCs/>
        </w:rPr>
        <w:t>:</w:t>
      </w:r>
    </w:p>
    <w:p w14:paraId="0E515170" w14:textId="77777777" w:rsidR="006B7E8D" w:rsidRPr="006B7E8D" w:rsidRDefault="006B7E8D" w:rsidP="00F127CF">
      <w:pPr>
        <w:ind w:firstLine="720"/>
        <w:jc w:val="both"/>
      </w:pPr>
      <w:r w:rsidRPr="006B7E8D">
        <w:t>Pasūtītājs informē, ka tehniskajā specifikācijā nav paredzēti īpaši kritēriji vai ierobežojumi attiecībā uz A.18. punktā minētajiem saskaņojamajiem elementiem. Vienlaikus Pasūtītāja pieeja ir balstīta uz racionālām un praktiskām vajadzībām, paredzot izmantot standarta risinājumus Piegādātāja piedāvātā transportlīdzekļa konfigurācijas ietvaros.</w:t>
      </w:r>
    </w:p>
    <w:p w14:paraId="60ADE797" w14:textId="77777777" w:rsidR="006B7E8D" w:rsidRPr="006B7E8D" w:rsidRDefault="006B7E8D" w:rsidP="00F127CF">
      <w:pPr>
        <w:ind w:firstLine="720"/>
        <w:jc w:val="both"/>
      </w:pPr>
      <w:r w:rsidRPr="006B7E8D">
        <w:t>Papildus norādām, ka attiecīgo saskaņojamo elementu pamata funkcionālās prasības ir noteiktas tehniskās specifikācijas B. nodaļā, tādējādi nodrošinot, ka izvēlētie risinājumi atbilst Pasūtītāja prasībām un tehniskajai loģikai.</w:t>
      </w:r>
    </w:p>
    <w:p w14:paraId="60BD74FA" w14:textId="77777777" w:rsidR="006B7E8D" w:rsidRDefault="006B7E8D" w:rsidP="006B7E8D">
      <w:pPr>
        <w:jc w:val="both"/>
        <w:rPr>
          <w:b/>
          <w:bCs/>
        </w:rPr>
      </w:pPr>
    </w:p>
    <w:p w14:paraId="0A9A64A6" w14:textId="0C16848B" w:rsidR="006B7E8D" w:rsidRPr="006B7E8D" w:rsidRDefault="006B7E8D" w:rsidP="006B7E8D">
      <w:pPr>
        <w:jc w:val="both"/>
        <w:rPr>
          <w:b/>
          <w:bCs/>
        </w:rPr>
      </w:pPr>
      <w:r w:rsidRPr="006B7E8D">
        <w:rPr>
          <w:b/>
          <w:bCs/>
        </w:rPr>
        <w:t>Par jautājum</w:t>
      </w:r>
      <w:r>
        <w:rPr>
          <w:b/>
          <w:bCs/>
        </w:rPr>
        <w:t>a 2. daļu</w:t>
      </w:r>
      <w:r w:rsidRPr="006B7E8D">
        <w:rPr>
          <w:b/>
          <w:bCs/>
        </w:rPr>
        <w:t>:</w:t>
      </w:r>
    </w:p>
    <w:p w14:paraId="6013F125" w14:textId="77777777" w:rsidR="006B7E8D" w:rsidRPr="006B7E8D" w:rsidRDefault="006B7E8D" w:rsidP="00F127CF">
      <w:pPr>
        <w:ind w:firstLine="720"/>
        <w:jc w:val="both"/>
      </w:pPr>
      <w:r w:rsidRPr="006B7E8D">
        <w:t>Pasūtītājs neplāno pieprasīt risinājumus, kas neatbilst transportlīdzekļa tehniskajām iespējām vai konstrukcijas īpatnībām, vai būtiski pārsniedz standarta risinājumu ietvaru. Saskaņošanas process paredz konstruktīvu sadarbību starp pusēm, ņemot vērā Piegādātāja piedāvāto tehnisko risinājumu.</w:t>
      </w:r>
    </w:p>
    <w:p w14:paraId="29129EEE" w14:textId="77777777" w:rsidR="006B7E8D" w:rsidRDefault="006B7E8D" w:rsidP="006B7E8D">
      <w:pPr>
        <w:jc w:val="both"/>
        <w:rPr>
          <w:b/>
          <w:bCs/>
        </w:rPr>
      </w:pPr>
    </w:p>
    <w:p w14:paraId="78170529" w14:textId="0A15CAED" w:rsidR="006B7E8D" w:rsidRPr="006B7E8D" w:rsidRDefault="006B7E8D" w:rsidP="006B7E8D">
      <w:pPr>
        <w:jc w:val="both"/>
        <w:rPr>
          <w:b/>
          <w:bCs/>
        </w:rPr>
      </w:pPr>
      <w:r w:rsidRPr="006B7E8D">
        <w:rPr>
          <w:b/>
          <w:bCs/>
        </w:rPr>
        <w:t>Par jautājum</w:t>
      </w:r>
      <w:r>
        <w:rPr>
          <w:b/>
          <w:bCs/>
        </w:rPr>
        <w:t>a 3. daļu</w:t>
      </w:r>
      <w:r w:rsidRPr="006B7E8D">
        <w:rPr>
          <w:b/>
          <w:bCs/>
        </w:rPr>
        <w:t>:</w:t>
      </w:r>
    </w:p>
    <w:p w14:paraId="262DE53D" w14:textId="77777777" w:rsidR="006B7E8D" w:rsidRPr="006B7E8D" w:rsidRDefault="006B7E8D" w:rsidP="00F127CF">
      <w:pPr>
        <w:ind w:firstLine="720"/>
        <w:jc w:val="both"/>
      </w:pPr>
      <w:r w:rsidRPr="006B7E8D">
        <w:t>Pasūtītājs nesaskata būtiskus riskus saskaņošanas procesā un tā pabeigšanai noteiktajā termiņā, ņemot vērā, ka tas balstīts uz standarta risinājumu izvēli un savstarpēji saskaņotu pieeju.</w:t>
      </w:r>
    </w:p>
    <w:p w14:paraId="49C02C00" w14:textId="77777777" w:rsidR="006B7E8D" w:rsidRPr="006B7E8D" w:rsidRDefault="006B7E8D" w:rsidP="00F127CF">
      <w:pPr>
        <w:ind w:firstLine="720"/>
        <w:jc w:val="both"/>
      </w:pPr>
      <w:r w:rsidRPr="006B7E8D">
        <w:t>Papildu informējam, ka A.18. punktā paredzētā saskaņošana ir vērsta uz transportlīdzekļa konfigurācijas precizēšanu Pasūtītāja vajadzībām, nevis uz būtiskām tehnisko prasību izmaiņām.</w:t>
      </w:r>
    </w:p>
    <w:p w14:paraId="38D27ACF" w14:textId="77777777" w:rsidR="00BA486D" w:rsidRDefault="00BA486D" w:rsidP="00A47A54">
      <w:pPr>
        <w:ind w:right="-8" w:firstLine="720"/>
        <w:jc w:val="both"/>
      </w:pPr>
    </w:p>
    <w:p w14:paraId="64D3B4E7" w14:textId="77777777" w:rsidR="00F127CF" w:rsidRPr="008365EC" w:rsidRDefault="00F127CF" w:rsidP="00A47A54">
      <w:pPr>
        <w:ind w:right="-8" w:firstLine="720"/>
        <w:jc w:val="both"/>
      </w:pPr>
    </w:p>
    <w:p w14:paraId="4434F01B" w14:textId="5AB0C676" w:rsidR="005F1D86" w:rsidRPr="008365EC" w:rsidRDefault="005F1D86" w:rsidP="005F1D86">
      <w:pPr>
        <w:ind w:right="-8"/>
        <w:jc w:val="both"/>
        <w:rPr>
          <w:b/>
          <w:bCs/>
        </w:rPr>
      </w:pPr>
      <w:r w:rsidRPr="008365EC">
        <w:rPr>
          <w:b/>
          <w:bCs/>
        </w:rPr>
        <w:t>7.jautājums:</w:t>
      </w:r>
    </w:p>
    <w:p w14:paraId="423549E1" w14:textId="63982782" w:rsidR="00BA486D" w:rsidRPr="008365EC" w:rsidRDefault="00BA486D" w:rsidP="00BA486D">
      <w:pPr>
        <w:ind w:right="-8"/>
        <w:jc w:val="both"/>
      </w:pPr>
      <w:r w:rsidRPr="008365EC">
        <w:t>Konkursa nolikuma 3.1 pielikuma A kategorijas 13. punkts nosaka, ka minimālā garantija jānodrošina uz 3 gadiem vai 210 000 km (atkarībā no tā, kas iestājas pirmais) jeb 70 000 km gadā. To pašu nosaka arī konkursa nolikuma 3.1 pielikuma A kategorijas 7. punkts.</w:t>
      </w:r>
    </w:p>
    <w:p w14:paraId="11601D66" w14:textId="77777777" w:rsidR="00BA486D" w:rsidRPr="008365EC" w:rsidRDefault="00BA486D" w:rsidP="00BA486D">
      <w:pPr>
        <w:ind w:right="-8" w:firstLine="720"/>
        <w:jc w:val="both"/>
      </w:pPr>
      <w:r w:rsidRPr="008365EC">
        <w:t>Savukārt konkursa nolikuma 27.2 punkta 2.3 apakšpunktā par papildu tehniskā piedāvājuma punktiem tiek piešķirti punkti, ja garantija autobusam gados ir garāka nekā noteikts iepriekšminētajos punktos. Piemēram, 4 gadi- 3 papildu punkti.</w:t>
      </w:r>
    </w:p>
    <w:p w14:paraId="675B36B7" w14:textId="2F5491AC" w:rsidR="005F1D86" w:rsidRPr="008365EC" w:rsidRDefault="00BA486D" w:rsidP="00BA486D">
      <w:pPr>
        <w:ind w:right="-8" w:firstLine="720"/>
        <w:jc w:val="both"/>
      </w:pPr>
      <w:r w:rsidRPr="008365EC">
        <w:t>Vai arī šajā gadījuma var pieņemt, ka gada nobraukums ir 70 000 un garantija paredzama uz 4 gadiem vai līdz 280 000km vai tomēr 4 gadi ar neierobežotu nobraukumu?</w:t>
      </w:r>
    </w:p>
    <w:p w14:paraId="75D92BF1" w14:textId="77777777" w:rsidR="00F127CF" w:rsidRPr="008365EC" w:rsidRDefault="00F127CF" w:rsidP="005F1D86">
      <w:pPr>
        <w:ind w:right="-8"/>
        <w:jc w:val="both"/>
        <w:rPr>
          <w:b/>
          <w:bCs/>
        </w:rPr>
      </w:pPr>
    </w:p>
    <w:p w14:paraId="314EFF25" w14:textId="310DBB57" w:rsidR="005F1D86" w:rsidRPr="008365EC" w:rsidRDefault="005F1D86" w:rsidP="005F1D86">
      <w:pPr>
        <w:ind w:right="-8"/>
        <w:jc w:val="both"/>
        <w:rPr>
          <w:b/>
          <w:bCs/>
        </w:rPr>
      </w:pPr>
      <w:r w:rsidRPr="008365EC">
        <w:rPr>
          <w:b/>
          <w:bCs/>
        </w:rPr>
        <w:t>7.atbilde:</w:t>
      </w:r>
    </w:p>
    <w:p w14:paraId="4EEFD6CE" w14:textId="01169322" w:rsidR="00C634CD" w:rsidRPr="00C634CD" w:rsidRDefault="00C634CD" w:rsidP="00C634CD">
      <w:pPr>
        <w:ind w:firstLine="720"/>
        <w:jc w:val="both"/>
      </w:pPr>
      <w:r w:rsidRPr="00C634CD">
        <w:t xml:space="preserve">Pasūtītājs </w:t>
      </w:r>
      <w:r>
        <w:t xml:space="preserve"> skaidrot</w:t>
      </w:r>
      <w:r w:rsidRPr="00C634CD">
        <w:t>, ka arī vērtēšanas kritērija (nolikuma 27.2. un 28.2 punkta 2.3. apakšpunkts) piemērošanā transportlīdzekļa garantijas termiņš ir interpretējams kopsakarā ar tehniskajā specifikācijā noteikto ekspluatācijas intensitāti.</w:t>
      </w:r>
    </w:p>
    <w:p w14:paraId="62108655" w14:textId="77777777" w:rsidR="00C634CD" w:rsidRPr="00C634CD" w:rsidRDefault="00C634CD" w:rsidP="00C634CD">
      <w:pPr>
        <w:ind w:firstLine="720"/>
        <w:jc w:val="both"/>
      </w:pPr>
      <w:r w:rsidRPr="00C634CD">
        <w:t>Attiecīgi, nosakot garantijas termiņu gados, ir pieņemams piemērot tehniskajā specifikācijā definēto vidējo gada nobraukumu (70 000 km gadā). Piemēram, 4 gadu garantijas gadījumā tas atbilst nobraukumam līdz 280 000 km, ja vien Piegādātājs nenosaka labvēlīgākus nosacījumus.</w:t>
      </w:r>
    </w:p>
    <w:p w14:paraId="2EFE617E" w14:textId="77777777" w:rsidR="00C634CD" w:rsidRPr="00C634CD" w:rsidRDefault="00C634CD" w:rsidP="00C634CD">
      <w:pPr>
        <w:ind w:firstLine="720"/>
        <w:jc w:val="both"/>
      </w:pPr>
      <w:r w:rsidRPr="00C634CD">
        <w:t>Līdz ar to garantija netiek interpretēta kā garantija uz noteiktu gadu skaitu bez nobraukuma ierobežojuma.</w:t>
      </w:r>
    </w:p>
    <w:p w14:paraId="009994BD" w14:textId="77777777" w:rsidR="00231F6F" w:rsidRPr="008365EC" w:rsidRDefault="00231F6F" w:rsidP="007F3584">
      <w:pPr>
        <w:ind w:right="372"/>
        <w:jc w:val="both"/>
        <w:outlineLvl w:val="0"/>
      </w:pPr>
    </w:p>
    <w:p w14:paraId="3BD1B26E" w14:textId="77777777" w:rsidR="00F127CF" w:rsidRPr="008365EC" w:rsidRDefault="00F127CF" w:rsidP="007F3584">
      <w:pPr>
        <w:ind w:right="372"/>
        <w:jc w:val="both"/>
        <w:outlineLvl w:val="0"/>
      </w:pPr>
    </w:p>
    <w:p w14:paraId="5DEB518E" w14:textId="77777777" w:rsidR="007F3584" w:rsidRPr="008365EC" w:rsidRDefault="007F3584" w:rsidP="007F3584">
      <w:pPr>
        <w:pStyle w:val="Footer"/>
      </w:pPr>
      <w:r w:rsidRPr="008365EC">
        <w:t>Iepirkuma komisijas priekšsēdētāja</w:t>
      </w:r>
    </w:p>
    <w:p w14:paraId="381B03A7" w14:textId="10BB6F8D" w:rsidR="00F127CF" w:rsidRDefault="00F60E97" w:rsidP="007F3584">
      <w:pPr>
        <w:widowControl w:val="0"/>
        <w:tabs>
          <w:tab w:val="left" w:pos="764"/>
        </w:tabs>
        <w:spacing w:line="274" w:lineRule="exact"/>
        <w:rPr>
          <w:color w:val="000000"/>
          <w:lang w:eastAsia="en-GB"/>
        </w:rPr>
      </w:pP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007F3584" w:rsidRPr="008365EC">
        <w:rPr>
          <w:color w:val="000000"/>
          <w:lang w:eastAsia="en-GB"/>
        </w:rPr>
        <w:t>Karīna Meiberga</w:t>
      </w:r>
      <w:r w:rsidR="007F3584" w:rsidRPr="008365EC">
        <w:rPr>
          <w:color w:val="000000"/>
          <w:lang w:eastAsia="en-GB"/>
        </w:rPr>
        <w:tab/>
        <w:t xml:space="preserve">                  </w:t>
      </w:r>
    </w:p>
    <w:p w14:paraId="7BB0C705" w14:textId="2777C05A" w:rsidR="00B9002B" w:rsidRPr="008365EC" w:rsidRDefault="007F3584" w:rsidP="007F3584">
      <w:pPr>
        <w:widowControl w:val="0"/>
        <w:tabs>
          <w:tab w:val="left" w:pos="764"/>
        </w:tabs>
        <w:spacing w:line="274" w:lineRule="exact"/>
        <w:rPr>
          <w:color w:val="000000"/>
          <w:lang w:eastAsia="en-GB"/>
        </w:rPr>
      </w:pPr>
      <w:r w:rsidRPr="008365EC">
        <w:rPr>
          <w:color w:val="000000"/>
          <w:lang w:eastAsia="en-GB"/>
        </w:rPr>
        <w:t xml:space="preserve">                    </w:t>
      </w:r>
    </w:p>
    <w:p w14:paraId="301C6BDC" w14:textId="4D62A73F" w:rsidR="001C1098" w:rsidRPr="008365EC" w:rsidRDefault="001C1098" w:rsidP="001C1098"/>
    <w:p w14:paraId="29C643DE" w14:textId="13D36CDF" w:rsidR="00AD6E80" w:rsidRPr="00071403" w:rsidRDefault="00AD6E80" w:rsidP="008640C5">
      <w:pPr>
        <w:rPr>
          <w:sz w:val="16"/>
          <w:szCs w:val="16"/>
        </w:rPr>
      </w:pPr>
    </w:p>
    <w:sectPr w:rsidR="00AD6E80" w:rsidRPr="00071403" w:rsidSect="008640C5">
      <w:headerReference w:type="even" r:id="rId12"/>
      <w:headerReference w:type="default" r:id="rId13"/>
      <w:footerReference w:type="default" r:id="rId14"/>
      <w:headerReference w:type="first" r:id="rId15"/>
      <w:footerReference w:type="first" r:id="rId16"/>
      <w:pgSz w:w="11900" w:h="16840" w:code="9"/>
      <w:pgMar w:top="1134" w:right="851" w:bottom="567"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4E83D" w14:textId="77777777" w:rsidR="00C47489" w:rsidRPr="008365EC" w:rsidRDefault="00C47489">
      <w:r w:rsidRPr="008365EC">
        <w:separator/>
      </w:r>
    </w:p>
  </w:endnote>
  <w:endnote w:type="continuationSeparator" w:id="0">
    <w:p w14:paraId="7B34E772" w14:textId="77777777" w:rsidR="00C47489" w:rsidRPr="008365EC" w:rsidRDefault="00C47489">
      <w:r w:rsidRPr="00836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Pr="008365EC" w:rsidRDefault="00AD6E80">
        <w:pPr>
          <w:pStyle w:val="Footer"/>
          <w:jc w:val="right"/>
        </w:pPr>
        <w:r w:rsidRPr="008365EC">
          <w:fldChar w:fldCharType="begin"/>
        </w:r>
        <w:r w:rsidRPr="008365EC">
          <w:instrText>PAGE   \* MERGEFORMAT</w:instrText>
        </w:r>
        <w:r w:rsidRPr="008365EC">
          <w:fldChar w:fldCharType="separate"/>
        </w:r>
        <w:r w:rsidRPr="008365EC">
          <w:t>2</w:t>
        </w:r>
        <w:r w:rsidRPr="008365EC">
          <w:fldChar w:fldCharType="end"/>
        </w:r>
      </w:p>
    </w:sdtContent>
  </w:sdt>
  <w:p w14:paraId="4664754B" w14:textId="77777777" w:rsidR="00AD6E80" w:rsidRPr="008365EC"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Pr="008365EC" w:rsidRDefault="00611305" w:rsidP="00611305">
    <w:pPr>
      <w:pStyle w:val="Footer"/>
      <w:tabs>
        <w:tab w:val="clear" w:pos="4153"/>
        <w:tab w:val="clear" w:pos="8306"/>
        <w:tab w:val="left" w:pos="600"/>
        <w:tab w:val="left" w:pos="2310"/>
      </w:tabs>
      <w:jc w:val="center"/>
    </w:pPr>
    <w:r w:rsidRPr="008365EC">
      <w:rPr>
        <w:noProof/>
        <w:lang w:eastAsia="lv-LV"/>
      </w:rPr>
      <w:drawing>
        <wp:inline distT="0" distB="0" distL="0" distR="0" wp14:anchorId="044ABF4E" wp14:editId="4299BAD3">
          <wp:extent cx="2883414" cy="396241"/>
          <wp:effectExtent l="0" t="0" r="0" b="3810"/>
          <wp:docPr id="966936226"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AB6CE" w14:textId="77777777" w:rsidR="00C47489" w:rsidRPr="008365EC" w:rsidRDefault="00C47489">
      <w:r w:rsidRPr="008365EC">
        <w:separator/>
      </w:r>
    </w:p>
  </w:footnote>
  <w:footnote w:type="continuationSeparator" w:id="0">
    <w:p w14:paraId="3789E236" w14:textId="77777777" w:rsidR="00C47489" w:rsidRPr="008365EC" w:rsidRDefault="00C47489">
      <w:r w:rsidRPr="00836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Pr="008365EC" w:rsidRDefault="00CA73ED">
    <w:pPr>
      <w:pStyle w:val="HeaderFooterA"/>
      <w:tabs>
        <w:tab w:val="clear" w:pos="9360"/>
        <w:tab w:val="right" w:pos="8782"/>
      </w:tabs>
      <w:rPr>
        <w:rFonts w:ascii="Times New Roman" w:eastAsia="Times New Roman" w:hAnsi="Times New Roman"/>
        <w:color w:val="auto"/>
        <w:lang w:val="lv-LV" w:bidi="x-none"/>
      </w:rPr>
    </w:pPr>
    <w:r w:rsidRPr="008365EC">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1A92EB"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Pr="008365EC" w:rsidRDefault="00756CAE">
    <w:pPr>
      <w:pStyle w:val="HeaderFooterA"/>
      <w:tabs>
        <w:tab w:val="clear" w:pos="9360"/>
        <w:tab w:val="right" w:pos="8782"/>
      </w:tabs>
      <w:rPr>
        <w:rFonts w:ascii="Times New Roman" w:eastAsia="Times New Roman" w:hAnsi="Times New Roman"/>
        <w:color w:val="auto"/>
        <w:lang w:val="lv-LV"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Pr="008365EC" w:rsidRDefault="00E3203C" w:rsidP="00F631D4">
    <w:pPr>
      <w:pStyle w:val="Header"/>
      <w:tabs>
        <w:tab w:val="left" w:pos="426"/>
        <w:tab w:val="left" w:pos="1418"/>
      </w:tabs>
    </w:pPr>
    <w:r w:rsidRPr="008365EC">
      <w:rPr>
        <w:noProof/>
      </w:rPr>
      <w:drawing>
        <wp:inline distT="0" distB="0" distL="0" distR="0" wp14:anchorId="6D986B24" wp14:editId="61EA3D9C">
          <wp:extent cx="5537200" cy="1587500"/>
          <wp:effectExtent l="0" t="0" r="0" b="0"/>
          <wp:docPr id="243100709" name="Picture 24310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8365EC" w:rsidRDefault="00BA1D4B" w:rsidP="00BA1D4B">
    <w:pPr>
      <w:pStyle w:val="Header"/>
      <w:tabs>
        <w:tab w:val="left" w:pos="426"/>
        <w:tab w:val="left" w:pos="1418"/>
      </w:tabs>
      <w:jc w:val="center"/>
    </w:pPr>
    <w:r w:rsidRPr="008365EC">
      <w:t>Rīgā</w:t>
    </w:r>
  </w:p>
  <w:p w14:paraId="4992808E" w14:textId="145AB150" w:rsidR="00BA1D4B" w:rsidRPr="008365EC" w:rsidRDefault="00BA1D4B" w:rsidP="00BA1D4B">
    <w:pPr>
      <w:pStyle w:val="Header"/>
      <w:tabs>
        <w:tab w:val="left" w:pos="426"/>
        <w:tab w:val="left" w:pos="1418"/>
      </w:tabs>
      <w:jc w:val="center"/>
    </w:pPr>
  </w:p>
  <w:p w14:paraId="765108D9" w14:textId="0272FF5E" w:rsidR="00BA1D4B" w:rsidRPr="008365EC" w:rsidRDefault="00BA1D4B" w:rsidP="00BA1D4B">
    <w:pPr>
      <w:pStyle w:val="Header"/>
      <w:tabs>
        <w:tab w:val="left" w:pos="426"/>
        <w:tab w:val="left" w:pos="1418"/>
      </w:tabs>
      <w:jc w:val="both"/>
    </w:pPr>
    <w:bookmarkStart w:id="1" w:name="docDate"/>
    <w:bookmarkEnd w:id="1"/>
    <w:r w:rsidRPr="008365EC">
      <w:t xml:space="preserve"> </w:t>
    </w:r>
    <w:bookmarkStart w:id="2" w:name="docNr"/>
    <w:bookmarkEnd w:id="2"/>
    <w:r w:rsidR="008640C5">
      <w:t>01.06.2026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520D89"/>
    <w:multiLevelType w:val="multilevel"/>
    <w:tmpl w:val="E1B4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E4CFD"/>
    <w:multiLevelType w:val="multilevel"/>
    <w:tmpl w:val="B88E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36B0667"/>
    <w:multiLevelType w:val="multilevel"/>
    <w:tmpl w:val="7CFE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6483408">
    <w:abstractNumId w:val="0"/>
  </w:num>
  <w:num w:numId="2" w16cid:durableId="1870488046">
    <w:abstractNumId w:val="4"/>
  </w:num>
  <w:num w:numId="3" w16cid:durableId="2033219571">
    <w:abstractNumId w:val="6"/>
  </w:num>
  <w:num w:numId="4" w16cid:durableId="1779565406">
    <w:abstractNumId w:val="7"/>
  </w:num>
  <w:num w:numId="5" w16cid:durableId="745104887">
    <w:abstractNumId w:val="1"/>
  </w:num>
  <w:num w:numId="6" w16cid:durableId="300580002">
    <w:abstractNumId w:val="5"/>
  </w:num>
  <w:num w:numId="7" w16cid:durableId="1915967846">
    <w:abstractNumId w:val="2"/>
  </w:num>
  <w:num w:numId="8" w16cid:durableId="1934196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ED1"/>
    <w:rsid w:val="00004F0D"/>
    <w:rsid w:val="00007185"/>
    <w:rsid w:val="00007725"/>
    <w:rsid w:val="000113D9"/>
    <w:rsid w:val="00015AED"/>
    <w:rsid w:val="00023CF9"/>
    <w:rsid w:val="00026D94"/>
    <w:rsid w:val="00037BB3"/>
    <w:rsid w:val="0004246F"/>
    <w:rsid w:val="00042776"/>
    <w:rsid w:val="0004286D"/>
    <w:rsid w:val="000476FA"/>
    <w:rsid w:val="00051CF1"/>
    <w:rsid w:val="000525F0"/>
    <w:rsid w:val="00053F59"/>
    <w:rsid w:val="00055B82"/>
    <w:rsid w:val="00056137"/>
    <w:rsid w:val="00071007"/>
    <w:rsid w:val="00071403"/>
    <w:rsid w:val="000823F7"/>
    <w:rsid w:val="00083E27"/>
    <w:rsid w:val="00094E02"/>
    <w:rsid w:val="000A0105"/>
    <w:rsid w:val="000A1247"/>
    <w:rsid w:val="000A4CE4"/>
    <w:rsid w:val="000B4C19"/>
    <w:rsid w:val="000B56F3"/>
    <w:rsid w:val="000B5A63"/>
    <w:rsid w:val="000F04EB"/>
    <w:rsid w:val="000F35C1"/>
    <w:rsid w:val="000F3B09"/>
    <w:rsid w:val="000F4D78"/>
    <w:rsid w:val="000F6B23"/>
    <w:rsid w:val="0013079F"/>
    <w:rsid w:val="001349FA"/>
    <w:rsid w:val="0014150E"/>
    <w:rsid w:val="00142A15"/>
    <w:rsid w:val="0016355B"/>
    <w:rsid w:val="00163F7B"/>
    <w:rsid w:val="00172778"/>
    <w:rsid w:val="00175B46"/>
    <w:rsid w:val="00176AEB"/>
    <w:rsid w:val="0018082C"/>
    <w:rsid w:val="001817E8"/>
    <w:rsid w:val="001949B9"/>
    <w:rsid w:val="00197CAA"/>
    <w:rsid w:val="001A19C0"/>
    <w:rsid w:val="001A4A96"/>
    <w:rsid w:val="001A6CCB"/>
    <w:rsid w:val="001B000D"/>
    <w:rsid w:val="001B0DFB"/>
    <w:rsid w:val="001C1098"/>
    <w:rsid w:val="001C37D7"/>
    <w:rsid w:val="001C6F5A"/>
    <w:rsid w:val="001D43D0"/>
    <w:rsid w:val="001F123B"/>
    <w:rsid w:val="001F5D53"/>
    <w:rsid w:val="001F730D"/>
    <w:rsid w:val="0020229E"/>
    <w:rsid w:val="00204643"/>
    <w:rsid w:val="00220D37"/>
    <w:rsid w:val="00222574"/>
    <w:rsid w:val="00231433"/>
    <w:rsid w:val="00231F6F"/>
    <w:rsid w:val="00232B95"/>
    <w:rsid w:val="00233FCE"/>
    <w:rsid w:val="002355E8"/>
    <w:rsid w:val="0023780C"/>
    <w:rsid w:val="00240890"/>
    <w:rsid w:val="002425E4"/>
    <w:rsid w:val="00246DE4"/>
    <w:rsid w:val="00257800"/>
    <w:rsid w:val="00282249"/>
    <w:rsid w:val="00284596"/>
    <w:rsid w:val="00292289"/>
    <w:rsid w:val="002C0008"/>
    <w:rsid w:val="002C747A"/>
    <w:rsid w:val="002E0214"/>
    <w:rsid w:val="002E4835"/>
    <w:rsid w:val="002E786C"/>
    <w:rsid w:val="003029BF"/>
    <w:rsid w:val="00304338"/>
    <w:rsid w:val="003076C7"/>
    <w:rsid w:val="0031257F"/>
    <w:rsid w:val="0032335F"/>
    <w:rsid w:val="00325A6F"/>
    <w:rsid w:val="003414AF"/>
    <w:rsid w:val="003431DB"/>
    <w:rsid w:val="00344BFB"/>
    <w:rsid w:val="003645FD"/>
    <w:rsid w:val="003734D3"/>
    <w:rsid w:val="003817D3"/>
    <w:rsid w:val="003831A2"/>
    <w:rsid w:val="00384C24"/>
    <w:rsid w:val="003865B2"/>
    <w:rsid w:val="00386982"/>
    <w:rsid w:val="003877B2"/>
    <w:rsid w:val="003A01A5"/>
    <w:rsid w:val="003A76FA"/>
    <w:rsid w:val="003B486A"/>
    <w:rsid w:val="003C0CA0"/>
    <w:rsid w:val="003C2FBA"/>
    <w:rsid w:val="003C3AF3"/>
    <w:rsid w:val="003E205B"/>
    <w:rsid w:val="003E5070"/>
    <w:rsid w:val="003F6BC3"/>
    <w:rsid w:val="004008C2"/>
    <w:rsid w:val="00403F3D"/>
    <w:rsid w:val="00404C6B"/>
    <w:rsid w:val="00410642"/>
    <w:rsid w:val="004124BC"/>
    <w:rsid w:val="0042175E"/>
    <w:rsid w:val="004226C7"/>
    <w:rsid w:val="00423666"/>
    <w:rsid w:val="00427DCC"/>
    <w:rsid w:val="00434A29"/>
    <w:rsid w:val="004428E5"/>
    <w:rsid w:val="00446136"/>
    <w:rsid w:val="00446224"/>
    <w:rsid w:val="004542C7"/>
    <w:rsid w:val="00454D63"/>
    <w:rsid w:val="0047104A"/>
    <w:rsid w:val="004724EF"/>
    <w:rsid w:val="00472769"/>
    <w:rsid w:val="00472EEB"/>
    <w:rsid w:val="00490270"/>
    <w:rsid w:val="00492673"/>
    <w:rsid w:val="00495061"/>
    <w:rsid w:val="004A0D6C"/>
    <w:rsid w:val="004A46F2"/>
    <w:rsid w:val="004B7DA8"/>
    <w:rsid w:val="004C2F01"/>
    <w:rsid w:val="004C4326"/>
    <w:rsid w:val="004C4EA1"/>
    <w:rsid w:val="004C7363"/>
    <w:rsid w:val="004D3EB2"/>
    <w:rsid w:val="004D4267"/>
    <w:rsid w:val="004E0EFE"/>
    <w:rsid w:val="004E14A2"/>
    <w:rsid w:val="004F581B"/>
    <w:rsid w:val="004F7382"/>
    <w:rsid w:val="00500C93"/>
    <w:rsid w:val="005049FC"/>
    <w:rsid w:val="005064CE"/>
    <w:rsid w:val="00507FCF"/>
    <w:rsid w:val="005127FC"/>
    <w:rsid w:val="005154AF"/>
    <w:rsid w:val="005155A1"/>
    <w:rsid w:val="00525EB5"/>
    <w:rsid w:val="00526683"/>
    <w:rsid w:val="00535FCB"/>
    <w:rsid w:val="00542D58"/>
    <w:rsid w:val="0054525F"/>
    <w:rsid w:val="0054630E"/>
    <w:rsid w:val="00551D0D"/>
    <w:rsid w:val="005530B6"/>
    <w:rsid w:val="00556BCC"/>
    <w:rsid w:val="005607C7"/>
    <w:rsid w:val="00564212"/>
    <w:rsid w:val="00567414"/>
    <w:rsid w:val="00571A98"/>
    <w:rsid w:val="00593771"/>
    <w:rsid w:val="00594C45"/>
    <w:rsid w:val="005A5F9B"/>
    <w:rsid w:val="005A7629"/>
    <w:rsid w:val="005B07D3"/>
    <w:rsid w:val="005B7FA3"/>
    <w:rsid w:val="005C450D"/>
    <w:rsid w:val="005C4D26"/>
    <w:rsid w:val="005D3325"/>
    <w:rsid w:val="005D3F37"/>
    <w:rsid w:val="005D7F6E"/>
    <w:rsid w:val="005E3DA9"/>
    <w:rsid w:val="005E42C6"/>
    <w:rsid w:val="005E46C2"/>
    <w:rsid w:val="005E591F"/>
    <w:rsid w:val="005F1D86"/>
    <w:rsid w:val="005F5364"/>
    <w:rsid w:val="006013BE"/>
    <w:rsid w:val="00605113"/>
    <w:rsid w:val="00605E6A"/>
    <w:rsid w:val="0061039B"/>
    <w:rsid w:val="00611305"/>
    <w:rsid w:val="006154A9"/>
    <w:rsid w:val="00621B2E"/>
    <w:rsid w:val="00630A2D"/>
    <w:rsid w:val="006339F1"/>
    <w:rsid w:val="00643F18"/>
    <w:rsid w:val="00646467"/>
    <w:rsid w:val="00681D93"/>
    <w:rsid w:val="00687345"/>
    <w:rsid w:val="006874A7"/>
    <w:rsid w:val="0068764F"/>
    <w:rsid w:val="006934FC"/>
    <w:rsid w:val="00697281"/>
    <w:rsid w:val="00697421"/>
    <w:rsid w:val="006A0886"/>
    <w:rsid w:val="006A45CD"/>
    <w:rsid w:val="006A672C"/>
    <w:rsid w:val="006B7E8D"/>
    <w:rsid w:val="006C2508"/>
    <w:rsid w:val="006C3F48"/>
    <w:rsid w:val="006D1C11"/>
    <w:rsid w:val="006D5B59"/>
    <w:rsid w:val="006F4AF6"/>
    <w:rsid w:val="00712459"/>
    <w:rsid w:val="007152FC"/>
    <w:rsid w:val="00717601"/>
    <w:rsid w:val="00730621"/>
    <w:rsid w:val="00741FB1"/>
    <w:rsid w:val="0075005B"/>
    <w:rsid w:val="007532F0"/>
    <w:rsid w:val="00756CAE"/>
    <w:rsid w:val="0076528F"/>
    <w:rsid w:val="00782B9D"/>
    <w:rsid w:val="00783CC9"/>
    <w:rsid w:val="007857EA"/>
    <w:rsid w:val="00786C3E"/>
    <w:rsid w:val="007875D1"/>
    <w:rsid w:val="007A34BE"/>
    <w:rsid w:val="007A74BA"/>
    <w:rsid w:val="007D4235"/>
    <w:rsid w:val="007D62F7"/>
    <w:rsid w:val="007F14FC"/>
    <w:rsid w:val="007F3584"/>
    <w:rsid w:val="008010C3"/>
    <w:rsid w:val="008034ED"/>
    <w:rsid w:val="008112DB"/>
    <w:rsid w:val="00813FFC"/>
    <w:rsid w:val="0081519B"/>
    <w:rsid w:val="00821A17"/>
    <w:rsid w:val="008248B8"/>
    <w:rsid w:val="00825028"/>
    <w:rsid w:val="008252B6"/>
    <w:rsid w:val="00832355"/>
    <w:rsid w:val="008365EC"/>
    <w:rsid w:val="00846A38"/>
    <w:rsid w:val="00847840"/>
    <w:rsid w:val="008533C8"/>
    <w:rsid w:val="008640C5"/>
    <w:rsid w:val="0087576D"/>
    <w:rsid w:val="00892729"/>
    <w:rsid w:val="008940B5"/>
    <w:rsid w:val="00894A67"/>
    <w:rsid w:val="0089670C"/>
    <w:rsid w:val="008A2CD8"/>
    <w:rsid w:val="008B5680"/>
    <w:rsid w:val="008C7639"/>
    <w:rsid w:val="008C7DD9"/>
    <w:rsid w:val="008D0382"/>
    <w:rsid w:val="008E3092"/>
    <w:rsid w:val="008E4C93"/>
    <w:rsid w:val="008F5D73"/>
    <w:rsid w:val="008F76D6"/>
    <w:rsid w:val="00901C98"/>
    <w:rsid w:val="00904B48"/>
    <w:rsid w:val="009134FF"/>
    <w:rsid w:val="00923D91"/>
    <w:rsid w:val="009258BC"/>
    <w:rsid w:val="0092743D"/>
    <w:rsid w:val="00931737"/>
    <w:rsid w:val="00934651"/>
    <w:rsid w:val="00934E5B"/>
    <w:rsid w:val="0094302F"/>
    <w:rsid w:val="00952FD4"/>
    <w:rsid w:val="0095575C"/>
    <w:rsid w:val="00960D16"/>
    <w:rsid w:val="00972B4B"/>
    <w:rsid w:val="00984EA1"/>
    <w:rsid w:val="00990F49"/>
    <w:rsid w:val="009974F3"/>
    <w:rsid w:val="009978AA"/>
    <w:rsid w:val="009A1AA7"/>
    <w:rsid w:val="009B2578"/>
    <w:rsid w:val="009B3ACA"/>
    <w:rsid w:val="009E3710"/>
    <w:rsid w:val="009E5F7A"/>
    <w:rsid w:val="009F0750"/>
    <w:rsid w:val="00A075D3"/>
    <w:rsid w:val="00A23870"/>
    <w:rsid w:val="00A264CA"/>
    <w:rsid w:val="00A3285A"/>
    <w:rsid w:val="00A35BA3"/>
    <w:rsid w:val="00A36920"/>
    <w:rsid w:val="00A42EF6"/>
    <w:rsid w:val="00A45251"/>
    <w:rsid w:val="00A466A6"/>
    <w:rsid w:val="00A47A54"/>
    <w:rsid w:val="00A52673"/>
    <w:rsid w:val="00A55640"/>
    <w:rsid w:val="00A65235"/>
    <w:rsid w:val="00A704BC"/>
    <w:rsid w:val="00A74E05"/>
    <w:rsid w:val="00A75326"/>
    <w:rsid w:val="00A90154"/>
    <w:rsid w:val="00A94E85"/>
    <w:rsid w:val="00A950BA"/>
    <w:rsid w:val="00AA0385"/>
    <w:rsid w:val="00AA0BA6"/>
    <w:rsid w:val="00AA0E4F"/>
    <w:rsid w:val="00AA3FCC"/>
    <w:rsid w:val="00AA6194"/>
    <w:rsid w:val="00AB152E"/>
    <w:rsid w:val="00AB25CE"/>
    <w:rsid w:val="00AB272A"/>
    <w:rsid w:val="00AB46EA"/>
    <w:rsid w:val="00AB5F0D"/>
    <w:rsid w:val="00AC5BB7"/>
    <w:rsid w:val="00AC6E12"/>
    <w:rsid w:val="00AC7F8B"/>
    <w:rsid w:val="00AD6E80"/>
    <w:rsid w:val="00AE08D0"/>
    <w:rsid w:val="00AE4880"/>
    <w:rsid w:val="00AE5BED"/>
    <w:rsid w:val="00AE66B7"/>
    <w:rsid w:val="00AF1038"/>
    <w:rsid w:val="00AF16F7"/>
    <w:rsid w:val="00AF3CC9"/>
    <w:rsid w:val="00B03DC1"/>
    <w:rsid w:val="00B03F61"/>
    <w:rsid w:val="00B04FCA"/>
    <w:rsid w:val="00B11F02"/>
    <w:rsid w:val="00B16827"/>
    <w:rsid w:val="00B17037"/>
    <w:rsid w:val="00B278AB"/>
    <w:rsid w:val="00B40397"/>
    <w:rsid w:val="00B5619F"/>
    <w:rsid w:val="00B62F57"/>
    <w:rsid w:val="00B6749A"/>
    <w:rsid w:val="00B67B48"/>
    <w:rsid w:val="00B739FC"/>
    <w:rsid w:val="00B74FDD"/>
    <w:rsid w:val="00B76FCA"/>
    <w:rsid w:val="00B7745C"/>
    <w:rsid w:val="00B80F87"/>
    <w:rsid w:val="00B829E7"/>
    <w:rsid w:val="00B9002B"/>
    <w:rsid w:val="00B91F97"/>
    <w:rsid w:val="00B93EE2"/>
    <w:rsid w:val="00B968F0"/>
    <w:rsid w:val="00BA1D4B"/>
    <w:rsid w:val="00BA486D"/>
    <w:rsid w:val="00BB28A2"/>
    <w:rsid w:val="00BB3132"/>
    <w:rsid w:val="00BB6551"/>
    <w:rsid w:val="00BB7662"/>
    <w:rsid w:val="00BC0733"/>
    <w:rsid w:val="00BD0053"/>
    <w:rsid w:val="00BD04C9"/>
    <w:rsid w:val="00BD40BD"/>
    <w:rsid w:val="00BD4F97"/>
    <w:rsid w:val="00BE6435"/>
    <w:rsid w:val="00BF3486"/>
    <w:rsid w:val="00C144F2"/>
    <w:rsid w:val="00C1499B"/>
    <w:rsid w:val="00C15633"/>
    <w:rsid w:val="00C2117D"/>
    <w:rsid w:val="00C2229A"/>
    <w:rsid w:val="00C24FC4"/>
    <w:rsid w:val="00C2685C"/>
    <w:rsid w:val="00C35484"/>
    <w:rsid w:val="00C43740"/>
    <w:rsid w:val="00C440B6"/>
    <w:rsid w:val="00C47489"/>
    <w:rsid w:val="00C60FF5"/>
    <w:rsid w:val="00C61343"/>
    <w:rsid w:val="00C634CD"/>
    <w:rsid w:val="00C80CAD"/>
    <w:rsid w:val="00C83E2B"/>
    <w:rsid w:val="00C84969"/>
    <w:rsid w:val="00C94F67"/>
    <w:rsid w:val="00C950CD"/>
    <w:rsid w:val="00C96897"/>
    <w:rsid w:val="00C96B4F"/>
    <w:rsid w:val="00CA73ED"/>
    <w:rsid w:val="00CB01FB"/>
    <w:rsid w:val="00CB467E"/>
    <w:rsid w:val="00CB6644"/>
    <w:rsid w:val="00CE0892"/>
    <w:rsid w:val="00CE763C"/>
    <w:rsid w:val="00CF0E0B"/>
    <w:rsid w:val="00CF2432"/>
    <w:rsid w:val="00CF3691"/>
    <w:rsid w:val="00CF78D1"/>
    <w:rsid w:val="00D0213A"/>
    <w:rsid w:val="00D045C9"/>
    <w:rsid w:val="00D05059"/>
    <w:rsid w:val="00D11D0A"/>
    <w:rsid w:val="00D43D83"/>
    <w:rsid w:val="00D47F6B"/>
    <w:rsid w:val="00D50004"/>
    <w:rsid w:val="00D64F99"/>
    <w:rsid w:val="00D66D5B"/>
    <w:rsid w:val="00D712F5"/>
    <w:rsid w:val="00D716B3"/>
    <w:rsid w:val="00D724E1"/>
    <w:rsid w:val="00D73E0A"/>
    <w:rsid w:val="00D76383"/>
    <w:rsid w:val="00D81E77"/>
    <w:rsid w:val="00D81F1C"/>
    <w:rsid w:val="00D86507"/>
    <w:rsid w:val="00D9048D"/>
    <w:rsid w:val="00D91D61"/>
    <w:rsid w:val="00DA0C26"/>
    <w:rsid w:val="00DA6955"/>
    <w:rsid w:val="00DA6E49"/>
    <w:rsid w:val="00DB5348"/>
    <w:rsid w:val="00DC6352"/>
    <w:rsid w:val="00DD4467"/>
    <w:rsid w:val="00DE602E"/>
    <w:rsid w:val="00DE63E1"/>
    <w:rsid w:val="00DF7010"/>
    <w:rsid w:val="00E15A0F"/>
    <w:rsid w:val="00E17D97"/>
    <w:rsid w:val="00E270DB"/>
    <w:rsid w:val="00E3203C"/>
    <w:rsid w:val="00E3552D"/>
    <w:rsid w:val="00E41BD3"/>
    <w:rsid w:val="00E4450D"/>
    <w:rsid w:val="00E604D8"/>
    <w:rsid w:val="00E6066D"/>
    <w:rsid w:val="00E6219B"/>
    <w:rsid w:val="00E71BDB"/>
    <w:rsid w:val="00E74E3E"/>
    <w:rsid w:val="00E763A3"/>
    <w:rsid w:val="00E76AA5"/>
    <w:rsid w:val="00E825A9"/>
    <w:rsid w:val="00E85B8A"/>
    <w:rsid w:val="00E9627C"/>
    <w:rsid w:val="00EA33E9"/>
    <w:rsid w:val="00EA3C8D"/>
    <w:rsid w:val="00EB089E"/>
    <w:rsid w:val="00EB3D84"/>
    <w:rsid w:val="00EB4ADB"/>
    <w:rsid w:val="00EB5174"/>
    <w:rsid w:val="00ED464B"/>
    <w:rsid w:val="00ED782C"/>
    <w:rsid w:val="00EE4F1D"/>
    <w:rsid w:val="00F01C15"/>
    <w:rsid w:val="00F07192"/>
    <w:rsid w:val="00F10150"/>
    <w:rsid w:val="00F127CF"/>
    <w:rsid w:val="00F14C75"/>
    <w:rsid w:val="00F213A8"/>
    <w:rsid w:val="00F25D58"/>
    <w:rsid w:val="00F37ED3"/>
    <w:rsid w:val="00F42529"/>
    <w:rsid w:val="00F504FF"/>
    <w:rsid w:val="00F527AA"/>
    <w:rsid w:val="00F547CD"/>
    <w:rsid w:val="00F60E97"/>
    <w:rsid w:val="00F631D4"/>
    <w:rsid w:val="00F83C9D"/>
    <w:rsid w:val="00F84DED"/>
    <w:rsid w:val="00F862F0"/>
    <w:rsid w:val="00F95981"/>
    <w:rsid w:val="00FA10AA"/>
    <w:rsid w:val="00FA15B6"/>
    <w:rsid w:val="00FA2BB2"/>
    <w:rsid w:val="00FC7B99"/>
    <w:rsid w:val="00FD3DAC"/>
    <w:rsid w:val="00FD4C4F"/>
    <w:rsid w:val="00FD6730"/>
    <w:rsid w:val="00FE0013"/>
    <w:rsid w:val="00FE036D"/>
    <w:rsid w:val="00FE6162"/>
    <w:rsid w:val="00FF1ABA"/>
    <w:rsid w:val="00FF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val="en-GB"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 w:type="paragraph" w:customStyle="1" w:styleId="Tabulasheader">
    <w:name w:val="Tabulas header"/>
    <w:basedOn w:val="BodyText"/>
    <w:link w:val="TabulasheaderChar"/>
    <w:uiPriority w:val="1"/>
    <w:qFormat/>
    <w:rsid w:val="008C7639"/>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8C7639"/>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8C7639"/>
    <w:pPr>
      <w:spacing w:after="120"/>
    </w:pPr>
  </w:style>
  <w:style w:type="character" w:customStyle="1" w:styleId="BodyTextChar">
    <w:name w:val="Body Text Char"/>
    <w:basedOn w:val="DefaultParagraphFont"/>
    <w:link w:val="BodyText"/>
    <w:rsid w:val="008C7639"/>
    <w:rPr>
      <w:sz w:val="24"/>
      <w:szCs w:val="24"/>
      <w:lang w:val="en-GB" w:eastAsia="en-US"/>
    </w:rPr>
  </w:style>
  <w:style w:type="paragraph" w:styleId="NormalWeb">
    <w:name w:val="Normal (Web)"/>
    <w:basedOn w:val="Normal"/>
    <w:uiPriority w:val="99"/>
    <w:unhideWhenUsed/>
    <w:locked/>
    <w:rsid w:val="009F0750"/>
    <w:pPr>
      <w:spacing w:before="100" w:beforeAutospacing="1" w:after="100" w:afterAutospacing="1"/>
    </w:pPr>
    <w:rPr>
      <w:lang w:eastAsia="lv-LV"/>
    </w:rPr>
  </w:style>
  <w:style w:type="character" w:styleId="Strong">
    <w:name w:val="Strong"/>
    <w:basedOn w:val="DefaultParagraphFont"/>
    <w:uiPriority w:val="22"/>
    <w:qFormat/>
    <w:locked/>
    <w:rsid w:val="009F0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8830">
      <w:bodyDiv w:val="1"/>
      <w:marLeft w:val="0"/>
      <w:marRight w:val="0"/>
      <w:marTop w:val="0"/>
      <w:marBottom w:val="0"/>
      <w:divBdr>
        <w:top w:val="none" w:sz="0" w:space="0" w:color="auto"/>
        <w:left w:val="none" w:sz="0" w:space="0" w:color="auto"/>
        <w:bottom w:val="none" w:sz="0" w:space="0" w:color="auto"/>
        <w:right w:val="none" w:sz="0" w:space="0" w:color="auto"/>
      </w:divBdr>
    </w:div>
    <w:div w:id="99616137">
      <w:bodyDiv w:val="1"/>
      <w:marLeft w:val="0"/>
      <w:marRight w:val="0"/>
      <w:marTop w:val="0"/>
      <w:marBottom w:val="0"/>
      <w:divBdr>
        <w:top w:val="none" w:sz="0" w:space="0" w:color="auto"/>
        <w:left w:val="none" w:sz="0" w:space="0" w:color="auto"/>
        <w:bottom w:val="none" w:sz="0" w:space="0" w:color="auto"/>
        <w:right w:val="none" w:sz="0" w:space="0" w:color="auto"/>
      </w:divBdr>
    </w:div>
    <w:div w:id="181676667">
      <w:bodyDiv w:val="1"/>
      <w:marLeft w:val="0"/>
      <w:marRight w:val="0"/>
      <w:marTop w:val="0"/>
      <w:marBottom w:val="0"/>
      <w:divBdr>
        <w:top w:val="none" w:sz="0" w:space="0" w:color="auto"/>
        <w:left w:val="none" w:sz="0" w:space="0" w:color="auto"/>
        <w:bottom w:val="none" w:sz="0" w:space="0" w:color="auto"/>
        <w:right w:val="none" w:sz="0" w:space="0" w:color="auto"/>
      </w:divBdr>
      <w:divsChild>
        <w:div w:id="1689867367">
          <w:marLeft w:val="0"/>
          <w:marRight w:val="0"/>
          <w:marTop w:val="0"/>
          <w:marBottom w:val="0"/>
          <w:divBdr>
            <w:top w:val="none" w:sz="0" w:space="0" w:color="auto"/>
            <w:left w:val="none" w:sz="0" w:space="0" w:color="auto"/>
            <w:bottom w:val="none" w:sz="0" w:space="0" w:color="auto"/>
            <w:right w:val="none" w:sz="0" w:space="0" w:color="auto"/>
          </w:divBdr>
        </w:div>
      </w:divsChild>
    </w:div>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29271784">
      <w:bodyDiv w:val="1"/>
      <w:marLeft w:val="0"/>
      <w:marRight w:val="0"/>
      <w:marTop w:val="0"/>
      <w:marBottom w:val="0"/>
      <w:divBdr>
        <w:top w:val="none" w:sz="0" w:space="0" w:color="auto"/>
        <w:left w:val="none" w:sz="0" w:space="0" w:color="auto"/>
        <w:bottom w:val="none" w:sz="0" w:space="0" w:color="auto"/>
        <w:right w:val="none" w:sz="0" w:space="0" w:color="auto"/>
      </w:divBdr>
      <w:divsChild>
        <w:div w:id="46228047">
          <w:marLeft w:val="0"/>
          <w:marRight w:val="0"/>
          <w:marTop w:val="0"/>
          <w:marBottom w:val="0"/>
          <w:divBdr>
            <w:top w:val="none" w:sz="0" w:space="0" w:color="auto"/>
            <w:left w:val="none" w:sz="0" w:space="0" w:color="auto"/>
            <w:bottom w:val="none" w:sz="0" w:space="0" w:color="auto"/>
            <w:right w:val="none" w:sz="0" w:space="0" w:color="auto"/>
          </w:divBdr>
        </w:div>
      </w:divsChild>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827207722">
      <w:bodyDiv w:val="1"/>
      <w:marLeft w:val="0"/>
      <w:marRight w:val="0"/>
      <w:marTop w:val="0"/>
      <w:marBottom w:val="0"/>
      <w:divBdr>
        <w:top w:val="none" w:sz="0" w:space="0" w:color="auto"/>
        <w:left w:val="none" w:sz="0" w:space="0" w:color="auto"/>
        <w:bottom w:val="none" w:sz="0" w:space="0" w:color="auto"/>
        <w:right w:val="none" w:sz="0" w:space="0" w:color="auto"/>
      </w:divBdr>
      <w:divsChild>
        <w:div w:id="1655449637">
          <w:marLeft w:val="0"/>
          <w:marRight w:val="0"/>
          <w:marTop w:val="0"/>
          <w:marBottom w:val="0"/>
          <w:divBdr>
            <w:top w:val="none" w:sz="0" w:space="0" w:color="auto"/>
            <w:left w:val="none" w:sz="0" w:space="0" w:color="auto"/>
            <w:bottom w:val="none" w:sz="0" w:space="0" w:color="auto"/>
            <w:right w:val="none" w:sz="0" w:space="0" w:color="auto"/>
          </w:divBdr>
        </w:div>
      </w:divsChild>
    </w:div>
    <w:div w:id="874387685">
      <w:bodyDiv w:val="1"/>
      <w:marLeft w:val="0"/>
      <w:marRight w:val="0"/>
      <w:marTop w:val="0"/>
      <w:marBottom w:val="0"/>
      <w:divBdr>
        <w:top w:val="none" w:sz="0" w:space="0" w:color="auto"/>
        <w:left w:val="none" w:sz="0" w:space="0" w:color="auto"/>
        <w:bottom w:val="none" w:sz="0" w:space="0" w:color="auto"/>
        <w:right w:val="none" w:sz="0" w:space="0" w:color="auto"/>
      </w:divBdr>
      <w:divsChild>
        <w:div w:id="1841576191">
          <w:marLeft w:val="0"/>
          <w:marRight w:val="0"/>
          <w:marTop w:val="0"/>
          <w:marBottom w:val="0"/>
          <w:divBdr>
            <w:top w:val="none" w:sz="0" w:space="0" w:color="auto"/>
            <w:left w:val="none" w:sz="0" w:space="0" w:color="auto"/>
            <w:bottom w:val="none" w:sz="0" w:space="0" w:color="auto"/>
            <w:right w:val="none" w:sz="0" w:space="0" w:color="auto"/>
          </w:divBdr>
        </w:div>
      </w:divsChild>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1036275382">
      <w:bodyDiv w:val="1"/>
      <w:marLeft w:val="0"/>
      <w:marRight w:val="0"/>
      <w:marTop w:val="0"/>
      <w:marBottom w:val="0"/>
      <w:divBdr>
        <w:top w:val="none" w:sz="0" w:space="0" w:color="auto"/>
        <w:left w:val="none" w:sz="0" w:space="0" w:color="auto"/>
        <w:bottom w:val="none" w:sz="0" w:space="0" w:color="auto"/>
        <w:right w:val="none" w:sz="0" w:space="0" w:color="auto"/>
      </w:divBdr>
      <w:divsChild>
        <w:div w:id="112795792">
          <w:marLeft w:val="0"/>
          <w:marRight w:val="0"/>
          <w:marTop w:val="0"/>
          <w:marBottom w:val="0"/>
          <w:divBdr>
            <w:top w:val="none" w:sz="0" w:space="0" w:color="auto"/>
            <w:left w:val="none" w:sz="0" w:space="0" w:color="auto"/>
            <w:bottom w:val="none" w:sz="0" w:space="0" w:color="auto"/>
            <w:right w:val="none" w:sz="0" w:space="0" w:color="auto"/>
          </w:divBdr>
        </w:div>
      </w:divsChild>
    </w:div>
    <w:div w:id="1063915712">
      <w:bodyDiv w:val="1"/>
      <w:marLeft w:val="0"/>
      <w:marRight w:val="0"/>
      <w:marTop w:val="0"/>
      <w:marBottom w:val="0"/>
      <w:divBdr>
        <w:top w:val="none" w:sz="0" w:space="0" w:color="auto"/>
        <w:left w:val="none" w:sz="0" w:space="0" w:color="auto"/>
        <w:bottom w:val="none" w:sz="0" w:space="0" w:color="auto"/>
        <w:right w:val="none" w:sz="0" w:space="0" w:color="auto"/>
      </w:divBdr>
      <w:divsChild>
        <w:div w:id="166605132">
          <w:marLeft w:val="0"/>
          <w:marRight w:val="0"/>
          <w:marTop w:val="0"/>
          <w:marBottom w:val="0"/>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224872351">
      <w:bodyDiv w:val="1"/>
      <w:marLeft w:val="0"/>
      <w:marRight w:val="0"/>
      <w:marTop w:val="0"/>
      <w:marBottom w:val="0"/>
      <w:divBdr>
        <w:top w:val="none" w:sz="0" w:space="0" w:color="auto"/>
        <w:left w:val="none" w:sz="0" w:space="0" w:color="auto"/>
        <w:bottom w:val="none" w:sz="0" w:space="0" w:color="auto"/>
        <w:right w:val="none" w:sz="0" w:space="0" w:color="auto"/>
      </w:divBdr>
      <w:divsChild>
        <w:div w:id="475143649">
          <w:marLeft w:val="0"/>
          <w:marRight w:val="0"/>
          <w:marTop w:val="0"/>
          <w:marBottom w:val="0"/>
          <w:divBdr>
            <w:top w:val="none" w:sz="0" w:space="0" w:color="auto"/>
            <w:left w:val="none" w:sz="0" w:space="0" w:color="auto"/>
            <w:bottom w:val="none" w:sz="0" w:space="0" w:color="auto"/>
            <w:right w:val="none" w:sz="0" w:space="0" w:color="auto"/>
          </w:divBdr>
        </w:div>
      </w:divsChild>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78720493">
      <w:bodyDiv w:val="1"/>
      <w:marLeft w:val="0"/>
      <w:marRight w:val="0"/>
      <w:marTop w:val="0"/>
      <w:marBottom w:val="0"/>
      <w:divBdr>
        <w:top w:val="none" w:sz="0" w:space="0" w:color="auto"/>
        <w:left w:val="none" w:sz="0" w:space="0" w:color="auto"/>
        <w:bottom w:val="none" w:sz="0" w:space="0" w:color="auto"/>
        <w:right w:val="none" w:sz="0" w:space="0" w:color="auto"/>
      </w:divBdr>
      <w:divsChild>
        <w:div w:id="518736126">
          <w:marLeft w:val="0"/>
          <w:marRight w:val="0"/>
          <w:marTop w:val="0"/>
          <w:marBottom w:val="0"/>
          <w:divBdr>
            <w:top w:val="none" w:sz="0" w:space="0" w:color="auto"/>
            <w:left w:val="none" w:sz="0" w:space="0" w:color="auto"/>
            <w:bottom w:val="none" w:sz="0" w:space="0" w:color="auto"/>
            <w:right w:val="none" w:sz="0" w:space="0" w:color="auto"/>
          </w:divBdr>
        </w:div>
      </w:divsChild>
    </w:div>
    <w:div w:id="1500779143">
      <w:bodyDiv w:val="1"/>
      <w:marLeft w:val="0"/>
      <w:marRight w:val="0"/>
      <w:marTop w:val="0"/>
      <w:marBottom w:val="0"/>
      <w:divBdr>
        <w:top w:val="none" w:sz="0" w:space="0" w:color="auto"/>
        <w:left w:val="none" w:sz="0" w:space="0" w:color="auto"/>
        <w:bottom w:val="none" w:sz="0" w:space="0" w:color="auto"/>
        <w:right w:val="none" w:sz="0" w:space="0" w:color="auto"/>
      </w:divBdr>
      <w:divsChild>
        <w:div w:id="1582790176">
          <w:marLeft w:val="0"/>
          <w:marRight w:val="0"/>
          <w:marTop w:val="0"/>
          <w:marBottom w:val="0"/>
          <w:divBdr>
            <w:top w:val="none" w:sz="0" w:space="0" w:color="auto"/>
            <w:left w:val="none" w:sz="0" w:space="0" w:color="auto"/>
            <w:bottom w:val="none" w:sz="0" w:space="0" w:color="auto"/>
            <w:right w:val="none" w:sz="0" w:space="0" w:color="auto"/>
          </w:divBdr>
        </w:div>
      </w:divsChild>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1626546108">
      <w:bodyDiv w:val="1"/>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7160024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542">
          <w:marLeft w:val="0"/>
          <w:marRight w:val="0"/>
          <w:marTop w:val="0"/>
          <w:marBottom w:val="0"/>
          <w:divBdr>
            <w:top w:val="none" w:sz="0" w:space="0" w:color="auto"/>
            <w:left w:val="none" w:sz="0" w:space="0" w:color="auto"/>
            <w:bottom w:val="none" w:sz="0" w:space="0" w:color="auto"/>
            <w:right w:val="none" w:sz="0" w:space="0" w:color="auto"/>
          </w:divBdr>
        </w:div>
      </w:divsChild>
    </w:div>
    <w:div w:id="194799743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20">
          <w:marLeft w:val="0"/>
          <w:marRight w:val="0"/>
          <w:marTop w:val="0"/>
          <w:marBottom w:val="0"/>
          <w:divBdr>
            <w:top w:val="none" w:sz="0" w:space="0" w:color="auto"/>
            <w:left w:val="none" w:sz="0" w:space="0" w:color="auto"/>
            <w:bottom w:val="none" w:sz="0" w:space="0" w:color="auto"/>
            <w:right w:val="none" w:sz="0" w:space="0" w:color="auto"/>
          </w:divBdr>
        </w:div>
      </w:divsChild>
    </w:div>
    <w:div w:id="1987590114">
      <w:bodyDiv w:val="1"/>
      <w:marLeft w:val="0"/>
      <w:marRight w:val="0"/>
      <w:marTop w:val="0"/>
      <w:marBottom w:val="0"/>
      <w:divBdr>
        <w:top w:val="none" w:sz="0" w:space="0" w:color="auto"/>
        <w:left w:val="none" w:sz="0" w:space="0" w:color="auto"/>
        <w:bottom w:val="none" w:sz="0" w:space="0" w:color="auto"/>
        <w:right w:val="none" w:sz="0" w:space="0" w:color="auto"/>
      </w:divBdr>
      <w:divsChild>
        <w:div w:id="671834062">
          <w:marLeft w:val="0"/>
          <w:marRight w:val="0"/>
          <w:marTop w:val="0"/>
          <w:marBottom w:val="0"/>
          <w:divBdr>
            <w:top w:val="none" w:sz="0" w:space="0" w:color="auto"/>
            <w:left w:val="none" w:sz="0" w:space="0" w:color="auto"/>
            <w:bottom w:val="none" w:sz="0" w:space="0" w:color="auto"/>
            <w:right w:val="none" w:sz="0" w:space="0" w:color="auto"/>
          </w:divBdr>
        </w:div>
      </w:divsChild>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 w:id="2112048414">
      <w:bodyDiv w:val="1"/>
      <w:marLeft w:val="0"/>
      <w:marRight w:val="0"/>
      <w:marTop w:val="0"/>
      <w:marBottom w:val="0"/>
      <w:divBdr>
        <w:top w:val="none" w:sz="0" w:space="0" w:color="auto"/>
        <w:left w:val="none" w:sz="0" w:space="0" w:color="auto"/>
        <w:bottom w:val="none" w:sz="0" w:space="0" w:color="auto"/>
        <w:right w:val="none" w:sz="0" w:space="0" w:color="auto"/>
      </w:divBdr>
      <w:divsChild>
        <w:div w:id="1838763527">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2.xml><?xml version="1.0" encoding="utf-8"?>
<ds:datastoreItem xmlns:ds="http://schemas.openxmlformats.org/officeDocument/2006/customXml" ds:itemID="{BA4EBF0D-C3B3-4F0B-AD61-C34050407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4.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5.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2594</Words>
  <Characters>18131</Characters>
  <Application>Microsoft Office Word</Application>
  <DocSecurity>0</DocSecurity>
  <Lines>151</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20684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3</cp:revision>
  <cp:lastPrinted>2021-09-09T02:05:00Z</cp:lastPrinted>
  <dcterms:created xsi:type="dcterms:W3CDTF">2026-06-01T11:23:00Z</dcterms:created>
  <dcterms:modified xsi:type="dcterms:W3CDTF">2026-06-01T11:24:00Z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