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8F2" w14:textId="77777777" w:rsidR="00712FA2" w:rsidRPr="00A93C34" w:rsidRDefault="00712FA2" w:rsidP="00712FA2">
      <w:pPr>
        <w:spacing w:after="0"/>
        <w:jc w:val="center"/>
        <w:rPr>
          <w:rFonts w:ascii="Times New Roman" w:hAnsi="Times New Roman"/>
          <w:sz w:val="24"/>
          <w:szCs w:val="24"/>
        </w:rPr>
      </w:pPr>
      <w:r w:rsidRPr="00A93C34">
        <w:rPr>
          <w:rFonts w:ascii="Times New Roman" w:hAnsi="Times New Roman"/>
          <w:sz w:val="24"/>
          <w:szCs w:val="24"/>
        </w:rPr>
        <w:tab/>
        <w:t>Rīgā</w:t>
      </w:r>
    </w:p>
    <w:p w14:paraId="50B18019" w14:textId="77777777" w:rsidR="00712FA2" w:rsidRPr="00A93C34" w:rsidRDefault="00712FA2" w:rsidP="00712FA2">
      <w:pPr>
        <w:spacing w:after="0"/>
        <w:jc w:val="center"/>
        <w:rPr>
          <w:rFonts w:ascii="Times New Roman" w:hAnsi="Times New Roman"/>
          <w:sz w:val="24"/>
          <w:szCs w:val="24"/>
        </w:rPr>
      </w:pPr>
    </w:p>
    <w:p w14:paraId="448C2429" w14:textId="77777777" w:rsidR="00712FA2" w:rsidRPr="00A93C34" w:rsidRDefault="00712FA2" w:rsidP="00712FA2">
      <w:pPr>
        <w:spacing w:after="0"/>
        <w:jc w:val="right"/>
        <w:rPr>
          <w:rFonts w:ascii="Times New Roman" w:hAnsi="Times New Roman"/>
          <w:b/>
          <w:sz w:val="24"/>
          <w:szCs w:val="24"/>
        </w:rPr>
      </w:pPr>
      <w:r w:rsidRPr="00A93C34">
        <w:rPr>
          <w:rFonts w:ascii="Times New Roman" w:hAnsi="Times New Roman"/>
          <w:b/>
          <w:sz w:val="24"/>
          <w:szCs w:val="24"/>
        </w:rPr>
        <w:t>APSTIPRINĀTS</w:t>
      </w:r>
    </w:p>
    <w:p w14:paraId="4F541402" w14:textId="2BB0FDED" w:rsidR="00712FA2" w:rsidRPr="00FA6308" w:rsidRDefault="00A16F67" w:rsidP="00712FA2">
      <w:pPr>
        <w:spacing w:after="0"/>
        <w:jc w:val="right"/>
        <w:rPr>
          <w:rFonts w:ascii="Times New Roman" w:hAnsi="Times New Roman"/>
          <w:sz w:val="24"/>
          <w:szCs w:val="24"/>
        </w:rPr>
      </w:pPr>
      <w:r>
        <w:rPr>
          <w:rFonts w:ascii="Times New Roman" w:hAnsi="Times New Roman"/>
          <w:sz w:val="24"/>
          <w:szCs w:val="24"/>
        </w:rPr>
        <w:t>ar 20</w:t>
      </w:r>
      <w:r w:rsidR="00DF57A7">
        <w:rPr>
          <w:rFonts w:ascii="Times New Roman" w:hAnsi="Times New Roman"/>
          <w:sz w:val="24"/>
          <w:szCs w:val="24"/>
        </w:rPr>
        <w:t>2</w:t>
      </w:r>
      <w:r w:rsidR="00F65764">
        <w:rPr>
          <w:rFonts w:ascii="Times New Roman" w:hAnsi="Times New Roman"/>
          <w:sz w:val="24"/>
          <w:szCs w:val="24"/>
        </w:rPr>
        <w:t>2</w:t>
      </w:r>
      <w:r w:rsidR="00712FA2" w:rsidRPr="00FA6308">
        <w:rPr>
          <w:rFonts w:ascii="Times New Roman" w:hAnsi="Times New Roman"/>
          <w:sz w:val="24"/>
          <w:szCs w:val="24"/>
        </w:rPr>
        <w:t>.</w:t>
      </w:r>
      <w:r w:rsidR="00520849">
        <w:rPr>
          <w:rFonts w:ascii="Times New Roman" w:hAnsi="Times New Roman"/>
          <w:sz w:val="24"/>
          <w:szCs w:val="24"/>
        </w:rPr>
        <w:t xml:space="preserve"> </w:t>
      </w:r>
      <w:r w:rsidR="00712FA2" w:rsidRPr="00FA6308">
        <w:rPr>
          <w:rFonts w:ascii="Times New Roman" w:hAnsi="Times New Roman"/>
          <w:sz w:val="24"/>
          <w:szCs w:val="24"/>
        </w:rPr>
        <w:t xml:space="preserve">gada </w:t>
      </w:r>
      <w:r w:rsidR="00E93CF0">
        <w:rPr>
          <w:rFonts w:ascii="Times New Roman" w:hAnsi="Times New Roman"/>
          <w:sz w:val="24"/>
          <w:szCs w:val="24"/>
        </w:rPr>
        <w:t>26. maija</w:t>
      </w:r>
      <w:r w:rsidR="00F65764">
        <w:rPr>
          <w:rFonts w:ascii="Times New Roman" w:hAnsi="Times New Roman"/>
          <w:sz w:val="24"/>
          <w:szCs w:val="24"/>
        </w:rPr>
        <w:t xml:space="preserve"> </w:t>
      </w:r>
    </w:p>
    <w:p w14:paraId="679065C5" w14:textId="77777777" w:rsidR="00712FA2" w:rsidRPr="00FA6308" w:rsidRDefault="00712FA2" w:rsidP="00712FA2">
      <w:pPr>
        <w:spacing w:after="0"/>
        <w:jc w:val="right"/>
        <w:rPr>
          <w:rFonts w:ascii="Times New Roman" w:hAnsi="Times New Roman"/>
          <w:sz w:val="24"/>
          <w:szCs w:val="24"/>
        </w:rPr>
      </w:pPr>
      <w:r w:rsidRPr="00FA6308">
        <w:rPr>
          <w:rFonts w:ascii="Times New Roman" w:hAnsi="Times New Roman"/>
          <w:sz w:val="24"/>
          <w:szCs w:val="24"/>
        </w:rPr>
        <w:t>Iepirkuma komisijas lēmumu</w:t>
      </w:r>
    </w:p>
    <w:p w14:paraId="299D16A0" w14:textId="77777777" w:rsidR="00712FA2" w:rsidRPr="00FA6308" w:rsidRDefault="00712FA2" w:rsidP="00712FA2">
      <w:pPr>
        <w:spacing w:after="0"/>
        <w:jc w:val="center"/>
        <w:rPr>
          <w:rFonts w:ascii="Times New Roman" w:hAnsi="Times New Roman"/>
          <w:b/>
          <w:sz w:val="24"/>
          <w:szCs w:val="24"/>
        </w:rPr>
      </w:pPr>
    </w:p>
    <w:p w14:paraId="0A79CCB9" w14:textId="77777777" w:rsidR="00712FA2" w:rsidRPr="007D7074" w:rsidRDefault="00712FA2" w:rsidP="00A16F67">
      <w:pPr>
        <w:spacing w:after="0"/>
        <w:ind w:hanging="284"/>
        <w:jc w:val="center"/>
        <w:rPr>
          <w:rFonts w:ascii="Times New Roman" w:hAnsi="Times New Roman"/>
          <w:b/>
          <w:sz w:val="24"/>
          <w:szCs w:val="24"/>
        </w:rPr>
      </w:pPr>
      <w:r w:rsidRPr="007D7074">
        <w:rPr>
          <w:rFonts w:ascii="Times New Roman" w:hAnsi="Times New Roman"/>
          <w:b/>
          <w:sz w:val="24"/>
          <w:szCs w:val="24"/>
        </w:rPr>
        <w:t>GROZĪJUMI</w:t>
      </w:r>
    </w:p>
    <w:p w14:paraId="0A25B412" w14:textId="1C58ED4F" w:rsidR="00113E30" w:rsidRPr="00113E30" w:rsidRDefault="00E93CF0" w:rsidP="00113E30">
      <w:pPr>
        <w:spacing w:after="0" w:line="240" w:lineRule="auto"/>
        <w:jc w:val="center"/>
        <w:rPr>
          <w:rFonts w:ascii="Times New Roman" w:eastAsia="Times New Roman" w:hAnsi="Times New Roman"/>
          <w:b/>
          <w:sz w:val="24"/>
          <w:szCs w:val="24"/>
        </w:rPr>
      </w:pPr>
      <w:r>
        <w:rPr>
          <w:rFonts w:ascii="Times New Roman" w:hAnsi="Times New Roman"/>
          <w:b/>
          <w:sz w:val="24"/>
          <w:szCs w:val="24"/>
        </w:rPr>
        <w:t>atklāta</w:t>
      </w:r>
      <w:r w:rsidR="00113E30" w:rsidRPr="007D7074">
        <w:rPr>
          <w:rFonts w:ascii="Times New Roman" w:hAnsi="Times New Roman"/>
          <w:b/>
          <w:sz w:val="24"/>
          <w:szCs w:val="24"/>
        </w:rPr>
        <w:t xml:space="preserve"> konkursa</w:t>
      </w:r>
    </w:p>
    <w:p w14:paraId="2DF2282F" w14:textId="0381F9DC" w:rsidR="00E93CF0" w:rsidRDefault="00113E30" w:rsidP="00E93CF0">
      <w:pPr>
        <w:spacing w:after="0" w:line="240" w:lineRule="auto"/>
        <w:jc w:val="center"/>
        <w:rPr>
          <w:rFonts w:ascii="Times New Roman" w:eastAsia="Times New Roman" w:hAnsi="Times New Roman"/>
          <w:sz w:val="24"/>
          <w:szCs w:val="24"/>
        </w:rPr>
      </w:pPr>
      <w:r w:rsidRPr="00113E30">
        <w:rPr>
          <w:rFonts w:ascii="Times New Roman" w:eastAsia="Times New Roman" w:hAnsi="Times New Roman"/>
          <w:b/>
          <w:sz w:val="24"/>
          <w:szCs w:val="24"/>
        </w:rPr>
        <w:t>“</w:t>
      </w:r>
      <w:r w:rsidR="00CC7C5F" w:rsidRPr="00CC7C5F">
        <w:rPr>
          <w:rFonts w:ascii="Times New Roman" w:hAnsi="Times New Roman"/>
          <w:b/>
          <w:sz w:val="24"/>
          <w:szCs w:val="24"/>
          <w:lang w:eastAsia="lv-LV"/>
        </w:rPr>
        <w:t>Sliežu pārvedu, to pārslēgiekārtu un vadības sistēmu piegāde</w:t>
      </w:r>
      <w:r w:rsidR="00E93CF0" w:rsidRPr="00CC7C5F">
        <w:rPr>
          <w:rFonts w:ascii="Times New Roman" w:eastAsia="Times New Roman" w:hAnsi="Times New Roman"/>
          <w:b/>
          <w:bCs/>
          <w:sz w:val="24"/>
          <w:szCs w:val="24"/>
        </w:rPr>
        <w:t xml:space="preserve">” </w:t>
      </w:r>
    </w:p>
    <w:p w14:paraId="50AF39E7" w14:textId="0DFA0114" w:rsidR="00E93CF0" w:rsidRDefault="00E93CF0" w:rsidP="00E93C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00113E30" w:rsidRPr="00113E30">
        <w:rPr>
          <w:rFonts w:ascii="Times New Roman" w:eastAsia="Times New Roman" w:hAnsi="Times New Roman"/>
          <w:sz w:val="24"/>
          <w:szCs w:val="24"/>
        </w:rPr>
        <w:t>Identifikācijas Nr.RS/2022/</w:t>
      </w:r>
      <w:r w:rsidR="00CC7C5F">
        <w:rPr>
          <w:rFonts w:ascii="Times New Roman" w:eastAsia="Times New Roman" w:hAnsi="Times New Roman"/>
          <w:sz w:val="24"/>
          <w:szCs w:val="24"/>
        </w:rPr>
        <w:t>20</w:t>
      </w:r>
      <w:r>
        <w:rPr>
          <w:rFonts w:ascii="Times New Roman" w:eastAsia="Times New Roman" w:hAnsi="Times New Roman"/>
          <w:sz w:val="24"/>
          <w:szCs w:val="24"/>
        </w:rPr>
        <w:t>)</w:t>
      </w:r>
    </w:p>
    <w:p w14:paraId="4B9940B3" w14:textId="6588EB14" w:rsidR="00113E30" w:rsidRPr="00E93CF0" w:rsidRDefault="00113E30" w:rsidP="00E93C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nolikumā</w:t>
      </w:r>
    </w:p>
    <w:p w14:paraId="1586D944" w14:textId="47D9FB30" w:rsidR="00712FA2" w:rsidRPr="00A048C2" w:rsidRDefault="00712FA2" w:rsidP="00113E30">
      <w:pPr>
        <w:spacing w:after="0"/>
        <w:jc w:val="center"/>
        <w:rPr>
          <w:rFonts w:ascii="Times New Roman" w:hAnsi="Times New Roman"/>
          <w:sz w:val="24"/>
          <w:szCs w:val="24"/>
        </w:rPr>
      </w:pPr>
    </w:p>
    <w:p w14:paraId="5B47464D" w14:textId="126E17FD" w:rsidR="00712FA2" w:rsidRPr="007D385E" w:rsidRDefault="00712FA2" w:rsidP="00A048C2">
      <w:pPr>
        <w:spacing w:after="0"/>
        <w:jc w:val="both"/>
        <w:rPr>
          <w:rFonts w:ascii="Times New Roman" w:hAnsi="Times New Roman"/>
          <w:sz w:val="24"/>
          <w:szCs w:val="24"/>
        </w:rPr>
      </w:pPr>
      <w:r w:rsidRPr="007D385E">
        <w:rPr>
          <w:rFonts w:ascii="Times New Roman" w:hAnsi="Times New Roman"/>
          <w:sz w:val="24"/>
          <w:szCs w:val="24"/>
        </w:rPr>
        <w:t>Pamatojoties uz</w:t>
      </w:r>
      <w:r w:rsidR="00A048C2" w:rsidRPr="007D385E">
        <w:rPr>
          <w:rFonts w:ascii="Times New Roman" w:hAnsi="Times New Roman"/>
          <w:sz w:val="24"/>
          <w:szCs w:val="24"/>
        </w:rPr>
        <w:t xml:space="preserve"> </w:t>
      </w:r>
      <w:bookmarkStart w:id="0" w:name="_Hlk101530575"/>
      <w:r w:rsidR="00A2042C">
        <w:rPr>
          <w:rFonts w:ascii="Times New Roman" w:hAnsi="Times New Roman"/>
          <w:sz w:val="24"/>
          <w:szCs w:val="24"/>
        </w:rPr>
        <w:t>atklāta</w:t>
      </w:r>
      <w:r w:rsidR="00A048C2" w:rsidRPr="007D385E">
        <w:rPr>
          <w:rFonts w:ascii="Times New Roman" w:hAnsi="Times New Roman"/>
          <w:sz w:val="24"/>
          <w:szCs w:val="24"/>
        </w:rPr>
        <w:t xml:space="preserve"> konkursa </w:t>
      </w:r>
      <w:r w:rsidR="00A048C2" w:rsidRPr="007D385E">
        <w:rPr>
          <w:rFonts w:ascii="Times New Roman" w:eastAsia="Times New Roman" w:hAnsi="Times New Roman"/>
          <w:sz w:val="24"/>
          <w:szCs w:val="24"/>
        </w:rPr>
        <w:t>“</w:t>
      </w:r>
      <w:r w:rsidR="00A623E4" w:rsidRPr="00A94E35">
        <w:rPr>
          <w:rFonts w:ascii="Times New Roman" w:hAnsi="Times New Roman"/>
          <w:bCs/>
          <w:sz w:val="24"/>
          <w:szCs w:val="24"/>
          <w:lang w:eastAsia="lv-LV"/>
        </w:rPr>
        <w:t>Sliežu pārvedu, to pārslēgiekārtu un vadības sistēmu piegāde</w:t>
      </w:r>
      <w:r w:rsidR="00A048C2" w:rsidRPr="007D385E">
        <w:rPr>
          <w:rFonts w:ascii="Times New Roman" w:eastAsia="Times New Roman" w:hAnsi="Times New Roman"/>
          <w:sz w:val="24"/>
          <w:szCs w:val="24"/>
        </w:rPr>
        <w:t>”</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Identifikācijas Nr.RS/2022/</w:t>
      </w:r>
      <w:r w:rsidR="00A623E4">
        <w:rPr>
          <w:rFonts w:ascii="Times New Roman" w:eastAsia="Times New Roman" w:hAnsi="Times New Roman"/>
          <w:sz w:val="24"/>
          <w:szCs w:val="24"/>
        </w:rPr>
        <w:t>20</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w:t>
      </w:r>
      <w:bookmarkEnd w:id="0"/>
      <w:r w:rsidR="00A16F67" w:rsidRPr="007D385E">
        <w:rPr>
          <w:rFonts w:ascii="Times New Roman" w:hAnsi="Times New Roman"/>
          <w:sz w:val="24"/>
          <w:szCs w:val="24"/>
        </w:rPr>
        <w:t>Iepirkuma komisijas 20</w:t>
      </w:r>
      <w:r w:rsidR="009C22CE" w:rsidRPr="007D385E">
        <w:rPr>
          <w:rFonts w:ascii="Times New Roman" w:hAnsi="Times New Roman"/>
          <w:sz w:val="24"/>
          <w:szCs w:val="24"/>
        </w:rPr>
        <w:t>2</w:t>
      </w:r>
      <w:r w:rsidR="00A048C2" w:rsidRPr="007D385E">
        <w:rPr>
          <w:rFonts w:ascii="Times New Roman" w:hAnsi="Times New Roman"/>
          <w:sz w:val="24"/>
          <w:szCs w:val="24"/>
        </w:rPr>
        <w:t>2</w:t>
      </w:r>
      <w:r w:rsidR="0031740D" w:rsidRPr="007D385E">
        <w:rPr>
          <w:rFonts w:ascii="Times New Roman" w:hAnsi="Times New Roman"/>
          <w:sz w:val="24"/>
          <w:szCs w:val="24"/>
        </w:rPr>
        <w:t>.</w:t>
      </w:r>
      <w:r w:rsidR="00520849" w:rsidRPr="007D385E">
        <w:rPr>
          <w:rFonts w:ascii="Times New Roman" w:hAnsi="Times New Roman"/>
          <w:sz w:val="24"/>
          <w:szCs w:val="24"/>
        </w:rPr>
        <w:t xml:space="preserve"> </w:t>
      </w:r>
      <w:r w:rsidRPr="007D385E">
        <w:rPr>
          <w:rFonts w:ascii="Times New Roman" w:hAnsi="Times New Roman"/>
          <w:sz w:val="24"/>
          <w:szCs w:val="24"/>
        </w:rPr>
        <w:t xml:space="preserve">gada </w:t>
      </w:r>
      <w:r w:rsidR="00A2042C">
        <w:rPr>
          <w:rFonts w:ascii="Times New Roman" w:hAnsi="Times New Roman"/>
          <w:sz w:val="24"/>
          <w:szCs w:val="24"/>
        </w:rPr>
        <w:t>26. maija</w:t>
      </w:r>
      <w:r w:rsidR="00520849" w:rsidRPr="007D385E">
        <w:rPr>
          <w:rFonts w:ascii="Times New Roman" w:hAnsi="Times New Roman"/>
          <w:sz w:val="24"/>
          <w:szCs w:val="24"/>
        </w:rPr>
        <w:t xml:space="preserve"> </w:t>
      </w:r>
      <w:r w:rsidRPr="007D385E">
        <w:rPr>
          <w:rFonts w:ascii="Times New Roman" w:hAnsi="Times New Roman"/>
          <w:sz w:val="24"/>
          <w:szCs w:val="24"/>
        </w:rPr>
        <w:t xml:space="preserve">lēmumu, izdarīt </w:t>
      </w:r>
      <w:r w:rsidR="00A2042C">
        <w:rPr>
          <w:rFonts w:ascii="Times New Roman" w:hAnsi="Times New Roman"/>
          <w:sz w:val="24"/>
          <w:szCs w:val="24"/>
        </w:rPr>
        <w:t xml:space="preserve">atklāta </w:t>
      </w:r>
      <w:r w:rsidR="00A048C2" w:rsidRPr="007D385E">
        <w:rPr>
          <w:rFonts w:ascii="Times New Roman" w:hAnsi="Times New Roman"/>
          <w:sz w:val="24"/>
          <w:szCs w:val="24"/>
        </w:rPr>
        <w:t xml:space="preserve">konkursa </w:t>
      </w:r>
      <w:r w:rsidR="00A048C2" w:rsidRPr="007D385E">
        <w:rPr>
          <w:rFonts w:ascii="Times New Roman" w:eastAsia="Times New Roman" w:hAnsi="Times New Roman"/>
          <w:sz w:val="24"/>
          <w:szCs w:val="24"/>
        </w:rPr>
        <w:t>“</w:t>
      </w:r>
      <w:r w:rsidR="00A623E4" w:rsidRPr="00A94E35">
        <w:rPr>
          <w:rFonts w:ascii="Times New Roman" w:hAnsi="Times New Roman"/>
          <w:bCs/>
          <w:sz w:val="24"/>
          <w:szCs w:val="24"/>
          <w:lang w:eastAsia="lv-LV"/>
        </w:rPr>
        <w:t>Sliežu pārvedu, to pārslēgiekārtu un vadības sistēmu piegāde</w:t>
      </w:r>
      <w:r w:rsidR="00A2042C">
        <w:rPr>
          <w:rFonts w:ascii="Times New Roman" w:eastAsia="Times New Roman" w:hAnsi="Times New Roman"/>
          <w:sz w:val="24"/>
          <w:szCs w:val="24"/>
        </w:rPr>
        <w:t xml:space="preserve">”, </w:t>
      </w:r>
      <w:r w:rsidR="00A048C2" w:rsidRPr="007D385E">
        <w:rPr>
          <w:rFonts w:ascii="Times New Roman" w:eastAsia="Times New Roman" w:hAnsi="Times New Roman"/>
          <w:sz w:val="24"/>
          <w:szCs w:val="24"/>
        </w:rPr>
        <w:t>Identifikācijas Nr.RS/2022/</w:t>
      </w:r>
      <w:r w:rsidR="00A623E4">
        <w:rPr>
          <w:rFonts w:ascii="Times New Roman" w:eastAsia="Times New Roman" w:hAnsi="Times New Roman"/>
          <w:sz w:val="24"/>
          <w:szCs w:val="24"/>
        </w:rPr>
        <w:t>20</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w:t>
      </w:r>
      <w:r w:rsidRPr="007D385E">
        <w:rPr>
          <w:rFonts w:ascii="Times New Roman" w:hAnsi="Times New Roman"/>
          <w:sz w:val="24"/>
          <w:szCs w:val="24"/>
        </w:rPr>
        <w:t>nolikumā (turpmāk</w:t>
      </w:r>
      <w:r w:rsidR="00D25DD0">
        <w:rPr>
          <w:rFonts w:ascii="Times New Roman" w:hAnsi="Times New Roman"/>
          <w:sz w:val="24"/>
          <w:szCs w:val="24"/>
        </w:rPr>
        <w:t xml:space="preserve"> </w:t>
      </w:r>
      <w:r w:rsidRPr="007D385E">
        <w:rPr>
          <w:rFonts w:ascii="Times New Roman" w:hAnsi="Times New Roman"/>
          <w:sz w:val="24"/>
          <w:szCs w:val="24"/>
        </w:rPr>
        <w:t>- nolikums) šādus grozījumus:</w:t>
      </w:r>
    </w:p>
    <w:p w14:paraId="3E7994F3" w14:textId="5953FEF9" w:rsidR="00566D9A" w:rsidRPr="007D385E" w:rsidRDefault="00566D9A" w:rsidP="00A048C2">
      <w:pPr>
        <w:spacing w:after="0"/>
        <w:jc w:val="both"/>
        <w:rPr>
          <w:rFonts w:ascii="Times New Roman" w:hAnsi="Times New Roman"/>
          <w:sz w:val="24"/>
          <w:szCs w:val="24"/>
        </w:rPr>
      </w:pPr>
    </w:p>
    <w:p w14:paraId="539E6E5E" w14:textId="1B13506F" w:rsidR="00D636EA" w:rsidRPr="00D21EB3" w:rsidRDefault="00D636EA" w:rsidP="00A2042C">
      <w:pPr>
        <w:pStyle w:val="ListParagraph"/>
        <w:numPr>
          <w:ilvl w:val="0"/>
          <w:numId w:val="6"/>
        </w:numPr>
        <w:spacing w:after="0" w:line="240" w:lineRule="auto"/>
        <w:ind w:left="567"/>
        <w:jc w:val="both"/>
        <w:rPr>
          <w:rFonts w:ascii="Times New Roman" w:eastAsia="Times New Roman" w:hAnsi="Times New Roman"/>
          <w:color w:val="000000"/>
          <w:sz w:val="24"/>
          <w:szCs w:val="24"/>
        </w:rPr>
      </w:pPr>
      <w:r w:rsidRPr="00D21EB3">
        <w:rPr>
          <w:rFonts w:ascii="Times New Roman" w:hAnsi="Times New Roman"/>
          <w:sz w:val="24"/>
          <w:szCs w:val="24"/>
        </w:rPr>
        <w:t xml:space="preserve">Aizstāt visā nolikuma tekstā vārdus un ciparus </w:t>
      </w:r>
      <w:r w:rsidRPr="00D21EB3">
        <w:rPr>
          <w:rFonts w:ascii="Times New Roman" w:hAnsi="Times New Roman"/>
          <w:i/>
          <w:iCs/>
          <w:sz w:val="24"/>
          <w:szCs w:val="24"/>
        </w:rPr>
        <w:t xml:space="preserve">“2022. gada </w:t>
      </w:r>
      <w:r w:rsidR="00A623E4">
        <w:rPr>
          <w:rFonts w:ascii="Times New Roman" w:hAnsi="Times New Roman"/>
          <w:i/>
          <w:iCs/>
          <w:sz w:val="24"/>
          <w:szCs w:val="24"/>
        </w:rPr>
        <w:t>3. jūnijs, plkst. 12.00</w:t>
      </w:r>
      <w:r w:rsidRPr="00D21EB3">
        <w:rPr>
          <w:rFonts w:ascii="Times New Roman" w:hAnsi="Times New Roman"/>
          <w:i/>
          <w:iCs/>
          <w:sz w:val="24"/>
          <w:szCs w:val="24"/>
        </w:rPr>
        <w:t>”</w:t>
      </w:r>
      <w:r w:rsidRPr="00D21EB3">
        <w:rPr>
          <w:rFonts w:ascii="Times New Roman" w:hAnsi="Times New Roman"/>
          <w:sz w:val="24"/>
          <w:szCs w:val="24"/>
        </w:rPr>
        <w:t xml:space="preserve"> attiecīgajā locījumā ar vārdiem un cipariem </w:t>
      </w:r>
      <w:r w:rsidRPr="00D21EB3">
        <w:rPr>
          <w:rFonts w:ascii="Times New Roman" w:hAnsi="Times New Roman"/>
          <w:i/>
          <w:iCs/>
          <w:sz w:val="24"/>
          <w:szCs w:val="24"/>
        </w:rPr>
        <w:t>“2022. gada 1</w:t>
      </w:r>
      <w:r w:rsidR="007543C0">
        <w:rPr>
          <w:rFonts w:ascii="Times New Roman" w:hAnsi="Times New Roman"/>
          <w:i/>
          <w:iCs/>
          <w:sz w:val="24"/>
          <w:szCs w:val="24"/>
        </w:rPr>
        <w:t>7</w:t>
      </w:r>
      <w:bookmarkStart w:id="1" w:name="_GoBack"/>
      <w:bookmarkEnd w:id="1"/>
      <w:r w:rsidRPr="00D21EB3">
        <w:rPr>
          <w:rFonts w:ascii="Times New Roman" w:hAnsi="Times New Roman"/>
          <w:i/>
          <w:iCs/>
          <w:sz w:val="24"/>
          <w:szCs w:val="24"/>
        </w:rPr>
        <w:t>. jūnijs</w:t>
      </w:r>
      <w:r w:rsidR="00A623E4">
        <w:rPr>
          <w:rFonts w:ascii="Times New Roman" w:hAnsi="Times New Roman"/>
          <w:i/>
          <w:iCs/>
          <w:sz w:val="24"/>
          <w:szCs w:val="24"/>
        </w:rPr>
        <w:t>, plkst. 1</w:t>
      </w:r>
      <w:r w:rsidR="007543C0">
        <w:rPr>
          <w:rFonts w:ascii="Times New Roman" w:hAnsi="Times New Roman"/>
          <w:i/>
          <w:iCs/>
          <w:sz w:val="24"/>
          <w:szCs w:val="24"/>
        </w:rPr>
        <w:t>1</w:t>
      </w:r>
      <w:r w:rsidR="00A623E4">
        <w:rPr>
          <w:rFonts w:ascii="Times New Roman" w:hAnsi="Times New Roman"/>
          <w:i/>
          <w:iCs/>
          <w:sz w:val="24"/>
          <w:szCs w:val="24"/>
        </w:rPr>
        <w:t>.00</w:t>
      </w:r>
      <w:r w:rsidRPr="00D21EB3">
        <w:rPr>
          <w:rFonts w:ascii="Times New Roman" w:hAnsi="Times New Roman"/>
          <w:i/>
          <w:iCs/>
          <w:sz w:val="24"/>
          <w:szCs w:val="24"/>
        </w:rPr>
        <w:t>”</w:t>
      </w:r>
      <w:r w:rsidRPr="00D21EB3">
        <w:rPr>
          <w:rFonts w:ascii="Times New Roman" w:hAnsi="Times New Roman"/>
          <w:sz w:val="24"/>
          <w:szCs w:val="24"/>
        </w:rPr>
        <w:t xml:space="preserve"> attiecīgajā locījumā. </w:t>
      </w:r>
    </w:p>
    <w:p w14:paraId="21CAC6CB" w14:textId="77777777" w:rsidR="00D636EA" w:rsidRPr="00D636EA" w:rsidRDefault="00D636EA" w:rsidP="00A2042C">
      <w:pPr>
        <w:spacing w:after="0"/>
        <w:ind w:left="567"/>
        <w:jc w:val="both"/>
        <w:rPr>
          <w:rFonts w:ascii="Times New Roman" w:hAnsi="Times New Roman"/>
          <w:sz w:val="24"/>
          <w:szCs w:val="24"/>
        </w:rPr>
      </w:pPr>
    </w:p>
    <w:p w14:paraId="71FC7000" w14:textId="70C9EF60" w:rsidR="00D636EA" w:rsidRDefault="00D636EA" w:rsidP="00A2042C">
      <w:pPr>
        <w:pStyle w:val="ListParagraph"/>
        <w:numPr>
          <w:ilvl w:val="0"/>
          <w:numId w:val="6"/>
        </w:numPr>
        <w:spacing w:after="0"/>
        <w:ind w:left="567"/>
        <w:jc w:val="both"/>
        <w:rPr>
          <w:rFonts w:ascii="Times New Roman" w:hAnsi="Times New Roman"/>
          <w:sz w:val="24"/>
          <w:szCs w:val="24"/>
        </w:rPr>
      </w:pPr>
      <w:r>
        <w:rPr>
          <w:rFonts w:ascii="Times New Roman" w:hAnsi="Times New Roman"/>
          <w:sz w:val="24"/>
          <w:szCs w:val="24"/>
        </w:rPr>
        <w:t xml:space="preserve">Grozīt </w:t>
      </w:r>
      <w:r w:rsidRPr="00D636EA">
        <w:rPr>
          <w:rFonts w:ascii="Times New Roman" w:hAnsi="Times New Roman"/>
          <w:sz w:val="24"/>
          <w:szCs w:val="24"/>
        </w:rPr>
        <w:t>Iepirkuma paredzam</w:t>
      </w:r>
      <w:r>
        <w:rPr>
          <w:rFonts w:ascii="Times New Roman" w:hAnsi="Times New Roman"/>
          <w:sz w:val="24"/>
          <w:szCs w:val="24"/>
        </w:rPr>
        <w:t>o</w:t>
      </w:r>
      <w:r w:rsidRPr="00D636EA">
        <w:rPr>
          <w:rFonts w:ascii="Times New Roman" w:hAnsi="Times New Roman"/>
          <w:sz w:val="24"/>
          <w:szCs w:val="24"/>
        </w:rPr>
        <w:t xml:space="preserve"> kopēj</w:t>
      </w:r>
      <w:r>
        <w:rPr>
          <w:rFonts w:ascii="Times New Roman" w:hAnsi="Times New Roman"/>
          <w:sz w:val="24"/>
          <w:szCs w:val="24"/>
        </w:rPr>
        <w:t>o</w:t>
      </w:r>
      <w:r w:rsidRPr="00D636EA">
        <w:rPr>
          <w:rFonts w:ascii="Times New Roman" w:hAnsi="Times New Roman"/>
          <w:sz w:val="24"/>
          <w:szCs w:val="24"/>
        </w:rPr>
        <w:t xml:space="preserve"> līguma cen</w:t>
      </w:r>
      <w:r>
        <w:rPr>
          <w:rFonts w:ascii="Times New Roman" w:hAnsi="Times New Roman"/>
          <w:sz w:val="24"/>
          <w:szCs w:val="24"/>
        </w:rPr>
        <w:t xml:space="preserve">u un </w:t>
      </w:r>
      <w:r w:rsidR="00A623E4">
        <w:rPr>
          <w:rFonts w:ascii="Times New Roman" w:hAnsi="Times New Roman"/>
          <w:sz w:val="24"/>
          <w:szCs w:val="24"/>
        </w:rPr>
        <w:t xml:space="preserve">3. </w:t>
      </w:r>
      <w:r>
        <w:rPr>
          <w:rFonts w:ascii="Times New Roman" w:hAnsi="Times New Roman"/>
          <w:sz w:val="24"/>
          <w:szCs w:val="24"/>
        </w:rPr>
        <w:t xml:space="preserve">daļas līguma cenu un izteikt nolikuma 1.4. punktu </w:t>
      </w:r>
      <w:r w:rsidR="00930600">
        <w:rPr>
          <w:rFonts w:ascii="Times New Roman" w:hAnsi="Times New Roman"/>
          <w:sz w:val="24"/>
          <w:szCs w:val="24"/>
        </w:rPr>
        <w:t xml:space="preserve">šādā </w:t>
      </w:r>
      <w:r>
        <w:rPr>
          <w:rFonts w:ascii="Times New Roman" w:hAnsi="Times New Roman"/>
          <w:sz w:val="24"/>
          <w:szCs w:val="24"/>
        </w:rPr>
        <w:t>redakcijā</w:t>
      </w:r>
      <w:r w:rsidRPr="00D636EA">
        <w:rPr>
          <w:rFonts w:ascii="Times New Roman" w:hAnsi="Times New Roman"/>
          <w:sz w:val="24"/>
          <w:szCs w:val="24"/>
        </w:rPr>
        <w:t>:</w:t>
      </w:r>
    </w:p>
    <w:p w14:paraId="0D6667D8" w14:textId="77777777" w:rsidR="00D636EA" w:rsidRDefault="00D636EA" w:rsidP="00A2042C">
      <w:pPr>
        <w:spacing w:after="0" w:line="240" w:lineRule="auto"/>
        <w:ind w:left="567"/>
        <w:jc w:val="both"/>
        <w:rPr>
          <w:rFonts w:ascii="Times New Roman" w:hAnsi="Times New Roman"/>
          <w:sz w:val="24"/>
          <w:szCs w:val="24"/>
        </w:rPr>
      </w:pPr>
    </w:p>
    <w:p w14:paraId="759BD407" w14:textId="5AC9D378" w:rsidR="00A623E4" w:rsidRPr="00A623E4" w:rsidRDefault="00D636EA" w:rsidP="00A623E4">
      <w:pPr>
        <w:pStyle w:val="ListParagraph"/>
        <w:spacing w:after="0" w:line="240" w:lineRule="auto"/>
        <w:ind w:left="1068"/>
        <w:jc w:val="both"/>
        <w:rPr>
          <w:rFonts w:ascii="Times New Roman" w:hAnsi="Times New Roman"/>
          <w:i/>
          <w:iCs/>
          <w:sz w:val="24"/>
          <w:szCs w:val="24"/>
        </w:rPr>
      </w:pPr>
      <w:r w:rsidRPr="00A623E4">
        <w:rPr>
          <w:rFonts w:ascii="Times New Roman" w:hAnsi="Times New Roman"/>
          <w:i/>
          <w:iCs/>
          <w:sz w:val="24"/>
          <w:szCs w:val="24"/>
        </w:rPr>
        <w:t>“</w:t>
      </w:r>
      <w:r w:rsidR="00D21EB3" w:rsidRPr="00A623E4">
        <w:rPr>
          <w:rFonts w:ascii="Times New Roman" w:hAnsi="Times New Roman"/>
          <w:i/>
          <w:iCs/>
          <w:sz w:val="24"/>
          <w:szCs w:val="24"/>
        </w:rPr>
        <w:t xml:space="preserve">1.4. </w:t>
      </w:r>
      <w:r w:rsidR="00A623E4" w:rsidRPr="00A623E4">
        <w:rPr>
          <w:rFonts w:ascii="Times New Roman" w:hAnsi="Times New Roman"/>
          <w:i/>
          <w:iCs/>
          <w:sz w:val="24"/>
          <w:szCs w:val="24"/>
        </w:rPr>
        <w:t>Iepirkuma paredzamā kopējā līguma cena: 2</w:t>
      </w:r>
      <w:r w:rsidR="00A623E4">
        <w:rPr>
          <w:rFonts w:ascii="Times New Roman" w:hAnsi="Times New Roman"/>
          <w:i/>
          <w:iCs/>
          <w:sz w:val="24"/>
          <w:szCs w:val="24"/>
        </w:rPr>
        <w:t> </w:t>
      </w:r>
      <w:r w:rsidR="00A623E4" w:rsidRPr="00A623E4">
        <w:rPr>
          <w:rFonts w:ascii="Times New Roman" w:hAnsi="Times New Roman"/>
          <w:i/>
          <w:iCs/>
          <w:sz w:val="24"/>
          <w:szCs w:val="24"/>
        </w:rPr>
        <w:t>749</w:t>
      </w:r>
      <w:r w:rsidR="00A623E4">
        <w:rPr>
          <w:rFonts w:ascii="Times New Roman" w:hAnsi="Times New Roman"/>
          <w:i/>
          <w:iCs/>
          <w:sz w:val="24"/>
          <w:szCs w:val="24"/>
        </w:rPr>
        <w:t xml:space="preserve"> </w:t>
      </w:r>
      <w:r w:rsidR="00A623E4" w:rsidRPr="00A623E4">
        <w:rPr>
          <w:rFonts w:ascii="Times New Roman" w:hAnsi="Times New Roman"/>
          <w:i/>
          <w:iCs/>
          <w:sz w:val="24"/>
          <w:szCs w:val="24"/>
        </w:rPr>
        <w:t>009</w:t>
      </w:r>
      <w:r w:rsidR="00A623E4">
        <w:rPr>
          <w:rFonts w:ascii="Times New Roman" w:hAnsi="Times New Roman"/>
          <w:i/>
          <w:iCs/>
          <w:sz w:val="24"/>
          <w:szCs w:val="24"/>
        </w:rPr>
        <w:t>.</w:t>
      </w:r>
      <w:r w:rsidR="00A623E4" w:rsidRPr="00A623E4">
        <w:rPr>
          <w:rFonts w:ascii="Times New Roman" w:hAnsi="Times New Roman"/>
          <w:i/>
          <w:iCs/>
          <w:sz w:val="24"/>
          <w:szCs w:val="24"/>
        </w:rPr>
        <w:t>00 EUR bez PVN:</w:t>
      </w:r>
    </w:p>
    <w:p w14:paraId="7621FCBD" w14:textId="195CF439" w:rsidR="00A623E4" w:rsidRPr="00A623E4" w:rsidRDefault="00A623E4" w:rsidP="00A623E4">
      <w:pPr>
        <w:spacing w:after="0" w:line="240" w:lineRule="auto"/>
        <w:ind w:left="1056" w:firstLine="504"/>
        <w:jc w:val="both"/>
        <w:rPr>
          <w:rFonts w:ascii="Times New Roman" w:hAnsi="Times New Roman"/>
          <w:sz w:val="24"/>
          <w:szCs w:val="24"/>
        </w:rPr>
      </w:pPr>
      <w:r w:rsidRPr="00A623E4">
        <w:rPr>
          <w:rFonts w:ascii="Times New Roman" w:hAnsi="Times New Roman"/>
          <w:sz w:val="24"/>
          <w:szCs w:val="24"/>
        </w:rPr>
        <w:t xml:space="preserve">1.daļa – </w:t>
      </w:r>
      <w:bookmarkStart w:id="2" w:name="_Hlk101852747"/>
      <w:r w:rsidRPr="00A623E4">
        <w:rPr>
          <w:rFonts w:ascii="Times New Roman" w:hAnsi="Times New Roman"/>
          <w:sz w:val="24"/>
          <w:szCs w:val="24"/>
        </w:rPr>
        <w:t>836</w:t>
      </w:r>
      <w:r w:rsidR="003F75B9">
        <w:rPr>
          <w:rFonts w:ascii="Times New Roman" w:hAnsi="Times New Roman"/>
          <w:sz w:val="24"/>
          <w:szCs w:val="24"/>
        </w:rPr>
        <w:t xml:space="preserve"> </w:t>
      </w:r>
      <w:r w:rsidRPr="00A623E4">
        <w:rPr>
          <w:rFonts w:ascii="Times New Roman" w:hAnsi="Times New Roman"/>
          <w:sz w:val="24"/>
          <w:szCs w:val="24"/>
        </w:rPr>
        <w:t>10</w:t>
      </w:r>
      <w:r w:rsidR="003F75B9">
        <w:rPr>
          <w:rFonts w:ascii="Times New Roman" w:hAnsi="Times New Roman"/>
          <w:sz w:val="24"/>
          <w:szCs w:val="24"/>
        </w:rPr>
        <w:t>6</w:t>
      </w:r>
      <w:r w:rsidRPr="00A623E4">
        <w:rPr>
          <w:rFonts w:ascii="Times New Roman" w:hAnsi="Times New Roman"/>
          <w:sz w:val="24"/>
          <w:szCs w:val="24"/>
        </w:rPr>
        <w:t>.00 EUR bez PVN;</w:t>
      </w:r>
    </w:p>
    <w:bookmarkEnd w:id="2"/>
    <w:p w14:paraId="10E9C397" w14:textId="49E9993F" w:rsidR="00A623E4" w:rsidRPr="00A623E4" w:rsidRDefault="00A623E4" w:rsidP="00A623E4">
      <w:pPr>
        <w:pStyle w:val="ListParagraph"/>
        <w:spacing w:after="0" w:line="240" w:lineRule="auto"/>
        <w:ind w:left="1068" w:firstLine="504"/>
        <w:jc w:val="both"/>
        <w:rPr>
          <w:rFonts w:ascii="Times New Roman" w:hAnsi="Times New Roman"/>
          <w:i/>
          <w:iCs/>
          <w:sz w:val="24"/>
          <w:szCs w:val="24"/>
        </w:rPr>
      </w:pPr>
      <w:r w:rsidRPr="00A623E4">
        <w:rPr>
          <w:rFonts w:ascii="Times New Roman" w:hAnsi="Times New Roman"/>
          <w:sz w:val="24"/>
          <w:szCs w:val="24"/>
        </w:rPr>
        <w:t xml:space="preserve">2.daļa – </w:t>
      </w:r>
      <w:bookmarkStart w:id="3" w:name="_Hlk101852769"/>
      <w:r w:rsidRPr="00A623E4">
        <w:rPr>
          <w:rFonts w:ascii="Times New Roman" w:hAnsi="Times New Roman"/>
          <w:sz w:val="24"/>
          <w:szCs w:val="24"/>
        </w:rPr>
        <w:t>1 524 363.00 EUR bez PVN</w:t>
      </w:r>
      <w:r w:rsidRPr="00A623E4">
        <w:rPr>
          <w:rFonts w:ascii="Times New Roman" w:hAnsi="Times New Roman"/>
          <w:i/>
          <w:iCs/>
          <w:sz w:val="24"/>
          <w:szCs w:val="24"/>
        </w:rPr>
        <w:t>;</w:t>
      </w:r>
      <w:bookmarkEnd w:id="3"/>
    </w:p>
    <w:p w14:paraId="7301451B" w14:textId="6290E8A8" w:rsidR="00A623E4" w:rsidRPr="00A623E4" w:rsidRDefault="00A623E4" w:rsidP="00A623E4">
      <w:pPr>
        <w:pStyle w:val="ListParagraph"/>
        <w:spacing w:after="0" w:line="240" w:lineRule="auto"/>
        <w:ind w:left="1068" w:firstLine="504"/>
        <w:jc w:val="both"/>
        <w:rPr>
          <w:rFonts w:ascii="Times New Roman" w:hAnsi="Times New Roman"/>
          <w:i/>
          <w:iCs/>
          <w:sz w:val="24"/>
          <w:szCs w:val="24"/>
        </w:rPr>
      </w:pPr>
      <w:r w:rsidRPr="00A623E4">
        <w:rPr>
          <w:rFonts w:ascii="Times New Roman" w:hAnsi="Times New Roman"/>
          <w:i/>
          <w:iCs/>
          <w:sz w:val="24"/>
          <w:szCs w:val="24"/>
        </w:rPr>
        <w:t xml:space="preserve">3.daļa – </w:t>
      </w:r>
      <w:bookmarkStart w:id="4" w:name="_Hlk101852789"/>
      <w:r w:rsidRPr="00A623E4">
        <w:rPr>
          <w:rFonts w:ascii="Times New Roman" w:hAnsi="Times New Roman"/>
          <w:i/>
          <w:iCs/>
          <w:sz w:val="24"/>
          <w:szCs w:val="24"/>
        </w:rPr>
        <w:t>388</w:t>
      </w:r>
      <w:r w:rsidR="003F75B9">
        <w:rPr>
          <w:rFonts w:ascii="Times New Roman" w:hAnsi="Times New Roman"/>
          <w:i/>
          <w:iCs/>
          <w:sz w:val="24"/>
          <w:szCs w:val="24"/>
        </w:rPr>
        <w:t xml:space="preserve"> </w:t>
      </w:r>
      <w:r w:rsidRPr="00A623E4">
        <w:rPr>
          <w:rFonts w:ascii="Times New Roman" w:hAnsi="Times New Roman"/>
          <w:i/>
          <w:iCs/>
          <w:sz w:val="24"/>
          <w:szCs w:val="24"/>
        </w:rPr>
        <w:t>540</w:t>
      </w:r>
      <w:r>
        <w:rPr>
          <w:rFonts w:ascii="Times New Roman" w:hAnsi="Times New Roman"/>
          <w:i/>
          <w:iCs/>
          <w:sz w:val="24"/>
          <w:szCs w:val="24"/>
        </w:rPr>
        <w:t>.</w:t>
      </w:r>
      <w:r w:rsidRPr="00A623E4">
        <w:rPr>
          <w:rFonts w:ascii="Times New Roman" w:hAnsi="Times New Roman"/>
          <w:i/>
          <w:iCs/>
          <w:sz w:val="24"/>
          <w:szCs w:val="24"/>
        </w:rPr>
        <w:t>00 EUR bez PVN.</w:t>
      </w:r>
      <w:bookmarkEnd w:id="4"/>
      <w:r>
        <w:rPr>
          <w:rFonts w:ascii="Times New Roman" w:hAnsi="Times New Roman"/>
          <w:i/>
          <w:iCs/>
          <w:sz w:val="24"/>
          <w:szCs w:val="24"/>
        </w:rPr>
        <w:t>”</w:t>
      </w:r>
    </w:p>
    <w:p w14:paraId="6AA541F9" w14:textId="2D000A67" w:rsidR="00BB0E50" w:rsidRPr="007401A7" w:rsidRDefault="00BB0E50" w:rsidP="00A623E4">
      <w:pPr>
        <w:spacing w:after="0" w:line="240" w:lineRule="auto"/>
        <w:ind w:left="1560" w:hanging="284"/>
        <w:jc w:val="both"/>
        <w:rPr>
          <w:rFonts w:ascii="Times New Roman" w:hAnsi="Times New Roman"/>
          <w:sz w:val="24"/>
          <w:szCs w:val="24"/>
        </w:rPr>
      </w:pPr>
    </w:p>
    <w:p w14:paraId="76A08103" w14:textId="09FB85DA" w:rsidR="00930600" w:rsidRPr="00930600" w:rsidRDefault="00930600" w:rsidP="00930600">
      <w:pPr>
        <w:pStyle w:val="ListParagraph"/>
        <w:numPr>
          <w:ilvl w:val="0"/>
          <w:numId w:val="6"/>
        </w:numPr>
        <w:spacing w:after="0" w:line="240" w:lineRule="auto"/>
        <w:jc w:val="both"/>
        <w:rPr>
          <w:rFonts w:ascii="Times New Roman" w:hAnsi="Times New Roman"/>
          <w:b/>
          <w:bCs/>
          <w:color w:val="000000" w:themeColor="text1"/>
          <w:sz w:val="24"/>
          <w:szCs w:val="24"/>
          <w:lang w:eastAsia="lv-LV"/>
        </w:rPr>
      </w:pPr>
      <w:r w:rsidRPr="00930600">
        <w:rPr>
          <w:rFonts w:ascii="Times New Roman" w:hAnsi="Times New Roman"/>
          <w:sz w:val="24"/>
          <w:szCs w:val="24"/>
        </w:rPr>
        <w:t>Grozīt nolikuma 3. pielikum</w:t>
      </w:r>
      <w:r>
        <w:rPr>
          <w:rFonts w:ascii="Times New Roman" w:hAnsi="Times New Roman"/>
          <w:sz w:val="24"/>
          <w:szCs w:val="24"/>
        </w:rPr>
        <w:t>ā</w:t>
      </w:r>
      <w:r w:rsidRPr="00930600">
        <w:rPr>
          <w:rFonts w:ascii="Times New Roman" w:hAnsi="Times New Roman"/>
          <w:b/>
          <w:bCs/>
          <w:sz w:val="24"/>
          <w:szCs w:val="24"/>
        </w:rPr>
        <w:t xml:space="preserve"> “TEHNISKĀ SPECIFIKĀCIJA” 2. daļa </w:t>
      </w:r>
      <w:r w:rsidRPr="00930600">
        <w:rPr>
          <w:rFonts w:ascii="Times New Roman" w:hAnsi="Times New Roman"/>
          <w:b/>
          <w:bCs/>
          <w:color w:val="000000" w:themeColor="text1"/>
          <w:sz w:val="24"/>
          <w:szCs w:val="24"/>
          <w:lang w:eastAsia="lv-LV"/>
        </w:rPr>
        <w:t xml:space="preserve">Informācija par sliežu pārvedu, to pārslēgiekārtu un vadības sistēmu piegādi objektam </w:t>
      </w:r>
      <w:r w:rsidRPr="00930600">
        <w:rPr>
          <w:rFonts w:ascii="Times New Roman" w:eastAsia="Times New Roman" w:hAnsi="Times New Roman"/>
          <w:b/>
          <w:bCs/>
          <w:color w:val="000000" w:themeColor="text1"/>
          <w:sz w:val="24"/>
          <w:szCs w:val="24"/>
        </w:rPr>
        <w:t xml:space="preserve">“Tramvaja infrastruktūras pielāgošana zemās grīdas tramvaja parametriem. </w:t>
      </w:r>
      <w:r w:rsidRPr="00930600">
        <w:rPr>
          <w:rFonts w:ascii="Times New Roman" w:hAnsi="Times New Roman"/>
          <w:b/>
          <w:bCs/>
          <w:color w:val="000000" w:themeColor="text1"/>
          <w:sz w:val="24"/>
          <w:szCs w:val="24"/>
        </w:rPr>
        <w:t>3.depo.”</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atsauci zem tabulas “</w:t>
      </w:r>
      <w:r w:rsidRPr="00930600">
        <w:rPr>
          <w:rFonts w:ascii="Times New Roman" w:eastAsia="Times New Roman" w:hAnsi="Times New Roman"/>
          <w:b/>
          <w:bCs/>
          <w:sz w:val="24"/>
          <w:szCs w:val="24"/>
          <w:lang w:eastAsia="lv-LV"/>
        </w:rPr>
        <w:t>Pārvedas savienojošās sliedes. Aprēķina tabula</w:t>
      </w:r>
      <w:r>
        <w:rPr>
          <w:rFonts w:ascii="Times New Roman" w:hAnsi="Times New Roman"/>
          <w:color w:val="000000" w:themeColor="text1"/>
          <w:sz w:val="24"/>
          <w:szCs w:val="24"/>
        </w:rPr>
        <w:t>”</w:t>
      </w:r>
      <w:r>
        <w:rPr>
          <w:rFonts w:ascii="Times New Roman" w:hAnsi="Times New Roman"/>
          <w:b/>
          <w:bCs/>
          <w:color w:val="000000" w:themeColor="text1"/>
          <w:sz w:val="24"/>
          <w:szCs w:val="24"/>
        </w:rPr>
        <w:t xml:space="preserve"> </w:t>
      </w:r>
      <w:r w:rsidRPr="00930600">
        <w:rPr>
          <w:rFonts w:ascii="Times New Roman" w:hAnsi="Times New Roman"/>
          <w:sz w:val="24"/>
          <w:szCs w:val="24"/>
        </w:rPr>
        <w:t>un izteikt to</w:t>
      </w:r>
      <w:r w:rsidRPr="00930600">
        <w:rPr>
          <w:rFonts w:ascii="Times New Roman" w:hAnsi="Times New Roman"/>
          <w:b/>
          <w:bCs/>
          <w:sz w:val="24"/>
          <w:szCs w:val="24"/>
        </w:rPr>
        <w:t xml:space="preserve"> </w:t>
      </w:r>
      <w:r>
        <w:rPr>
          <w:rFonts w:ascii="Times New Roman" w:hAnsi="Times New Roman"/>
          <w:sz w:val="24"/>
          <w:szCs w:val="24"/>
        </w:rPr>
        <w:t>šādā</w:t>
      </w:r>
      <w:r w:rsidRPr="00930600">
        <w:rPr>
          <w:rFonts w:ascii="Times New Roman" w:hAnsi="Times New Roman"/>
          <w:sz w:val="24"/>
          <w:szCs w:val="24"/>
        </w:rPr>
        <w:t xml:space="preserve"> redakcijā</w:t>
      </w:r>
      <w:r>
        <w:rPr>
          <w:rFonts w:ascii="Times New Roman" w:hAnsi="Times New Roman"/>
          <w:sz w:val="24"/>
          <w:szCs w:val="24"/>
        </w:rPr>
        <w:t>:</w:t>
      </w:r>
    </w:p>
    <w:p w14:paraId="114AB718" w14:textId="77777777" w:rsidR="00930600" w:rsidRPr="00930600" w:rsidRDefault="00930600" w:rsidP="00930600">
      <w:pPr>
        <w:pStyle w:val="ListParagraph"/>
        <w:spacing w:after="0" w:line="240" w:lineRule="auto"/>
        <w:jc w:val="both"/>
        <w:rPr>
          <w:rFonts w:ascii="Times New Roman" w:hAnsi="Times New Roman"/>
          <w:b/>
          <w:bCs/>
          <w:color w:val="000000" w:themeColor="text1"/>
          <w:sz w:val="24"/>
          <w:szCs w:val="24"/>
          <w:lang w:eastAsia="lv-LV"/>
        </w:rPr>
      </w:pPr>
    </w:p>
    <w:p w14:paraId="3A64F85F" w14:textId="0B551909" w:rsidR="00930600" w:rsidRPr="00930600" w:rsidRDefault="00930600" w:rsidP="00930600">
      <w:pPr>
        <w:pStyle w:val="ListParagraph"/>
        <w:spacing w:after="0" w:line="240" w:lineRule="auto"/>
        <w:ind w:left="567"/>
        <w:jc w:val="both"/>
        <w:rPr>
          <w:rFonts w:ascii="Times New Roman" w:hAnsi="Times New Roman"/>
          <w:b/>
          <w:bCs/>
          <w:i/>
          <w:iCs/>
          <w:color w:val="000000" w:themeColor="text1"/>
          <w:sz w:val="24"/>
          <w:szCs w:val="24"/>
          <w:lang w:eastAsia="lv-LV"/>
        </w:rPr>
      </w:pPr>
      <w:r w:rsidRPr="00930600">
        <w:rPr>
          <w:rFonts w:ascii="Times New Roman" w:eastAsia="Times New Roman" w:hAnsi="Times New Roman"/>
          <w:i/>
          <w:iCs/>
          <w:sz w:val="24"/>
          <w:szCs w:val="24"/>
          <w:lang w:eastAsia="lv-LV"/>
        </w:rPr>
        <w:t xml:space="preserve">“*Skatīt pārvedu nr. </w:t>
      </w:r>
      <w:r>
        <w:rPr>
          <w:rFonts w:ascii="Times New Roman" w:eastAsia="Times New Roman" w:hAnsi="Times New Roman"/>
          <w:i/>
          <w:iCs/>
          <w:sz w:val="24"/>
          <w:szCs w:val="24"/>
          <w:lang w:eastAsia="lv-LV"/>
        </w:rPr>
        <w:t>pievienotajās</w:t>
      </w:r>
      <w:r w:rsidRPr="00930600">
        <w:rPr>
          <w:rFonts w:ascii="Times New Roman" w:eastAsia="Times New Roman" w:hAnsi="Times New Roman"/>
          <w:i/>
          <w:iCs/>
          <w:sz w:val="24"/>
          <w:szCs w:val="24"/>
          <w:lang w:eastAsia="lv-LV"/>
        </w:rPr>
        <w:t xml:space="preserve"> shēmās (Tehniskās specifikācijas pielikumi Nr</w:t>
      </w:r>
      <w:r w:rsidR="0016431A">
        <w:rPr>
          <w:rFonts w:ascii="Times New Roman" w:eastAsia="Times New Roman" w:hAnsi="Times New Roman"/>
          <w:i/>
          <w:iCs/>
          <w:sz w:val="24"/>
          <w:szCs w:val="24"/>
          <w:lang w:eastAsia="lv-LV"/>
        </w:rPr>
        <w:t>.</w:t>
      </w:r>
      <w:r w:rsidRPr="00930600">
        <w:rPr>
          <w:rFonts w:ascii="Times New Roman" w:eastAsia="Times New Roman" w:hAnsi="Times New Roman"/>
          <w:i/>
          <w:iCs/>
          <w:sz w:val="24"/>
          <w:szCs w:val="24"/>
          <w:lang w:eastAsia="lv-LV"/>
        </w:rPr>
        <w:t xml:space="preserve"> 3.2.-3.4)”</w:t>
      </w:r>
    </w:p>
    <w:p w14:paraId="5D879011" w14:textId="77777777" w:rsidR="00930600" w:rsidRPr="00930600" w:rsidRDefault="00930600" w:rsidP="00930600">
      <w:pPr>
        <w:pStyle w:val="ListParagraph"/>
        <w:spacing w:after="0" w:line="240" w:lineRule="auto"/>
        <w:jc w:val="both"/>
        <w:rPr>
          <w:rFonts w:ascii="Times New Roman" w:hAnsi="Times New Roman"/>
          <w:b/>
          <w:bCs/>
          <w:color w:val="000000" w:themeColor="text1"/>
          <w:sz w:val="24"/>
          <w:szCs w:val="24"/>
          <w:lang w:eastAsia="lv-LV"/>
        </w:rPr>
      </w:pPr>
    </w:p>
    <w:p w14:paraId="5BA6D9FF" w14:textId="5C4C4FDC" w:rsidR="00061DC6" w:rsidRPr="00061DC6" w:rsidRDefault="00442332" w:rsidP="00061DC6">
      <w:pPr>
        <w:pStyle w:val="ListParagraph"/>
        <w:numPr>
          <w:ilvl w:val="0"/>
          <w:numId w:val="6"/>
        </w:numPr>
        <w:spacing w:after="0"/>
        <w:jc w:val="both"/>
        <w:rPr>
          <w:rFonts w:ascii="Times New Roman" w:hAnsi="Times New Roman"/>
          <w:b/>
          <w:bCs/>
          <w:sz w:val="24"/>
          <w:szCs w:val="24"/>
        </w:rPr>
      </w:pPr>
      <w:r>
        <w:rPr>
          <w:rFonts w:ascii="Times New Roman" w:hAnsi="Times New Roman"/>
          <w:sz w:val="24"/>
          <w:szCs w:val="24"/>
        </w:rPr>
        <w:t xml:space="preserve">Grozīt </w:t>
      </w:r>
      <w:r w:rsidR="004F146B">
        <w:rPr>
          <w:rFonts w:ascii="Times New Roman" w:hAnsi="Times New Roman"/>
          <w:sz w:val="24"/>
          <w:szCs w:val="24"/>
        </w:rPr>
        <w:t xml:space="preserve">nolikuma </w:t>
      </w:r>
      <w:r w:rsidR="007401A7" w:rsidRPr="00AB3093">
        <w:rPr>
          <w:rFonts w:ascii="Times New Roman" w:hAnsi="Times New Roman"/>
          <w:sz w:val="24"/>
          <w:szCs w:val="24"/>
        </w:rPr>
        <w:t>3. pielikum</w:t>
      </w:r>
      <w:r w:rsidR="003F75B9">
        <w:rPr>
          <w:rFonts w:ascii="Times New Roman" w:hAnsi="Times New Roman"/>
          <w:sz w:val="24"/>
          <w:szCs w:val="24"/>
        </w:rPr>
        <w:t>u</w:t>
      </w:r>
      <w:r w:rsidR="007401A7" w:rsidRPr="00AB3093">
        <w:rPr>
          <w:rFonts w:ascii="Times New Roman" w:hAnsi="Times New Roman"/>
          <w:b/>
          <w:bCs/>
          <w:sz w:val="24"/>
          <w:szCs w:val="24"/>
        </w:rPr>
        <w:t xml:space="preserve"> “TEHNISKĀ SPECIFIKĀCIJA” </w:t>
      </w:r>
      <w:r w:rsidR="003F75B9">
        <w:rPr>
          <w:rFonts w:ascii="Times New Roman" w:hAnsi="Times New Roman"/>
          <w:b/>
          <w:bCs/>
          <w:sz w:val="24"/>
          <w:szCs w:val="24"/>
        </w:rPr>
        <w:t xml:space="preserve">3. daļa </w:t>
      </w:r>
      <w:r w:rsidR="003F75B9" w:rsidRPr="003F75B9">
        <w:rPr>
          <w:rFonts w:ascii="Times New Roman" w:hAnsi="Times New Roman"/>
          <w:b/>
          <w:bCs/>
          <w:sz w:val="24"/>
          <w:szCs w:val="24"/>
        </w:rPr>
        <w:t>Informācija par sliežu pārvedu, to pārslēgiekārtu un vadības sistēmu piegādi</w:t>
      </w:r>
      <w:r w:rsidR="003F75B9">
        <w:rPr>
          <w:rFonts w:ascii="Times New Roman" w:hAnsi="Times New Roman"/>
          <w:b/>
          <w:bCs/>
          <w:sz w:val="24"/>
          <w:szCs w:val="24"/>
        </w:rPr>
        <w:t xml:space="preserve"> </w:t>
      </w:r>
      <w:r w:rsidR="003F75B9" w:rsidRPr="003F75B9">
        <w:rPr>
          <w:rFonts w:ascii="Times New Roman" w:hAnsi="Times New Roman"/>
          <w:b/>
          <w:bCs/>
          <w:sz w:val="24"/>
          <w:szCs w:val="24"/>
        </w:rPr>
        <w:t xml:space="preserve">objektam “Tramvaja infrastruktūras pielāgošana zemās grīdas tramvaja parametriem. 5.depo.” </w:t>
      </w:r>
      <w:r w:rsidRPr="00442332">
        <w:rPr>
          <w:rFonts w:ascii="Times New Roman" w:hAnsi="Times New Roman"/>
          <w:sz w:val="24"/>
          <w:szCs w:val="24"/>
        </w:rPr>
        <w:t>un izteikt to</w:t>
      </w:r>
      <w:r>
        <w:rPr>
          <w:rFonts w:ascii="Times New Roman" w:hAnsi="Times New Roman"/>
          <w:b/>
          <w:bCs/>
          <w:sz w:val="24"/>
          <w:szCs w:val="24"/>
        </w:rPr>
        <w:t xml:space="preserve"> </w:t>
      </w:r>
      <w:r w:rsidR="007401A7" w:rsidRPr="003F75B9">
        <w:rPr>
          <w:rFonts w:ascii="Times New Roman" w:hAnsi="Times New Roman"/>
          <w:sz w:val="24"/>
          <w:szCs w:val="24"/>
        </w:rPr>
        <w:t>jaunā redakcijā</w:t>
      </w:r>
      <w:r w:rsidR="00930600">
        <w:rPr>
          <w:rFonts w:ascii="Times New Roman" w:hAnsi="Times New Roman"/>
          <w:sz w:val="24"/>
          <w:szCs w:val="24"/>
        </w:rPr>
        <w:t>.</w:t>
      </w:r>
    </w:p>
    <w:p w14:paraId="1F71A644" w14:textId="77777777" w:rsidR="00061DC6" w:rsidRPr="00061DC6" w:rsidRDefault="00061DC6" w:rsidP="00061DC6">
      <w:pPr>
        <w:pStyle w:val="ListParagraph"/>
        <w:spacing w:after="0"/>
        <w:jc w:val="both"/>
        <w:rPr>
          <w:rFonts w:ascii="Times New Roman" w:hAnsi="Times New Roman"/>
          <w:b/>
          <w:bCs/>
          <w:sz w:val="24"/>
          <w:szCs w:val="24"/>
        </w:rPr>
      </w:pPr>
    </w:p>
    <w:p w14:paraId="565C3BA8" w14:textId="1111B381" w:rsidR="00182D4E" w:rsidRPr="00061DC6" w:rsidRDefault="007401A7" w:rsidP="00061DC6">
      <w:pPr>
        <w:pStyle w:val="ListParagraph"/>
        <w:numPr>
          <w:ilvl w:val="0"/>
          <w:numId w:val="6"/>
        </w:numPr>
        <w:spacing w:after="0"/>
        <w:jc w:val="both"/>
        <w:rPr>
          <w:rFonts w:ascii="Times New Roman" w:hAnsi="Times New Roman"/>
          <w:b/>
          <w:bCs/>
          <w:sz w:val="24"/>
          <w:szCs w:val="24"/>
        </w:rPr>
      </w:pPr>
      <w:r w:rsidRPr="00061DC6">
        <w:rPr>
          <w:rFonts w:ascii="Times New Roman" w:hAnsi="Times New Roman"/>
          <w:sz w:val="24"/>
          <w:szCs w:val="24"/>
        </w:rPr>
        <w:lastRenderedPageBreak/>
        <w:t>Grozīt nolikuma 4. pielikum</w:t>
      </w:r>
      <w:r w:rsidR="00061DC6" w:rsidRPr="00061DC6">
        <w:rPr>
          <w:rFonts w:ascii="Times New Roman" w:hAnsi="Times New Roman"/>
          <w:sz w:val="24"/>
          <w:szCs w:val="24"/>
        </w:rPr>
        <w:t>a</w:t>
      </w:r>
      <w:r w:rsidRPr="00061DC6">
        <w:rPr>
          <w:rFonts w:ascii="Times New Roman" w:hAnsi="Times New Roman"/>
          <w:sz w:val="24"/>
          <w:szCs w:val="24"/>
        </w:rPr>
        <w:t xml:space="preserve"> </w:t>
      </w:r>
      <w:r w:rsidRPr="00061DC6">
        <w:rPr>
          <w:rFonts w:ascii="Times New Roman" w:hAnsi="Times New Roman"/>
          <w:b/>
          <w:bCs/>
          <w:sz w:val="24"/>
          <w:szCs w:val="24"/>
        </w:rPr>
        <w:t>“</w:t>
      </w:r>
      <w:r w:rsidR="00061DC6" w:rsidRPr="00061DC6">
        <w:rPr>
          <w:rFonts w:ascii="Times New Roman" w:hAnsi="Times New Roman"/>
          <w:b/>
          <w:bCs/>
          <w:sz w:val="24"/>
          <w:szCs w:val="24"/>
        </w:rPr>
        <w:t>FINANŠU PIEDĀVĀJUMS</w:t>
      </w:r>
      <w:r w:rsidRPr="00061DC6">
        <w:rPr>
          <w:rFonts w:ascii="Times New Roman" w:hAnsi="Times New Roman"/>
          <w:b/>
          <w:bCs/>
          <w:sz w:val="24"/>
          <w:szCs w:val="24"/>
        </w:rPr>
        <w:t xml:space="preserve">” </w:t>
      </w:r>
      <w:r w:rsidR="00061DC6" w:rsidRPr="00061DC6">
        <w:rPr>
          <w:rFonts w:ascii="Times New Roman" w:hAnsi="Times New Roman"/>
          <w:b/>
          <w:sz w:val="24"/>
          <w:szCs w:val="24"/>
        </w:rPr>
        <w:t>(3.daļa “5.depo teritorija”)</w:t>
      </w:r>
      <w:r w:rsidR="00061DC6">
        <w:rPr>
          <w:rFonts w:ascii="Times New Roman" w:hAnsi="Times New Roman"/>
          <w:b/>
          <w:sz w:val="24"/>
          <w:szCs w:val="24"/>
        </w:rPr>
        <w:t xml:space="preserve"> </w:t>
      </w:r>
      <w:r w:rsidR="00061DC6" w:rsidRPr="00061DC6">
        <w:rPr>
          <w:rFonts w:ascii="Times New Roman" w:hAnsi="Times New Roman"/>
          <w:bCs/>
          <w:sz w:val="24"/>
          <w:szCs w:val="24"/>
        </w:rPr>
        <w:t>tabulu</w:t>
      </w:r>
      <w:r w:rsidR="00061DC6">
        <w:rPr>
          <w:rFonts w:ascii="Times New Roman" w:hAnsi="Times New Roman"/>
          <w:b/>
          <w:sz w:val="24"/>
          <w:szCs w:val="24"/>
        </w:rPr>
        <w:t xml:space="preserve"> </w:t>
      </w:r>
      <w:r w:rsidRPr="00061DC6">
        <w:rPr>
          <w:rFonts w:ascii="Times New Roman" w:hAnsi="Times New Roman"/>
          <w:sz w:val="24"/>
          <w:szCs w:val="24"/>
        </w:rPr>
        <w:t xml:space="preserve">un izteikt to </w:t>
      </w:r>
      <w:r w:rsidR="00930600">
        <w:rPr>
          <w:rFonts w:ascii="Times New Roman" w:hAnsi="Times New Roman"/>
          <w:sz w:val="24"/>
          <w:szCs w:val="24"/>
        </w:rPr>
        <w:t>šādā</w:t>
      </w:r>
      <w:r w:rsidRPr="00061DC6">
        <w:rPr>
          <w:rFonts w:ascii="Times New Roman" w:hAnsi="Times New Roman"/>
          <w:sz w:val="24"/>
          <w:szCs w:val="24"/>
        </w:rPr>
        <w:t xml:space="preserve"> redakcijā</w:t>
      </w:r>
      <w:r w:rsidR="00061DC6">
        <w:rPr>
          <w:rFonts w:ascii="Times New Roman" w:hAnsi="Times New Roman"/>
          <w:sz w:val="24"/>
          <w:szCs w:val="24"/>
        </w:rPr>
        <w:t>:</w:t>
      </w:r>
    </w:p>
    <w:p w14:paraId="50D48FDC" w14:textId="77777777" w:rsidR="00061DC6" w:rsidRPr="00061DC6" w:rsidRDefault="00061DC6" w:rsidP="00061DC6">
      <w:pPr>
        <w:pStyle w:val="ListParagraph"/>
        <w:rPr>
          <w:rFonts w:ascii="Times New Roman" w:hAnsi="Times New Roman"/>
          <w:b/>
          <w:bCs/>
          <w:sz w:val="24"/>
          <w:szCs w:val="24"/>
        </w:rPr>
      </w:pPr>
    </w:p>
    <w:tbl>
      <w:tblPr>
        <w:tblStyle w:val="TableGrid"/>
        <w:tblW w:w="0" w:type="auto"/>
        <w:tblInd w:w="1068" w:type="dxa"/>
        <w:tblLook w:val="04A0" w:firstRow="1" w:lastRow="0" w:firstColumn="1" w:lastColumn="0" w:noHBand="0" w:noVBand="1"/>
      </w:tblPr>
      <w:tblGrid>
        <w:gridCol w:w="5518"/>
        <w:gridCol w:w="2752"/>
      </w:tblGrid>
      <w:tr w:rsidR="00061DC6" w14:paraId="17436B88" w14:textId="77777777" w:rsidTr="00061DC6">
        <w:trPr>
          <w:trHeight w:val="782"/>
        </w:trPr>
        <w:tc>
          <w:tcPr>
            <w:tcW w:w="5518" w:type="dxa"/>
          </w:tcPr>
          <w:p w14:paraId="4BEB85F7" w14:textId="77777777" w:rsidR="00061DC6" w:rsidRDefault="00061DC6" w:rsidP="00BD455D">
            <w:pPr>
              <w:pStyle w:val="ListParagraph"/>
              <w:ind w:left="0"/>
              <w:jc w:val="center"/>
              <w:rPr>
                <w:rFonts w:ascii="Times New Roman" w:hAnsi="Times New Roman"/>
                <w:b/>
                <w:sz w:val="24"/>
                <w:szCs w:val="24"/>
              </w:rPr>
            </w:pPr>
          </w:p>
          <w:p w14:paraId="1AABEE67" w14:textId="21B26D34" w:rsidR="00061DC6" w:rsidRDefault="00061DC6" w:rsidP="00061DC6">
            <w:pPr>
              <w:pStyle w:val="ListParagraph"/>
              <w:ind w:left="0"/>
              <w:jc w:val="center"/>
              <w:rPr>
                <w:rFonts w:ascii="Times New Roman" w:hAnsi="Times New Roman"/>
                <w:b/>
                <w:sz w:val="24"/>
                <w:szCs w:val="24"/>
              </w:rPr>
            </w:pPr>
            <w:r>
              <w:rPr>
                <w:rFonts w:ascii="Times New Roman" w:eastAsia="Times New Roman" w:hAnsi="Times New Roman"/>
                <w:b/>
                <w:bCs/>
                <w:sz w:val="20"/>
                <w:szCs w:val="20"/>
                <w:lang w:eastAsia="lv-LV"/>
              </w:rPr>
              <w:t>Cena* (EUR bez PVN) kopā par visu apjomu</w:t>
            </w:r>
          </w:p>
        </w:tc>
        <w:tc>
          <w:tcPr>
            <w:tcW w:w="2752" w:type="dxa"/>
          </w:tcPr>
          <w:p w14:paraId="50E5B451" w14:textId="77777777" w:rsidR="00061DC6" w:rsidRDefault="00061DC6" w:rsidP="00BD455D">
            <w:pPr>
              <w:pStyle w:val="ListParagraph"/>
              <w:ind w:left="0"/>
              <w:jc w:val="center"/>
              <w:rPr>
                <w:rFonts w:ascii="Times New Roman" w:hAnsi="Times New Roman"/>
                <w:b/>
                <w:sz w:val="24"/>
                <w:szCs w:val="24"/>
              </w:rPr>
            </w:pPr>
          </w:p>
        </w:tc>
      </w:tr>
    </w:tbl>
    <w:p w14:paraId="7C3C33AA" w14:textId="55142E39" w:rsidR="00C5553C" w:rsidRPr="00061DC6" w:rsidRDefault="00061DC6" w:rsidP="00061DC6">
      <w:pPr>
        <w:tabs>
          <w:tab w:val="left" w:pos="851"/>
        </w:tabs>
        <w:spacing w:after="120" w:line="240" w:lineRule="auto"/>
        <w:ind w:left="142" w:right="140"/>
        <w:jc w:val="both"/>
        <w:rPr>
          <w:rFonts w:ascii="Times New Roman" w:hAnsi="Times New Roman"/>
          <w:i/>
          <w:iCs/>
          <w:sz w:val="20"/>
          <w:szCs w:val="20"/>
        </w:rPr>
      </w:pPr>
      <w:r w:rsidRPr="00CA3367">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36C76572" w14:textId="77777777" w:rsidR="00B523FC" w:rsidRPr="004110BB" w:rsidRDefault="00B523FC" w:rsidP="00692A4C">
      <w:pPr>
        <w:widowControl w:val="0"/>
        <w:spacing w:after="0" w:line="240" w:lineRule="auto"/>
        <w:jc w:val="both"/>
        <w:rPr>
          <w:rFonts w:ascii="Times New Roman" w:hAnsi="Times New Roman"/>
          <w:i/>
          <w:iCs/>
          <w:sz w:val="24"/>
          <w:szCs w:val="24"/>
        </w:rPr>
      </w:pPr>
    </w:p>
    <w:p w14:paraId="53238D5F" w14:textId="3983133C" w:rsidR="00061DC6" w:rsidRPr="00442332" w:rsidRDefault="00061DC6" w:rsidP="00930600">
      <w:pPr>
        <w:pStyle w:val="ListParagraph"/>
        <w:numPr>
          <w:ilvl w:val="0"/>
          <w:numId w:val="6"/>
        </w:numPr>
        <w:spacing w:after="0" w:line="240" w:lineRule="auto"/>
        <w:jc w:val="both"/>
        <w:rPr>
          <w:rFonts w:ascii="Times New Roman" w:eastAsia="Times New Roman" w:hAnsi="Times New Roman"/>
          <w:color w:val="000000"/>
          <w:sz w:val="24"/>
          <w:szCs w:val="24"/>
        </w:rPr>
      </w:pPr>
      <w:r w:rsidRPr="00061DC6">
        <w:rPr>
          <w:rFonts w:ascii="Times New Roman" w:hAnsi="Times New Roman"/>
          <w:sz w:val="24"/>
          <w:szCs w:val="24"/>
        </w:rPr>
        <w:t xml:space="preserve">Grozīt nolikuma 5. pielikuma </w:t>
      </w:r>
      <w:r w:rsidR="00442332">
        <w:rPr>
          <w:rFonts w:ascii="Times New Roman" w:hAnsi="Times New Roman"/>
          <w:sz w:val="24"/>
          <w:szCs w:val="24"/>
        </w:rPr>
        <w:t>“</w:t>
      </w:r>
      <w:r w:rsidRPr="00061DC6">
        <w:rPr>
          <w:rFonts w:ascii="Times New Roman" w:eastAsia="Times New Roman" w:hAnsi="Times New Roman"/>
          <w:b/>
          <w:color w:val="000000"/>
          <w:sz w:val="24"/>
          <w:szCs w:val="24"/>
        </w:rPr>
        <w:t>Līgums (projekts)</w:t>
      </w:r>
      <w:r w:rsidR="00442332" w:rsidRPr="00442332">
        <w:rPr>
          <w:rFonts w:ascii="Times New Roman" w:eastAsia="Times New Roman" w:hAnsi="Times New Roman"/>
          <w:bCs/>
          <w:color w:val="000000"/>
          <w:sz w:val="24"/>
          <w:szCs w:val="24"/>
        </w:rPr>
        <w:t xml:space="preserve">” </w:t>
      </w:r>
      <w:r w:rsidRPr="00061DC6">
        <w:rPr>
          <w:rFonts w:ascii="Times New Roman" w:eastAsia="Times New Roman" w:hAnsi="Times New Roman"/>
          <w:bCs/>
          <w:color w:val="000000"/>
          <w:sz w:val="24"/>
          <w:szCs w:val="24"/>
        </w:rPr>
        <w:t>3.3.2.1.punktu un izteikt to šādā redakcijā:</w:t>
      </w:r>
    </w:p>
    <w:p w14:paraId="646DBC2F" w14:textId="77777777" w:rsidR="00442332" w:rsidRPr="00061DC6" w:rsidRDefault="00442332" w:rsidP="00442332">
      <w:pPr>
        <w:pStyle w:val="ListParagraph"/>
        <w:spacing w:after="0" w:line="240" w:lineRule="auto"/>
        <w:rPr>
          <w:rFonts w:ascii="Times New Roman" w:eastAsia="Times New Roman" w:hAnsi="Times New Roman"/>
          <w:color w:val="000000"/>
          <w:sz w:val="24"/>
          <w:szCs w:val="24"/>
        </w:rPr>
      </w:pPr>
    </w:p>
    <w:p w14:paraId="4C911A73" w14:textId="51499A5B" w:rsidR="00061DC6" w:rsidRDefault="00061DC6" w:rsidP="00061DC6">
      <w:pPr>
        <w:suppressAutoHyphens/>
        <w:spacing w:after="0" w:line="240" w:lineRule="auto"/>
        <w:jc w:val="both"/>
        <w:rPr>
          <w:rFonts w:ascii="Times New Roman" w:hAnsi="Times New Roman"/>
          <w:i/>
          <w:iCs/>
          <w:sz w:val="24"/>
          <w:szCs w:val="24"/>
        </w:rPr>
      </w:pPr>
      <w:r w:rsidRPr="00061DC6">
        <w:rPr>
          <w:rFonts w:ascii="Times New Roman" w:eastAsia="Times New Roman" w:hAnsi="Times New Roman"/>
          <w:i/>
          <w:iCs/>
          <w:sz w:val="24"/>
          <w:szCs w:val="24"/>
          <w:lang w:eastAsia="ar-SA"/>
        </w:rPr>
        <w:t xml:space="preserve">“ 3.3.2.1. 30 (trīsdesmit) dienu laikā pēc Preces piegādes un pieņemšanas Līgumā noteiktajā kārtībā un rēķina saņemšanas, pārskaitot attiecīgo summu uz Izpildītāja rēķinā norādīto bankas kontu ar nosacījumu, ka Izpildītājs iesniedz Pasūtītajam </w:t>
      </w:r>
      <w:r w:rsidRPr="00061DC6">
        <w:rPr>
          <w:rFonts w:ascii="Times New Roman" w:hAnsi="Times New Roman"/>
          <w:i/>
          <w:iCs/>
          <w:sz w:val="24"/>
          <w:szCs w:val="24"/>
        </w:rPr>
        <w:t xml:space="preserve">bankas garantiju vai apdrošināšanas sabiedrības polisi 5 (piecu) % apmērā no izmaksājamās summas. Bankas garantijā vai apdrošināšanas sabiedrības polisē ir jābūt iekļautam nosacījumam par naudas summas (ne lielākas kā 5 (pieci) % apmērā no Līguma summas) izmaksāšanu Pasūtītājam gadījumā, ja Izpildītājs Līgumā paredzētajā kārtībā nav veicis </w:t>
      </w:r>
      <w:r w:rsidRPr="00061DC6">
        <w:rPr>
          <w:rFonts w:ascii="Times New Roman" w:hAnsi="Times New Roman"/>
          <w:i/>
          <w:iCs/>
          <w:sz w:val="24"/>
          <w:szCs w:val="24"/>
          <w:lang w:eastAsia="lv-LV"/>
        </w:rPr>
        <w:t xml:space="preserve">automātisko pārmiju vadības sistēmas  pieslēgšanas, regulēšanas un darbības palaišanas objektā un nav nodrošinājis apmācības Pasūtītāja personālam. </w:t>
      </w:r>
      <w:r w:rsidRPr="00061DC6">
        <w:rPr>
          <w:rFonts w:ascii="Times New Roman" w:hAnsi="Times New Roman"/>
          <w:i/>
          <w:iCs/>
          <w:sz w:val="24"/>
          <w:szCs w:val="24"/>
        </w:rPr>
        <w:t>Bankas garantijā vai apdrošināšanas sabiedrības polisē nedrīkst būt iekļauti Pasūtītāja tiesības saņemt minēto naudas summu ierobežojoši nosacījumi. Garantija vai polise attiecībā uz iepirkuma 1.vai 2.daļu  jāiesniedz laika posmam līdz 2023.gada maijam, attiecībā uz iepirkuma 3.daļu – jāiesniedz laika posmam līdz 2023.gada aprīlim,. Vai arī,”</w:t>
      </w:r>
    </w:p>
    <w:p w14:paraId="0FB36C94" w14:textId="77777777" w:rsidR="00061DC6" w:rsidRPr="00061DC6" w:rsidRDefault="00061DC6" w:rsidP="00061DC6">
      <w:pPr>
        <w:suppressAutoHyphens/>
        <w:spacing w:after="0" w:line="240" w:lineRule="auto"/>
        <w:jc w:val="both"/>
        <w:rPr>
          <w:rFonts w:ascii="Times New Roman" w:hAnsi="Times New Roman"/>
          <w:i/>
          <w:iCs/>
          <w:sz w:val="24"/>
          <w:szCs w:val="24"/>
        </w:rPr>
      </w:pPr>
    </w:p>
    <w:p w14:paraId="3C741687" w14:textId="7542B2C4" w:rsidR="00061DC6" w:rsidRPr="00061DC6" w:rsidRDefault="00400BDC" w:rsidP="00442332">
      <w:pPr>
        <w:pStyle w:val="ListParagraph"/>
        <w:numPr>
          <w:ilvl w:val="0"/>
          <w:numId w:val="6"/>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Izslēgt Tehniskās specifikācijas pielikumus</w:t>
      </w:r>
      <w:r w:rsidR="00B1183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Nr. 3.5. – 3.13. un papildināt Tehniskās specifikācijas pielikumus ar </w:t>
      </w:r>
      <w:r w:rsidR="00930600">
        <w:rPr>
          <w:rFonts w:ascii="Times New Roman" w:eastAsia="Times New Roman" w:hAnsi="Times New Roman"/>
          <w:color w:val="000000"/>
          <w:sz w:val="24"/>
          <w:szCs w:val="24"/>
        </w:rPr>
        <w:t>plāniem un shēmām Nr.</w:t>
      </w:r>
      <w:r>
        <w:rPr>
          <w:rFonts w:ascii="Times New Roman" w:eastAsia="Times New Roman" w:hAnsi="Times New Roman"/>
          <w:color w:val="000000"/>
          <w:sz w:val="24"/>
          <w:szCs w:val="24"/>
        </w:rPr>
        <w:t xml:space="preserve"> TS-CD-2; TS-CD-3; TS-CD-5; TS-CD-8.</w:t>
      </w:r>
    </w:p>
    <w:p w14:paraId="08A9AAB8" w14:textId="62759009" w:rsidR="00061DC6" w:rsidRPr="00061DC6" w:rsidRDefault="00061DC6" w:rsidP="00061DC6">
      <w:pPr>
        <w:pStyle w:val="ListParagraph"/>
        <w:spacing w:after="0" w:line="360" w:lineRule="auto"/>
        <w:jc w:val="both"/>
        <w:rPr>
          <w:rFonts w:ascii="Times New Roman" w:hAnsi="Times New Roman"/>
          <w:sz w:val="24"/>
          <w:szCs w:val="24"/>
        </w:rPr>
      </w:pPr>
    </w:p>
    <w:p w14:paraId="1F05A07D" w14:textId="2253ECA1" w:rsidR="00712FA2" w:rsidRPr="00C463C9" w:rsidRDefault="00712FA2" w:rsidP="00720FE9">
      <w:pPr>
        <w:spacing w:after="0" w:line="360" w:lineRule="auto"/>
        <w:jc w:val="both"/>
        <w:rPr>
          <w:rFonts w:ascii="Times New Roman" w:hAnsi="Times New Roman"/>
          <w:iCs/>
          <w:sz w:val="24"/>
          <w:szCs w:val="24"/>
        </w:rPr>
      </w:pPr>
      <w:r w:rsidRPr="002E262C">
        <w:rPr>
          <w:rFonts w:ascii="Times New Roman" w:hAnsi="Times New Roman"/>
          <w:sz w:val="24"/>
          <w:szCs w:val="24"/>
        </w:rPr>
        <w:t>Ie</w:t>
      </w:r>
      <w:r w:rsidR="00A16F67" w:rsidRPr="002E262C">
        <w:rPr>
          <w:rFonts w:ascii="Times New Roman" w:hAnsi="Times New Roman"/>
          <w:sz w:val="24"/>
          <w:szCs w:val="24"/>
        </w:rPr>
        <w:t>pirkum</w:t>
      </w:r>
      <w:r w:rsidR="001D4A44" w:rsidRPr="002E262C">
        <w:rPr>
          <w:rFonts w:ascii="Times New Roman" w:hAnsi="Times New Roman"/>
          <w:sz w:val="24"/>
          <w:szCs w:val="24"/>
        </w:rPr>
        <w:t>u</w:t>
      </w:r>
      <w:r w:rsidR="00A16F67" w:rsidRPr="002E262C">
        <w:rPr>
          <w:rFonts w:ascii="Times New Roman" w:hAnsi="Times New Roman"/>
          <w:sz w:val="24"/>
          <w:szCs w:val="24"/>
        </w:rPr>
        <w:t xml:space="preserve"> komisijas priekšsēdētāja</w:t>
      </w:r>
      <w:r w:rsidR="001D4A44" w:rsidRPr="002E262C">
        <w:rPr>
          <w:rFonts w:ascii="Times New Roman" w:hAnsi="Times New Roman"/>
          <w:i/>
          <w:sz w:val="24"/>
          <w:szCs w:val="24"/>
        </w:rPr>
        <w:t xml:space="preserve">  </w:t>
      </w:r>
      <w:r w:rsidR="00C463C9">
        <w:rPr>
          <w:rFonts w:ascii="Times New Roman" w:hAnsi="Times New Roman"/>
          <w:iCs/>
          <w:sz w:val="24"/>
          <w:szCs w:val="24"/>
        </w:rPr>
        <w:t xml:space="preserve"> </w:t>
      </w:r>
      <w:r w:rsidR="001D4A44" w:rsidRPr="002E262C">
        <w:rPr>
          <w:rFonts w:ascii="Times New Roman" w:hAnsi="Times New Roman"/>
          <w:i/>
          <w:sz w:val="24"/>
          <w:szCs w:val="24"/>
        </w:rPr>
        <w:t xml:space="preserve">                                                                     </w:t>
      </w:r>
      <w:r w:rsidR="00A2042C">
        <w:rPr>
          <w:rFonts w:ascii="Times New Roman" w:hAnsi="Times New Roman"/>
          <w:iCs/>
          <w:sz w:val="24"/>
          <w:szCs w:val="24"/>
        </w:rPr>
        <w:t>K. Meiberga</w:t>
      </w:r>
    </w:p>
    <w:sectPr w:rsidR="00712FA2" w:rsidRPr="00C463C9" w:rsidSect="00061DC6">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567"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2257" w14:textId="77777777" w:rsidR="008D2EC7" w:rsidRDefault="008D2EC7">
      <w:pPr>
        <w:spacing w:after="0" w:line="240" w:lineRule="auto"/>
      </w:pPr>
      <w:r>
        <w:separator/>
      </w:r>
    </w:p>
  </w:endnote>
  <w:endnote w:type="continuationSeparator" w:id="0">
    <w:p w14:paraId="7B511110" w14:textId="77777777" w:rsidR="008D2EC7" w:rsidRDefault="008D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C3D7" w14:textId="77777777" w:rsidR="000A5EB6" w:rsidRDefault="000A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754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E799" w14:textId="77777777" w:rsidR="000A5EB6" w:rsidRDefault="000A5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6D168" w14:textId="77777777" w:rsidR="008D2EC7" w:rsidRDefault="008D2EC7">
      <w:pPr>
        <w:spacing w:after="0" w:line="240" w:lineRule="auto"/>
      </w:pPr>
      <w:r>
        <w:separator/>
      </w:r>
    </w:p>
  </w:footnote>
  <w:footnote w:type="continuationSeparator" w:id="0">
    <w:p w14:paraId="738E261F" w14:textId="77777777" w:rsidR="008D2EC7" w:rsidRDefault="008D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5064" w14:textId="77777777" w:rsidR="000A5EB6" w:rsidRDefault="000A5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8AA" w14:textId="48FDA0C0" w:rsidR="00D97928" w:rsidRDefault="000A5EB6" w:rsidP="00D97928">
    <w:pPr>
      <w:pStyle w:val="Header"/>
    </w:pPr>
    <w:r>
      <w:rPr>
        <w:noProof/>
      </w:rPr>
      <w:drawing>
        <wp:inline distT="0" distB="0" distL="0" distR="0" wp14:anchorId="450CB27A" wp14:editId="1327CC2A">
          <wp:extent cx="5529580" cy="15875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754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1"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1BC57C68"/>
    <w:multiLevelType w:val="multilevel"/>
    <w:tmpl w:val="DAC2F8C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30C8C"/>
    <w:multiLevelType w:val="multilevel"/>
    <w:tmpl w:val="E38C0868"/>
    <w:lvl w:ilvl="0">
      <w:start w:val="1"/>
      <w:numFmt w:val="decimal"/>
      <w:lvlText w:val="%1."/>
      <w:lvlJc w:val="left"/>
      <w:pPr>
        <w:tabs>
          <w:tab w:val="num" w:pos="2629"/>
        </w:tabs>
        <w:ind w:left="2629"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25434530"/>
    <w:multiLevelType w:val="hybridMultilevel"/>
    <w:tmpl w:val="FC52814C"/>
    <w:lvl w:ilvl="0" w:tplc="C1E64A50">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5"/>
  </w:num>
  <w:num w:numId="3">
    <w:abstractNumId w:val="11"/>
  </w:num>
  <w:num w:numId="4">
    <w:abstractNumId w:val="8"/>
  </w:num>
  <w:num w:numId="5">
    <w:abstractNumId w:val="7"/>
  </w:num>
  <w:num w:numId="6">
    <w:abstractNumId w:val="6"/>
  </w:num>
  <w:num w:numId="7">
    <w:abstractNumId w:val="0"/>
  </w:num>
  <w:num w:numId="8">
    <w:abstractNumId w:val="4"/>
  </w:num>
  <w:num w:numId="9">
    <w:abstractNumId w:val="1"/>
  </w:num>
  <w:num w:numId="10">
    <w:abstractNumId w:val="9"/>
  </w:num>
  <w:num w:numId="11">
    <w:abstractNumId w:val="10"/>
  </w:num>
  <w:num w:numId="12">
    <w:abstractNumId w:val="3"/>
  </w:num>
  <w:num w:numId="13">
    <w:abstractNumId w:val="14"/>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61DC6"/>
    <w:rsid w:val="00072071"/>
    <w:rsid w:val="00080283"/>
    <w:rsid w:val="00090593"/>
    <w:rsid w:val="000A5EB6"/>
    <w:rsid w:val="000F14EB"/>
    <w:rsid w:val="000F251E"/>
    <w:rsid w:val="00102E52"/>
    <w:rsid w:val="001058C3"/>
    <w:rsid w:val="00107038"/>
    <w:rsid w:val="00107FA6"/>
    <w:rsid w:val="00113E30"/>
    <w:rsid w:val="001150A3"/>
    <w:rsid w:val="001226D1"/>
    <w:rsid w:val="0016431A"/>
    <w:rsid w:val="001773E0"/>
    <w:rsid w:val="00182D4E"/>
    <w:rsid w:val="001B73F3"/>
    <w:rsid w:val="001C3F35"/>
    <w:rsid w:val="001C512C"/>
    <w:rsid w:val="001C6FB2"/>
    <w:rsid w:val="001D4A44"/>
    <w:rsid w:val="002152C6"/>
    <w:rsid w:val="00226864"/>
    <w:rsid w:val="00247125"/>
    <w:rsid w:val="00252040"/>
    <w:rsid w:val="0027726B"/>
    <w:rsid w:val="002804A5"/>
    <w:rsid w:val="002C54EA"/>
    <w:rsid w:val="002E262C"/>
    <w:rsid w:val="002F1933"/>
    <w:rsid w:val="002F385D"/>
    <w:rsid w:val="002F60F0"/>
    <w:rsid w:val="002F6726"/>
    <w:rsid w:val="0031740D"/>
    <w:rsid w:val="00320A70"/>
    <w:rsid w:val="00331533"/>
    <w:rsid w:val="00334705"/>
    <w:rsid w:val="00373447"/>
    <w:rsid w:val="00373CED"/>
    <w:rsid w:val="003911D2"/>
    <w:rsid w:val="003C429F"/>
    <w:rsid w:val="003E7068"/>
    <w:rsid w:val="003F75B9"/>
    <w:rsid w:val="00400BDC"/>
    <w:rsid w:val="004078D3"/>
    <w:rsid w:val="004110BB"/>
    <w:rsid w:val="0041343F"/>
    <w:rsid w:val="00433F31"/>
    <w:rsid w:val="00442332"/>
    <w:rsid w:val="00462698"/>
    <w:rsid w:val="00472805"/>
    <w:rsid w:val="00486079"/>
    <w:rsid w:val="004A6CDF"/>
    <w:rsid w:val="004B454C"/>
    <w:rsid w:val="004B4A2F"/>
    <w:rsid w:val="004C2D3C"/>
    <w:rsid w:val="004C41C2"/>
    <w:rsid w:val="004F146B"/>
    <w:rsid w:val="00520849"/>
    <w:rsid w:val="00536851"/>
    <w:rsid w:val="005445A5"/>
    <w:rsid w:val="00566D9A"/>
    <w:rsid w:val="00572CCD"/>
    <w:rsid w:val="005D67AF"/>
    <w:rsid w:val="005E01EC"/>
    <w:rsid w:val="006034F2"/>
    <w:rsid w:val="006379F5"/>
    <w:rsid w:val="00681CFD"/>
    <w:rsid w:val="00692A4C"/>
    <w:rsid w:val="006A423A"/>
    <w:rsid w:val="006D2C03"/>
    <w:rsid w:val="006F170E"/>
    <w:rsid w:val="00712FA2"/>
    <w:rsid w:val="00714482"/>
    <w:rsid w:val="00720FE9"/>
    <w:rsid w:val="007375EB"/>
    <w:rsid w:val="007401A7"/>
    <w:rsid w:val="00751397"/>
    <w:rsid w:val="007543C0"/>
    <w:rsid w:val="007907B8"/>
    <w:rsid w:val="007A147C"/>
    <w:rsid w:val="007B1DB8"/>
    <w:rsid w:val="007B35CE"/>
    <w:rsid w:val="007B7794"/>
    <w:rsid w:val="007C7382"/>
    <w:rsid w:val="007D385E"/>
    <w:rsid w:val="007D7074"/>
    <w:rsid w:val="007F0C5A"/>
    <w:rsid w:val="007F7CA6"/>
    <w:rsid w:val="00832732"/>
    <w:rsid w:val="008377B4"/>
    <w:rsid w:val="00844EC3"/>
    <w:rsid w:val="00854890"/>
    <w:rsid w:val="00861B41"/>
    <w:rsid w:val="00883518"/>
    <w:rsid w:val="008A2B44"/>
    <w:rsid w:val="008C0A0D"/>
    <w:rsid w:val="008D2EC7"/>
    <w:rsid w:val="008F3ABD"/>
    <w:rsid w:val="00904C4A"/>
    <w:rsid w:val="00906089"/>
    <w:rsid w:val="00912074"/>
    <w:rsid w:val="00917F2E"/>
    <w:rsid w:val="00930600"/>
    <w:rsid w:val="00931C4F"/>
    <w:rsid w:val="00935998"/>
    <w:rsid w:val="0093670D"/>
    <w:rsid w:val="00952635"/>
    <w:rsid w:val="009567C1"/>
    <w:rsid w:val="009733E7"/>
    <w:rsid w:val="00974431"/>
    <w:rsid w:val="009C22CE"/>
    <w:rsid w:val="009D233D"/>
    <w:rsid w:val="009D4F47"/>
    <w:rsid w:val="009E0081"/>
    <w:rsid w:val="009E5161"/>
    <w:rsid w:val="009F0C71"/>
    <w:rsid w:val="00A048C2"/>
    <w:rsid w:val="00A16F67"/>
    <w:rsid w:val="00A2042C"/>
    <w:rsid w:val="00A2163E"/>
    <w:rsid w:val="00A2707C"/>
    <w:rsid w:val="00A623E4"/>
    <w:rsid w:val="00A63AB8"/>
    <w:rsid w:val="00A644A5"/>
    <w:rsid w:val="00AB3093"/>
    <w:rsid w:val="00AD38EC"/>
    <w:rsid w:val="00B07C4B"/>
    <w:rsid w:val="00B11835"/>
    <w:rsid w:val="00B25E7A"/>
    <w:rsid w:val="00B523FC"/>
    <w:rsid w:val="00B70DB3"/>
    <w:rsid w:val="00B86137"/>
    <w:rsid w:val="00B92BCA"/>
    <w:rsid w:val="00BB0E50"/>
    <w:rsid w:val="00BD432F"/>
    <w:rsid w:val="00C2772C"/>
    <w:rsid w:val="00C32214"/>
    <w:rsid w:val="00C463C9"/>
    <w:rsid w:val="00C5553C"/>
    <w:rsid w:val="00C84DAE"/>
    <w:rsid w:val="00CB695E"/>
    <w:rsid w:val="00CC0194"/>
    <w:rsid w:val="00CC7C5F"/>
    <w:rsid w:val="00CD3076"/>
    <w:rsid w:val="00CF03B6"/>
    <w:rsid w:val="00D172FE"/>
    <w:rsid w:val="00D210B6"/>
    <w:rsid w:val="00D21EB3"/>
    <w:rsid w:val="00D2275D"/>
    <w:rsid w:val="00D25DD0"/>
    <w:rsid w:val="00D4501A"/>
    <w:rsid w:val="00D636EA"/>
    <w:rsid w:val="00D83052"/>
    <w:rsid w:val="00DB211F"/>
    <w:rsid w:val="00DB3B3B"/>
    <w:rsid w:val="00DE4FED"/>
    <w:rsid w:val="00DF57A7"/>
    <w:rsid w:val="00DF5EE8"/>
    <w:rsid w:val="00E23FC5"/>
    <w:rsid w:val="00E3171F"/>
    <w:rsid w:val="00E32ABD"/>
    <w:rsid w:val="00E40281"/>
    <w:rsid w:val="00E475BD"/>
    <w:rsid w:val="00E50A8D"/>
    <w:rsid w:val="00E70E7B"/>
    <w:rsid w:val="00E74EAF"/>
    <w:rsid w:val="00E90FEC"/>
    <w:rsid w:val="00E93CF0"/>
    <w:rsid w:val="00EA3A03"/>
    <w:rsid w:val="00ED1456"/>
    <w:rsid w:val="00EF420C"/>
    <w:rsid w:val="00EF7A67"/>
    <w:rsid w:val="00F04A3C"/>
    <w:rsid w:val="00F30076"/>
    <w:rsid w:val="00F41F51"/>
    <w:rsid w:val="00F47BF5"/>
    <w:rsid w:val="00F5344C"/>
    <w:rsid w:val="00F65764"/>
    <w:rsid w:val="00F73820"/>
    <w:rsid w:val="00FB18E3"/>
    <w:rsid w:val="00FE69C9"/>
    <w:rsid w:val="00FE7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table" w:styleId="TableGrid">
    <w:name w:val="Table Grid"/>
    <w:basedOn w:val="TableNormal"/>
    <w:uiPriority w:val="39"/>
    <w:rsid w:val="0006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9D62-7C5B-4B21-9685-B70133189F94}">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6e8af54f-37a3-4179-b2ce-85d568299097"/>
    <ds:schemaRef ds:uri="http://schemas.microsoft.com/office/infopath/2007/PartnerControls"/>
    <ds:schemaRef ds:uri="407fae41-c47b-43cc-966a-01b838070d44"/>
    <ds:schemaRef ds:uri="http://schemas.microsoft.com/office/2006/metadata/properties"/>
  </ds:schemaRefs>
</ds:datastoreItem>
</file>

<file path=customXml/itemProps2.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3.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FFC83-744E-4D08-8A98-9E0809CA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2261</Words>
  <Characters>1290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8</cp:revision>
  <cp:lastPrinted>2021-06-17T09:30:00Z</cp:lastPrinted>
  <dcterms:created xsi:type="dcterms:W3CDTF">2022-05-26T06:57:00Z</dcterms:created>
  <dcterms:modified xsi:type="dcterms:W3CDTF">2022-05-27T07:16:00Z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