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6865413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EE5701">
        <w:rPr>
          <w:rFonts w:ascii="Times New Roman" w:eastAsia="Times New Roman" w:hAnsi="Times New Roman"/>
          <w:b/>
          <w:bCs/>
          <w:sz w:val="24"/>
          <w:szCs w:val="24"/>
        </w:rPr>
        <w:t>prese</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52B618E6"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A74513">
        <w:rPr>
          <w:rFonts w:ascii="Times New Roman" w:hAnsi="Times New Roman"/>
          <w:sz w:val="24"/>
          <w:szCs w:val="24"/>
        </w:rPr>
        <w:t>Prese hidrauliskā modelis 2135</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97E1372" w:rsidR="00A16106"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EE5701">
        <w:rPr>
          <w:rFonts w:ascii="Times New Roman" w:hAnsi="Times New Roman"/>
          <w:sz w:val="24"/>
          <w:szCs w:val="24"/>
        </w:rPr>
        <w:t>Prese hidrauliskā modelis 2135</w:t>
      </w:r>
      <w:r w:rsidR="00AD19A6" w:rsidRPr="008C04FA">
        <w:rPr>
          <w:rFonts w:ascii="Times New Roman" w:hAnsi="Times New Roman"/>
          <w:sz w:val="24"/>
          <w:szCs w:val="24"/>
        </w:rPr>
        <w:t xml:space="preserve">; </w:t>
      </w:r>
    </w:p>
    <w:p w14:paraId="605401E2" w14:textId="4361AC24" w:rsidR="00F546AD" w:rsidRDefault="006B026E"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Ražošanas gads – 199</w:t>
      </w:r>
      <w:r w:rsidR="00EE5701">
        <w:rPr>
          <w:rFonts w:ascii="Times New Roman" w:hAnsi="Times New Roman"/>
          <w:sz w:val="24"/>
          <w:szCs w:val="24"/>
        </w:rPr>
        <w:t>1</w:t>
      </w:r>
      <w:r w:rsidR="00FB655E">
        <w:rPr>
          <w:rFonts w:ascii="Times New Roman" w:hAnsi="Times New Roman"/>
          <w:caps/>
          <w:sz w:val="24"/>
          <w:szCs w:val="24"/>
        </w:rPr>
        <w:t>;</w:t>
      </w:r>
    </w:p>
    <w:p w14:paraId="36964132" w14:textId="267D87A0" w:rsidR="00F546AD" w:rsidRDefault="00EE5701"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Max spiediens – 40t;</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1"/>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DEBA80D"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EE5701">
        <w:rPr>
          <w:rFonts w:ascii="Times New Roman" w:hAnsi="Times New Roman"/>
          <w:b/>
          <w:sz w:val="24"/>
          <w:szCs w:val="24"/>
        </w:rPr>
        <w:t>430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EE5701">
        <w:rPr>
          <w:rFonts w:ascii="Times New Roman" w:hAnsi="Times New Roman"/>
          <w:sz w:val="24"/>
          <w:szCs w:val="24"/>
        </w:rPr>
        <w:t xml:space="preserve">četri simti trīsdesmit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20781DD5"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EE5701">
        <w:rPr>
          <w:rFonts w:ascii="Times New Roman" w:eastAsia="Times New Roman" w:hAnsi="Times New Roman"/>
          <w:b/>
          <w:sz w:val="24"/>
          <w:szCs w:val="24"/>
          <w:lang w:eastAsia="x-none"/>
        </w:rPr>
        <w:t>43</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EE5701">
        <w:rPr>
          <w:rFonts w:ascii="Times New Roman" w:eastAsia="Times New Roman" w:hAnsi="Times New Roman"/>
          <w:bCs/>
          <w:sz w:val="24"/>
          <w:szCs w:val="24"/>
          <w:lang w:eastAsia="x-none"/>
        </w:rPr>
        <w:t xml:space="preserve">četrdesmit trīs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EE5701">
        <w:rPr>
          <w:rFonts w:ascii="Times New Roman" w:hAnsi="Times New Roman"/>
          <w:b/>
          <w:bCs/>
          <w:sz w:val="24"/>
          <w:szCs w:val="24"/>
        </w:rPr>
        <w:t>Prese hidrauliskā modelis 2135</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6E2EA72A" w:rsidR="009F030D" w:rsidRPr="003425B1" w:rsidRDefault="009F030D" w:rsidP="003425B1">
      <w:pPr>
        <w:spacing w:line="240" w:lineRule="auto"/>
        <w:ind w:left="567" w:hanging="567"/>
        <w:jc w:val="both"/>
        <w:rPr>
          <w:sz w:val="24"/>
          <w:szCs w:val="24"/>
        </w:rPr>
      </w:pPr>
      <w:r w:rsidRPr="00B20157">
        <w:rPr>
          <w:rFonts w:ascii="Times New Roman" w:hAnsi="Times New Roman"/>
          <w:color w:val="000000"/>
          <w:sz w:val="24"/>
          <w:szCs w:val="24"/>
        </w:rPr>
        <w:lastRenderedPageBreak/>
        <w:t xml:space="preserve">1.9. Mantu var apskatīt </w:t>
      </w:r>
      <w:bookmarkStart w:id="4" w:name="_Hlk114467737"/>
      <w:r w:rsidR="00B20157" w:rsidRPr="00B20157">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22 010 222.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581D401E"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w:t>
      </w:r>
      <w:r w:rsidRPr="00B20157">
        <w:t xml:space="preserve">augšupejošu soli </w:t>
      </w:r>
      <w:r w:rsidR="00B52781" w:rsidRPr="00B20157">
        <w:rPr>
          <w:b/>
        </w:rPr>
        <w:t>25</w:t>
      </w:r>
      <w:r w:rsidRPr="00B20157">
        <w:rPr>
          <w:b/>
        </w:rPr>
        <w:t xml:space="preserve"> EUR </w:t>
      </w:r>
      <w:r w:rsidRPr="00B20157">
        <w:t>(</w:t>
      </w:r>
      <w:r w:rsidR="00B52781" w:rsidRPr="00B20157">
        <w:t xml:space="preserve">divdesmit pieci </w:t>
      </w:r>
      <w:r w:rsidRPr="00B20157">
        <w:rPr>
          <w:i/>
        </w:rPr>
        <w:t>euro</w:t>
      </w:r>
      <w:r w:rsidRPr="00B20157">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lastRenderedPageBreak/>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vai 24 (divdesmit četru) stundu laikā pēc izsoles noslēguma saņemts elektronisko izsoļu </w:t>
      </w:r>
      <w:r w:rsidRPr="00731141">
        <w:rPr>
          <w:rFonts w:ascii="Times New Roman" w:eastAsia="Times New Roman" w:hAnsi="Times New Roman"/>
          <w:sz w:val="24"/>
          <w:szCs w:val="24"/>
        </w:rPr>
        <w:lastRenderedPageBreak/>
        <w:t>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1FFAFDA1"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EE5701">
        <w:rPr>
          <w:rFonts w:ascii="Times New Roman" w:hAnsi="Times New Roman"/>
          <w:sz w:val="24"/>
          <w:szCs w:val="24"/>
        </w:rPr>
        <w:t>Prese hidrauliskā modelis 2135</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1C9B4BF0"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EE5701">
        <w:rPr>
          <w:rFonts w:ascii="Times New Roman" w:hAnsi="Times New Roman"/>
          <w:sz w:val="24"/>
          <w:szCs w:val="24"/>
          <w:lang w:eastAsia="lv-LV"/>
        </w:rPr>
        <w:t>Prese hidrauliskā modelis 2135</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41B7B5F1" w14:textId="77777777" w:rsidR="00017741" w:rsidRPr="008C04FA" w:rsidRDefault="00017741" w:rsidP="00017741">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Prese hidrauliskā modelis 2135</w:t>
      </w:r>
      <w:r w:rsidRPr="008C04FA">
        <w:rPr>
          <w:rFonts w:ascii="Times New Roman" w:hAnsi="Times New Roman"/>
          <w:sz w:val="24"/>
          <w:szCs w:val="24"/>
        </w:rPr>
        <w:t xml:space="preserve">; </w:t>
      </w:r>
    </w:p>
    <w:p w14:paraId="3FCBC0C8" w14:textId="77777777" w:rsidR="00017741" w:rsidRDefault="00017741" w:rsidP="00017741">
      <w:pPr>
        <w:spacing w:after="0" w:line="240" w:lineRule="auto"/>
        <w:ind w:left="1276"/>
        <w:jc w:val="both"/>
        <w:rPr>
          <w:rFonts w:ascii="Times New Roman" w:hAnsi="Times New Roman"/>
          <w:sz w:val="24"/>
          <w:szCs w:val="24"/>
        </w:rPr>
      </w:pPr>
      <w:r>
        <w:rPr>
          <w:rFonts w:ascii="Times New Roman" w:hAnsi="Times New Roman"/>
          <w:sz w:val="24"/>
          <w:szCs w:val="24"/>
        </w:rPr>
        <w:t>Ražošanas gads – 1991</w:t>
      </w:r>
      <w:r>
        <w:rPr>
          <w:rFonts w:ascii="Times New Roman" w:hAnsi="Times New Roman"/>
          <w:caps/>
          <w:sz w:val="24"/>
          <w:szCs w:val="24"/>
        </w:rPr>
        <w:t>;</w:t>
      </w:r>
    </w:p>
    <w:p w14:paraId="06AF9785" w14:textId="77777777" w:rsidR="00017741" w:rsidRDefault="00017741" w:rsidP="00017741">
      <w:pPr>
        <w:spacing w:after="0" w:line="240" w:lineRule="auto"/>
        <w:ind w:left="1276"/>
        <w:jc w:val="both"/>
        <w:rPr>
          <w:rFonts w:ascii="Times New Roman" w:hAnsi="Times New Roman"/>
          <w:sz w:val="24"/>
          <w:szCs w:val="24"/>
        </w:rPr>
      </w:pPr>
      <w:r>
        <w:rPr>
          <w:rFonts w:ascii="Times New Roman" w:hAnsi="Times New Roman"/>
          <w:sz w:val="24"/>
          <w:szCs w:val="24"/>
        </w:rPr>
        <w:t>Max spiediens – 40t;</w:t>
      </w:r>
    </w:p>
    <w:p w14:paraId="19547B25" w14:textId="77777777" w:rsidR="00017741" w:rsidRPr="003F1D18" w:rsidRDefault="00017741" w:rsidP="00017741">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13"/>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157"/>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2781"/>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5D70-47DF-48E2-AD1C-5538C725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10</Pages>
  <Words>17245</Words>
  <Characters>9830</Characters>
  <Application>Microsoft Office Word</Application>
  <DocSecurity>0</DocSecurity>
  <Lines>81</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56</cp:revision>
  <dcterms:created xsi:type="dcterms:W3CDTF">2022-02-23T10:58:00Z</dcterms:created>
  <dcterms:modified xsi:type="dcterms:W3CDTF">2022-09-19T07:22:00Z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