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0C6C9" w14:textId="77777777" w:rsidR="00A73CDA" w:rsidRPr="00731141" w:rsidRDefault="00A73CDA" w:rsidP="00A73CDA">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60C704C1" w14:textId="77777777" w:rsidR="00A73CDA" w:rsidRDefault="00A73CDA" w:rsidP="00A73CDA">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4E0E43FE" w14:textId="77777777" w:rsidR="00A73CDA" w:rsidRDefault="00A73CDA" w:rsidP="00A73CDA">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145345FC" w14:textId="77777777" w:rsidR="00A73CDA" w:rsidRDefault="00A73CDA" w:rsidP="00A73CDA">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14.jūlija</w:t>
      </w:r>
    </w:p>
    <w:p w14:paraId="59B09ECD" w14:textId="77777777" w:rsidR="00A73CDA" w:rsidRPr="00731141" w:rsidRDefault="00A73CDA" w:rsidP="00A73CDA">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18</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0E4677BF"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C12CAF">
        <w:rPr>
          <w:rFonts w:ascii="Times New Roman" w:hAnsi="Times New Roman"/>
          <w:caps/>
          <w:sz w:val="24"/>
          <w:szCs w:val="24"/>
        </w:rPr>
        <w:t>OPEL ASTRA</w:t>
      </w:r>
      <w:r w:rsidR="00AD19A6" w:rsidRPr="008C04FA">
        <w:rPr>
          <w:rFonts w:ascii="Times New Roman" w:hAnsi="Times New Roman"/>
          <w:sz w:val="24"/>
          <w:szCs w:val="24"/>
        </w:rPr>
        <w:t xml:space="preserve">; </w:t>
      </w:r>
    </w:p>
    <w:p w14:paraId="7D2220AF" w14:textId="7E1A269F"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C12CAF">
        <w:rPr>
          <w:rFonts w:ascii="Times New Roman" w:hAnsi="Times New Roman"/>
          <w:sz w:val="24"/>
          <w:szCs w:val="24"/>
        </w:rPr>
        <w:t>ES5771</w:t>
      </w:r>
      <w:r w:rsidRPr="008C04FA">
        <w:rPr>
          <w:rFonts w:ascii="Times New Roman" w:hAnsi="Times New Roman"/>
          <w:sz w:val="24"/>
          <w:szCs w:val="24"/>
        </w:rPr>
        <w:t xml:space="preserve">; </w:t>
      </w:r>
    </w:p>
    <w:p w14:paraId="214CD103" w14:textId="1CE73C45"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C12CAF" w:rsidRPr="00C12CAF">
        <w:rPr>
          <w:rFonts w:ascii="Times New Roman" w:hAnsi="Times New Roman"/>
          <w:caps/>
          <w:sz w:val="24"/>
          <w:szCs w:val="24"/>
        </w:rPr>
        <w:t>W0L0TGF4835023461</w:t>
      </w:r>
      <w:r w:rsidR="00FB655E">
        <w:rPr>
          <w:rFonts w:ascii="Times New Roman" w:hAnsi="Times New Roman"/>
          <w:caps/>
          <w:sz w:val="24"/>
          <w:szCs w:val="24"/>
        </w:rPr>
        <w:t>;</w:t>
      </w:r>
    </w:p>
    <w:p w14:paraId="10631A0F" w14:textId="3AD9910C"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C12CAF">
        <w:rPr>
          <w:rFonts w:ascii="Times New Roman" w:hAnsi="Times New Roman"/>
          <w:sz w:val="24"/>
          <w:szCs w:val="24"/>
        </w:rPr>
        <w:t>31.</w:t>
      </w:r>
      <w:r w:rsidR="00FB655E">
        <w:rPr>
          <w:rFonts w:ascii="Times New Roman" w:hAnsi="Times New Roman"/>
          <w:sz w:val="24"/>
          <w:szCs w:val="24"/>
        </w:rPr>
        <w:t>0</w:t>
      </w:r>
      <w:r w:rsidR="00C12CAF">
        <w:rPr>
          <w:rFonts w:ascii="Times New Roman" w:hAnsi="Times New Roman"/>
          <w:sz w:val="24"/>
          <w:szCs w:val="24"/>
        </w:rPr>
        <w:t>3</w:t>
      </w:r>
      <w:r w:rsidR="002A3D87" w:rsidRPr="008C04FA">
        <w:rPr>
          <w:rFonts w:ascii="Times New Roman" w:hAnsi="Times New Roman"/>
          <w:sz w:val="24"/>
          <w:szCs w:val="24"/>
        </w:rPr>
        <w:t>.20</w:t>
      </w:r>
      <w:r w:rsidR="00C12CAF">
        <w:rPr>
          <w:rFonts w:ascii="Times New Roman" w:hAnsi="Times New Roman"/>
          <w:sz w:val="24"/>
          <w:szCs w:val="24"/>
        </w:rPr>
        <w:t>03</w:t>
      </w:r>
      <w:r w:rsidRPr="008C04FA">
        <w:rPr>
          <w:rFonts w:ascii="Times New Roman" w:hAnsi="Times New Roman"/>
          <w:sz w:val="24"/>
          <w:szCs w:val="24"/>
        </w:rPr>
        <w:t xml:space="preserve">; </w:t>
      </w:r>
    </w:p>
    <w:p w14:paraId="07853934" w14:textId="78CADB69"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C12CAF">
        <w:rPr>
          <w:rFonts w:ascii="Times New Roman" w:hAnsi="Times New Roman"/>
          <w:sz w:val="24"/>
          <w:szCs w:val="24"/>
        </w:rPr>
        <w:t>AD0909558</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35D8049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FB655E">
        <w:rPr>
          <w:rFonts w:ascii="Times New Roman" w:hAnsi="Times New Roman"/>
          <w:sz w:val="24"/>
          <w:szCs w:val="24"/>
        </w:rPr>
        <w:t>1</w:t>
      </w:r>
      <w:r w:rsidR="00B26A12" w:rsidRPr="008C04FA">
        <w:rPr>
          <w:rFonts w:ascii="Times New Roman" w:hAnsi="Times New Roman"/>
          <w:sz w:val="24"/>
          <w:szCs w:val="24"/>
        </w:rPr>
        <w:t>.</w:t>
      </w:r>
      <w:r w:rsidR="00C12CAF">
        <w:rPr>
          <w:rFonts w:ascii="Times New Roman" w:hAnsi="Times New Roman"/>
          <w:sz w:val="24"/>
          <w:szCs w:val="24"/>
        </w:rPr>
        <w:t>7</w:t>
      </w:r>
      <w:r w:rsidR="002A3D87" w:rsidRPr="008C04FA">
        <w:rPr>
          <w:rFonts w:ascii="Times New Roman" w:hAnsi="Times New Roman"/>
          <w:sz w:val="24"/>
          <w:szCs w:val="24"/>
        </w:rPr>
        <w:t>l</w:t>
      </w:r>
      <w:r w:rsidRPr="008C04FA">
        <w:rPr>
          <w:rFonts w:ascii="Times New Roman" w:hAnsi="Times New Roman"/>
          <w:sz w:val="24"/>
          <w:szCs w:val="24"/>
        </w:rPr>
        <w:t xml:space="preserve">; </w:t>
      </w:r>
    </w:p>
    <w:p w14:paraId="5A9A3C80" w14:textId="4549DE5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B26A12" w:rsidRPr="008C04FA">
        <w:rPr>
          <w:rFonts w:ascii="Times New Roman" w:hAnsi="Times New Roman"/>
          <w:sz w:val="24"/>
          <w:szCs w:val="24"/>
        </w:rPr>
        <w:t xml:space="preserve">Vieglais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1ED14D28"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C12CAF">
        <w:rPr>
          <w:rFonts w:ascii="Times New Roman" w:hAnsi="Times New Roman"/>
          <w:sz w:val="24"/>
          <w:szCs w:val="24"/>
        </w:rPr>
        <w:t>Gaiši pelēka</w:t>
      </w:r>
      <w:r w:rsidRPr="008C04FA">
        <w:rPr>
          <w:rFonts w:ascii="Times New Roman" w:hAnsi="Times New Roman"/>
          <w:sz w:val="24"/>
          <w:szCs w:val="24"/>
        </w:rPr>
        <w:t xml:space="preserve">; </w:t>
      </w:r>
    </w:p>
    <w:p w14:paraId="302F71A7" w14:textId="1208BCF7"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C12CAF">
        <w:rPr>
          <w:rFonts w:ascii="Times New Roman" w:hAnsi="Times New Roman"/>
          <w:sz w:val="24"/>
          <w:szCs w:val="24"/>
          <w:lang w:eastAsia="lv-LV"/>
        </w:rPr>
        <w:t>269397</w:t>
      </w:r>
      <w:r w:rsidR="00B26A12" w:rsidRPr="008C04FA">
        <w:rPr>
          <w:rFonts w:ascii="Times New Roman" w:hAnsi="Times New Roman"/>
          <w:sz w:val="24"/>
          <w:szCs w:val="24"/>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5AC83332"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C12CAF">
        <w:rPr>
          <w:rFonts w:ascii="Times New Roman" w:hAnsi="Times New Roman"/>
          <w:sz w:val="24"/>
          <w:szCs w:val="24"/>
        </w:rPr>
        <w:t>1745 kg</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950846">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408617BA"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0E3225">
        <w:rPr>
          <w:rFonts w:ascii="Times New Roman" w:hAnsi="Times New Roman"/>
          <w:b/>
          <w:sz w:val="24"/>
          <w:szCs w:val="24"/>
        </w:rPr>
        <w:t>210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0E3225">
        <w:rPr>
          <w:rFonts w:ascii="Times New Roman" w:hAnsi="Times New Roman"/>
          <w:sz w:val="24"/>
          <w:szCs w:val="24"/>
        </w:rPr>
        <w:t xml:space="preserve">divi simti desmit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0ADBDF52"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0E3225">
        <w:rPr>
          <w:rFonts w:ascii="Times New Roman" w:eastAsia="Times New Roman" w:hAnsi="Times New Roman"/>
          <w:b/>
          <w:sz w:val="24"/>
          <w:szCs w:val="24"/>
          <w:lang w:eastAsia="x-none"/>
        </w:rPr>
        <w:t>21</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0E3225">
        <w:rPr>
          <w:rFonts w:ascii="Times New Roman" w:eastAsia="Times New Roman" w:hAnsi="Times New Roman"/>
          <w:bCs/>
          <w:sz w:val="24"/>
          <w:szCs w:val="24"/>
          <w:lang w:eastAsia="x-none"/>
        </w:rPr>
        <w:t xml:space="preserve">divdesmit viens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0E3225">
        <w:rPr>
          <w:rFonts w:ascii="Times New Roman" w:hAnsi="Times New Roman"/>
          <w:b/>
          <w:bCs/>
          <w:sz w:val="24"/>
          <w:szCs w:val="24"/>
          <w:lang w:eastAsia="lv-LV"/>
        </w:rPr>
        <w:t>OPEL ASTRA</w:t>
      </w:r>
      <w:r w:rsidR="00A564A3" w:rsidRPr="00AA05F0">
        <w:rPr>
          <w:rFonts w:ascii="Times New Roman" w:hAnsi="Times New Roman"/>
          <w:b/>
          <w:bCs/>
          <w:sz w:val="24"/>
          <w:szCs w:val="24"/>
          <w:lang w:eastAsia="lv-LV"/>
        </w:rPr>
        <w:t xml:space="preserve">, valsts reģistrācijas Nr. </w:t>
      </w:r>
      <w:r w:rsidR="000E3225">
        <w:rPr>
          <w:rFonts w:ascii="Times New Roman" w:hAnsi="Times New Roman"/>
          <w:b/>
          <w:bCs/>
          <w:sz w:val="24"/>
          <w:szCs w:val="24"/>
        </w:rPr>
        <w:t>ES5771</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3"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52ED85C5" w14:textId="77777777" w:rsidR="00A73CDA" w:rsidRPr="004558E4" w:rsidRDefault="00A73CDA" w:rsidP="00A73CDA">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4" w:name="_Hlk93403590"/>
      <w:r w:rsidRPr="00F4122E">
        <w:rPr>
          <w:rFonts w:ascii="Times New Roman" w:eastAsia="Times New Roman" w:hAnsi="Times New Roman"/>
          <w:sz w:val="24"/>
          <w:szCs w:val="24"/>
          <w:lang w:eastAsia="x-none"/>
        </w:rPr>
        <w:t xml:space="preserve"> </w:t>
      </w:r>
      <w:bookmarkEnd w:id="4"/>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20.jūlija 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30.jūlijam 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5"/>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B3F22AF" w14:textId="77777777" w:rsidR="00A73CDA" w:rsidRPr="0053370B" w:rsidRDefault="00A73CDA" w:rsidP="00A73CDA">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20.jūlija plkst.13:00 līdz  2022.gada 9.augustam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6"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3"/>
    <w:bookmarkEnd w:id="6"/>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47AF8387" w14:textId="77777777" w:rsidR="00A73CDA" w:rsidRPr="006366FE" w:rsidRDefault="00A73CDA" w:rsidP="00A73CDA">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1</w:t>
      </w:r>
      <w:r>
        <w:rPr>
          <w:rFonts w:ascii="Times New Roman" w:eastAsia="Times New Roman" w:hAnsi="Times New Roman"/>
          <w:sz w:val="24"/>
          <w:szCs w:val="24"/>
        </w:rPr>
        <w:t>4</w:t>
      </w:r>
      <w:r w:rsidRPr="0053370B">
        <w:rPr>
          <w:rFonts w:ascii="Times New Roman" w:eastAsia="Times New Roman" w:hAnsi="Times New Roman"/>
          <w:sz w:val="24"/>
          <w:szCs w:val="24"/>
        </w:rPr>
        <w:t>.jūlijā</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bookmarkStart w:id="7" w:name="_GoBack"/>
      <w:bookmarkEnd w:id="7"/>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8"/>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301303A3" w14:textId="77777777" w:rsidR="000E3225" w:rsidRPr="008C04FA" w:rsidRDefault="000E3225" w:rsidP="000E3225">
      <w:pPr>
        <w:spacing w:after="0" w:line="240" w:lineRule="auto"/>
        <w:ind w:left="1560"/>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hAnsi="Times New Roman"/>
          <w:caps/>
          <w:sz w:val="24"/>
          <w:szCs w:val="24"/>
        </w:rPr>
        <w:t>OPEL ASTRA</w:t>
      </w:r>
      <w:r w:rsidRPr="008C04FA">
        <w:rPr>
          <w:rFonts w:ascii="Times New Roman" w:hAnsi="Times New Roman"/>
          <w:sz w:val="24"/>
          <w:szCs w:val="24"/>
        </w:rPr>
        <w:t xml:space="preserve">; </w:t>
      </w:r>
    </w:p>
    <w:p w14:paraId="647F5C8E" w14:textId="77777777" w:rsidR="000E3225" w:rsidRPr="008C04FA" w:rsidRDefault="000E3225" w:rsidP="000E3225">
      <w:pPr>
        <w:spacing w:after="0" w:line="240" w:lineRule="auto"/>
        <w:ind w:left="1560"/>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ES5771</w:t>
      </w:r>
      <w:r w:rsidRPr="008C04FA">
        <w:rPr>
          <w:rFonts w:ascii="Times New Roman" w:hAnsi="Times New Roman"/>
          <w:sz w:val="24"/>
          <w:szCs w:val="24"/>
        </w:rPr>
        <w:t xml:space="preserve">; </w:t>
      </w:r>
    </w:p>
    <w:p w14:paraId="050E9359" w14:textId="77777777" w:rsidR="000E3225" w:rsidRPr="008C04FA" w:rsidRDefault="000E3225" w:rsidP="000E3225">
      <w:pPr>
        <w:spacing w:after="0" w:line="240" w:lineRule="auto"/>
        <w:ind w:left="1560"/>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C12CAF">
        <w:rPr>
          <w:rFonts w:ascii="Times New Roman" w:hAnsi="Times New Roman"/>
          <w:caps/>
          <w:sz w:val="24"/>
          <w:szCs w:val="24"/>
        </w:rPr>
        <w:t>W0L0TGF4835023461</w:t>
      </w:r>
      <w:r>
        <w:rPr>
          <w:rFonts w:ascii="Times New Roman" w:hAnsi="Times New Roman"/>
          <w:caps/>
          <w:sz w:val="24"/>
          <w:szCs w:val="24"/>
        </w:rPr>
        <w:t>;</w:t>
      </w:r>
    </w:p>
    <w:p w14:paraId="1B37760E" w14:textId="77777777" w:rsidR="000E3225" w:rsidRPr="008C04FA" w:rsidRDefault="000E3225" w:rsidP="000E3225">
      <w:pPr>
        <w:spacing w:after="0" w:line="240" w:lineRule="auto"/>
        <w:ind w:left="1560"/>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31.03</w:t>
      </w:r>
      <w:r w:rsidRPr="008C04FA">
        <w:rPr>
          <w:rFonts w:ascii="Times New Roman" w:hAnsi="Times New Roman"/>
          <w:sz w:val="24"/>
          <w:szCs w:val="24"/>
        </w:rPr>
        <w:t>.20</w:t>
      </w:r>
      <w:r>
        <w:rPr>
          <w:rFonts w:ascii="Times New Roman" w:hAnsi="Times New Roman"/>
          <w:sz w:val="24"/>
          <w:szCs w:val="24"/>
        </w:rPr>
        <w:t>03</w:t>
      </w:r>
      <w:r w:rsidRPr="008C04FA">
        <w:rPr>
          <w:rFonts w:ascii="Times New Roman" w:hAnsi="Times New Roman"/>
          <w:sz w:val="24"/>
          <w:szCs w:val="24"/>
        </w:rPr>
        <w:t xml:space="preserve">; </w:t>
      </w:r>
    </w:p>
    <w:p w14:paraId="39B8BDD2" w14:textId="77777777" w:rsidR="000E3225" w:rsidRPr="008C04FA" w:rsidRDefault="000E3225" w:rsidP="000E3225">
      <w:pPr>
        <w:spacing w:after="0" w:line="240" w:lineRule="auto"/>
        <w:ind w:left="1560"/>
        <w:jc w:val="both"/>
        <w:rPr>
          <w:rFonts w:ascii="Times New Roman" w:hAnsi="Times New Roman"/>
          <w:sz w:val="24"/>
          <w:szCs w:val="24"/>
        </w:rPr>
      </w:pPr>
      <w:r w:rsidRPr="008C04FA">
        <w:rPr>
          <w:rFonts w:ascii="Times New Roman" w:hAnsi="Times New Roman"/>
          <w:sz w:val="24"/>
          <w:szCs w:val="24"/>
        </w:rPr>
        <w:t xml:space="preserve">reģistrācijas apliecība – </w:t>
      </w:r>
      <w:r>
        <w:rPr>
          <w:rFonts w:ascii="Times New Roman" w:hAnsi="Times New Roman"/>
          <w:sz w:val="24"/>
          <w:szCs w:val="24"/>
        </w:rPr>
        <w:t>AD0909558</w:t>
      </w:r>
      <w:r w:rsidRPr="008C04FA">
        <w:rPr>
          <w:rFonts w:ascii="Times New Roman" w:hAnsi="Times New Roman"/>
          <w:sz w:val="24"/>
          <w:szCs w:val="24"/>
        </w:rPr>
        <w:t xml:space="preserve">; </w:t>
      </w:r>
    </w:p>
    <w:p w14:paraId="7F56E6BE" w14:textId="77777777" w:rsidR="000E3225" w:rsidRPr="008C04FA" w:rsidRDefault="000E3225" w:rsidP="000E3225">
      <w:pPr>
        <w:spacing w:after="0" w:line="240" w:lineRule="auto"/>
        <w:ind w:left="1560"/>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43DF15D6" w14:textId="77777777" w:rsidR="000E3225" w:rsidRPr="008C04FA" w:rsidRDefault="000E3225" w:rsidP="000E3225">
      <w:pPr>
        <w:spacing w:after="0" w:line="240" w:lineRule="auto"/>
        <w:ind w:left="1560"/>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1</w:t>
      </w:r>
      <w:r w:rsidRPr="008C04FA">
        <w:rPr>
          <w:rFonts w:ascii="Times New Roman" w:hAnsi="Times New Roman"/>
          <w:sz w:val="24"/>
          <w:szCs w:val="24"/>
        </w:rPr>
        <w:t>.</w:t>
      </w:r>
      <w:r>
        <w:rPr>
          <w:rFonts w:ascii="Times New Roman" w:hAnsi="Times New Roman"/>
          <w:sz w:val="24"/>
          <w:szCs w:val="24"/>
        </w:rPr>
        <w:t>7</w:t>
      </w:r>
      <w:r w:rsidRPr="008C04FA">
        <w:rPr>
          <w:rFonts w:ascii="Times New Roman" w:hAnsi="Times New Roman"/>
          <w:sz w:val="24"/>
          <w:szCs w:val="24"/>
        </w:rPr>
        <w:t xml:space="preserve">l; </w:t>
      </w:r>
    </w:p>
    <w:p w14:paraId="605594AC" w14:textId="77777777" w:rsidR="000E3225" w:rsidRPr="008C04FA" w:rsidRDefault="000E3225" w:rsidP="000E3225">
      <w:pPr>
        <w:spacing w:after="0" w:line="240" w:lineRule="auto"/>
        <w:ind w:left="1560"/>
        <w:jc w:val="both"/>
        <w:rPr>
          <w:rFonts w:ascii="Times New Roman" w:hAnsi="Times New Roman"/>
          <w:sz w:val="24"/>
          <w:szCs w:val="24"/>
        </w:rPr>
      </w:pPr>
      <w:r w:rsidRPr="008C04FA">
        <w:rPr>
          <w:rFonts w:ascii="Times New Roman" w:hAnsi="Times New Roman"/>
          <w:sz w:val="24"/>
          <w:szCs w:val="24"/>
        </w:rPr>
        <w:t xml:space="preserve">veids – Vieglais </w:t>
      </w:r>
      <w:r>
        <w:rPr>
          <w:rFonts w:ascii="Times New Roman" w:hAnsi="Times New Roman"/>
          <w:sz w:val="24"/>
          <w:szCs w:val="24"/>
        </w:rPr>
        <w:t>pasažieru</w:t>
      </w:r>
      <w:r w:rsidRPr="008C04FA">
        <w:rPr>
          <w:rFonts w:ascii="Times New Roman" w:hAnsi="Times New Roman"/>
          <w:sz w:val="24"/>
          <w:szCs w:val="24"/>
        </w:rPr>
        <w:t xml:space="preserve">; </w:t>
      </w:r>
    </w:p>
    <w:p w14:paraId="4E3573D5" w14:textId="77777777" w:rsidR="000E3225" w:rsidRPr="008C04FA" w:rsidRDefault="000E3225" w:rsidP="000E3225">
      <w:pPr>
        <w:spacing w:after="0" w:line="240" w:lineRule="auto"/>
        <w:ind w:left="1560"/>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Gaiši pelēka</w:t>
      </w:r>
      <w:r w:rsidRPr="008C04FA">
        <w:rPr>
          <w:rFonts w:ascii="Times New Roman" w:hAnsi="Times New Roman"/>
          <w:sz w:val="24"/>
          <w:szCs w:val="24"/>
        </w:rPr>
        <w:t xml:space="preserve">; </w:t>
      </w:r>
    </w:p>
    <w:p w14:paraId="73A99B0D" w14:textId="77777777" w:rsidR="000E3225" w:rsidRPr="008C04FA" w:rsidRDefault="000E3225" w:rsidP="000E3225">
      <w:pPr>
        <w:spacing w:after="0" w:line="240" w:lineRule="auto"/>
        <w:ind w:left="1560"/>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269397</w:t>
      </w:r>
      <w:r w:rsidRPr="008C04FA">
        <w:rPr>
          <w:rFonts w:ascii="Times New Roman" w:hAnsi="Times New Roman"/>
          <w:sz w:val="24"/>
          <w:szCs w:val="24"/>
        </w:rPr>
        <w:t xml:space="preserve"> km; </w:t>
      </w:r>
    </w:p>
    <w:p w14:paraId="4CAE3869" w14:textId="77777777" w:rsidR="000E3225" w:rsidRPr="008C04FA" w:rsidRDefault="000E3225" w:rsidP="000E3225">
      <w:pPr>
        <w:spacing w:after="0" w:line="240" w:lineRule="auto"/>
        <w:ind w:left="1560"/>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52B6E331" w14:textId="77777777" w:rsidR="000E3225" w:rsidRPr="008C04FA" w:rsidRDefault="000E3225" w:rsidP="000E3225">
      <w:pPr>
        <w:spacing w:after="0" w:line="240" w:lineRule="auto"/>
        <w:ind w:left="1560"/>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1745 kg</w:t>
      </w:r>
      <w:r w:rsidRPr="008C04FA">
        <w:rPr>
          <w:rFonts w:ascii="Times New Roman" w:hAnsi="Times New Roman"/>
          <w:sz w:val="24"/>
          <w:szCs w:val="24"/>
        </w:rPr>
        <w:t>.</w:t>
      </w:r>
    </w:p>
    <w:p w14:paraId="1854D816" w14:textId="77777777" w:rsidR="0008151D" w:rsidRPr="008C04FA" w:rsidRDefault="0008151D" w:rsidP="008C04FA">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9"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9"/>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225"/>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0846"/>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3CDA"/>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2CAF"/>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076EA-E157-45AB-B4AD-DE0F36EB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18772</Words>
  <Characters>10701</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20</cp:revision>
  <dcterms:created xsi:type="dcterms:W3CDTF">2022-02-23T10:58:00Z</dcterms:created>
  <dcterms:modified xsi:type="dcterms:W3CDTF">2022-07-19T12:34:00Z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