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6034" w14:textId="77777777" w:rsidR="004B6995" w:rsidRPr="00731141"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02497779" w14:textId="77777777"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5779027F" w14:textId="77777777" w:rsidR="004B6995" w:rsidRDefault="004B6995" w:rsidP="004B6995">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8619C0D" w14:textId="5A6F345E"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w:t>
      </w:r>
      <w:r w:rsidR="00ED63F1">
        <w:rPr>
          <w:rFonts w:ascii="Times New Roman" w:eastAsia="Times New Roman" w:hAnsi="Times New Roman"/>
          <w:sz w:val="24"/>
          <w:szCs w:val="24"/>
        </w:rPr>
        <w:t>28</w:t>
      </w:r>
      <w:r>
        <w:rPr>
          <w:rFonts w:ascii="Times New Roman" w:eastAsia="Times New Roman" w:hAnsi="Times New Roman"/>
          <w:sz w:val="24"/>
          <w:szCs w:val="24"/>
        </w:rPr>
        <w:t>.</w:t>
      </w:r>
      <w:r w:rsidR="00AA70D6">
        <w:rPr>
          <w:rFonts w:ascii="Times New Roman" w:eastAsia="Times New Roman" w:hAnsi="Times New Roman"/>
          <w:sz w:val="24"/>
          <w:szCs w:val="24"/>
        </w:rPr>
        <w:t>aprīļa</w:t>
      </w:r>
      <w:r>
        <w:rPr>
          <w:rFonts w:ascii="Times New Roman" w:eastAsia="Times New Roman" w:hAnsi="Times New Roman"/>
          <w:sz w:val="24"/>
          <w:szCs w:val="24"/>
        </w:rPr>
        <w:t xml:space="preserve"> </w:t>
      </w:r>
    </w:p>
    <w:p w14:paraId="33AC8E5E" w14:textId="02415457" w:rsidR="004B6995" w:rsidRPr="00731141" w:rsidRDefault="004B6995" w:rsidP="004B6995">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ED63F1">
        <w:rPr>
          <w:rFonts w:ascii="Times New Roman" w:eastAsia="Times New Roman" w:hAnsi="Times New Roman"/>
          <w:sz w:val="24"/>
          <w:szCs w:val="24"/>
        </w:rPr>
        <w:t>9</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4859999E" w14:textId="4924802F" w:rsidR="008B5321" w:rsidRPr="008B5321" w:rsidRDefault="004545BE" w:rsidP="008B5321">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641BFC23" w:rsidR="00A16106" w:rsidRPr="00454698"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454698">
        <w:rPr>
          <w:rFonts w:ascii="Times New Roman" w:hAnsi="Times New Roman"/>
          <w:sz w:val="24"/>
          <w:szCs w:val="24"/>
        </w:rPr>
        <w:t>A</w:t>
      </w:r>
      <w:r w:rsidR="00AD19A6" w:rsidRPr="00454698">
        <w:rPr>
          <w:rFonts w:ascii="Times New Roman" w:hAnsi="Times New Roman"/>
          <w:sz w:val="24"/>
          <w:szCs w:val="24"/>
        </w:rPr>
        <w:t>utomašīna</w:t>
      </w:r>
      <w:r w:rsidRPr="00454698">
        <w:rPr>
          <w:rFonts w:ascii="Times New Roman" w:hAnsi="Times New Roman"/>
          <w:sz w:val="24"/>
          <w:szCs w:val="24"/>
        </w:rPr>
        <w:t>s (marka)</w:t>
      </w:r>
      <w:r w:rsidR="00255AC9" w:rsidRPr="00454698">
        <w:rPr>
          <w:rFonts w:ascii="Times New Roman" w:hAnsi="Times New Roman"/>
          <w:sz w:val="24"/>
          <w:szCs w:val="24"/>
        </w:rPr>
        <w:t xml:space="preserve"> – </w:t>
      </w:r>
      <w:r w:rsidR="00AD19A6" w:rsidRPr="00454698">
        <w:rPr>
          <w:rFonts w:ascii="Times New Roman" w:hAnsi="Times New Roman"/>
          <w:sz w:val="24"/>
          <w:szCs w:val="24"/>
        </w:rPr>
        <w:t xml:space="preserve"> </w:t>
      </w:r>
      <w:r w:rsidR="00F450E7" w:rsidRPr="00454698">
        <w:rPr>
          <w:rFonts w:ascii="Times New Roman" w:hAnsi="Times New Roman"/>
          <w:sz w:val="24"/>
          <w:szCs w:val="24"/>
        </w:rPr>
        <w:t xml:space="preserve">A/m CITROEN </w:t>
      </w:r>
      <w:proofErr w:type="spellStart"/>
      <w:r w:rsidR="00F450E7" w:rsidRPr="00454698">
        <w:rPr>
          <w:rFonts w:ascii="Times New Roman" w:hAnsi="Times New Roman"/>
          <w:sz w:val="24"/>
          <w:szCs w:val="24"/>
        </w:rPr>
        <w:t>Jumper</w:t>
      </w:r>
      <w:proofErr w:type="spellEnd"/>
      <w:r w:rsidR="00AD19A6" w:rsidRPr="00454698">
        <w:rPr>
          <w:rFonts w:ascii="Times New Roman" w:hAnsi="Times New Roman"/>
          <w:sz w:val="24"/>
          <w:szCs w:val="24"/>
        </w:rPr>
        <w:t xml:space="preserve">; </w:t>
      </w:r>
    </w:p>
    <w:p w14:paraId="7D2220AF" w14:textId="1D2C9AE8" w:rsidR="008C02EB" w:rsidRPr="00454698"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reģistrācijas Nr.:  </w:t>
      </w:r>
      <w:r w:rsidR="00E006FE" w:rsidRPr="00454698">
        <w:rPr>
          <w:rFonts w:ascii="Times New Roman" w:hAnsi="Times New Roman"/>
          <w:sz w:val="24"/>
          <w:szCs w:val="24"/>
        </w:rPr>
        <w:t>FS 2238</w:t>
      </w:r>
      <w:r w:rsidRPr="00454698">
        <w:rPr>
          <w:rFonts w:ascii="Times New Roman" w:hAnsi="Times New Roman"/>
          <w:sz w:val="24"/>
          <w:szCs w:val="24"/>
        </w:rPr>
        <w:t xml:space="preserve">; </w:t>
      </w:r>
    </w:p>
    <w:p w14:paraId="4F4414ED" w14:textId="39623FB6" w:rsidR="00F450E7" w:rsidRPr="00454698" w:rsidRDefault="008C02EB" w:rsidP="009D720B">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šasijas Nr.:  </w:t>
      </w:r>
      <w:r w:rsidR="008B5321" w:rsidRPr="008B5321">
        <w:rPr>
          <w:rFonts w:ascii="Times New Roman" w:hAnsi="Times New Roman"/>
          <w:sz w:val="24"/>
          <w:szCs w:val="24"/>
        </w:rPr>
        <w:t>VF7ZCPMNC17726970</w:t>
      </w:r>
    </w:p>
    <w:p w14:paraId="10631A0F" w14:textId="073F4C36" w:rsidR="00A16106" w:rsidRPr="00454698" w:rsidRDefault="00AD19A6" w:rsidP="009D720B">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pirmais reģistrācijas datums</w:t>
      </w:r>
      <w:r w:rsidR="00255AC9" w:rsidRPr="00454698">
        <w:rPr>
          <w:rFonts w:ascii="Times New Roman" w:hAnsi="Times New Roman"/>
          <w:sz w:val="24"/>
          <w:szCs w:val="24"/>
        </w:rPr>
        <w:t xml:space="preserve"> –</w:t>
      </w:r>
      <w:r w:rsidR="00F450E7" w:rsidRPr="00454698">
        <w:rPr>
          <w:rFonts w:ascii="Times New Roman" w:hAnsi="Times New Roman"/>
          <w:sz w:val="24"/>
          <w:szCs w:val="24"/>
        </w:rPr>
        <w:t>2</w:t>
      </w:r>
      <w:r w:rsidR="008B5321" w:rsidRPr="00454698">
        <w:rPr>
          <w:rFonts w:ascii="Times New Roman" w:hAnsi="Times New Roman"/>
          <w:sz w:val="24"/>
          <w:szCs w:val="24"/>
        </w:rPr>
        <w:t>1</w:t>
      </w:r>
      <w:r w:rsidR="002A3D87" w:rsidRPr="00454698">
        <w:rPr>
          <w:rFonts w:ascii="Times New Roman" w:hAnsi="Times New Roman"/>
          <w:sz w:val="24"/>
          <w:szCs w:val="24"/>
        </w:rPr>
        <w:t>.</w:t>
      </w:r>
      <w:r w:rsidR="008B5321" w:rsidRPr="00454698">
        <w:rPr>
          <w:rFonts w:ascii="Times New Roman" w:hAnsi="Times New Roman"/>
          <w:sz w:val="24"/>
          <w:szCs w:val="24"/>
        </w:rPr>
        <w:t>12</w:t>
      </w:r>
      <w:r w:rsidR="002A3D87" w:rsidRPr="00454698">
        <w:rPr>
          <w:rFonts w:ascii="Times New Roman" w:hAnsi="Times New Roman"/>
          <w:sz w:val="24"/>
          <w:szCs w:val="24"/>
        </w:rPr>
        <w:t>.20</w:t>
      </w:r>
      <w:r w:rsidR="00AA70D6" w:rsidRPr="00454698">
        <w:rPr>
          <w:rFonts w:ascii="Times New Roman" w:hAnsi="Times New Roman"/>
          <w:sz w:val="24"/>
          <w:szCs w:val="24"/>
        </w:rPr>
        <w:t>0</w:t>
      </w:r>
      <w:r w:rsidR="00F450E7" w:rsidRPr="00454698">
        <w:rPr>
          <w:rFonts w:ascii="Times New Roman" w:hAnsi="Times New Roman"/>
          <w:sz w:val="24"/>
          <w:szCs w:val="24"/>
        </w:rPr>
        <w:t>5</w:t>
      </w:r>
      <w:r w:rsidRPr="00454698">
        <w:rPr>
          <w:rFonts w:ascii="Times New Roman" w:hAnsi="Times New Roman"/>
          <w:sz w:val="24"/>
          <w:szCs w:val="24"/>
        </w:rPr>
        <w:t xml:space="preserve">; </w:t>
      </w:r>
    </w:p>
    <w:p w14:paraId="07853934" w14:textId="5F8A58D1"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reģistrācijas apliecība – </w:t>
      </w:r>
      <w:r w:rsidR="008B5321" w:rsidRPr="008B5321">
        <w:rPr>
          <w:rFonts w:ascii="Times New Roman" w:hAnsi="Times New Roman"/>
          <w:noProof/>
          <w:sz w:val="24"/>
          <w:szCs w:val="24"/>
        </w:rPr>
        <w:t>AD0805573</w:t>
      </w:r>
      <w:r w:rsidRPr="00454698">
        <w:rPr>
          <w:rFonts w:ascii="Times New Roman" w:hAnsi="Times New Roman"/>
          <w:sz w:val="24"/>
          <w:szCs w:val="24"/>
        </w:rPr>
        <w:t xml:space="preserve">; </w:t>
      </w:r>
    </w:p>
    <w:p w14:paraId="5408F174" w14:textId="77777777" w:rsidR="00F450E7" w:rsidRPr="00454698" w:rsidRDefault="00AD19A6" w:rsidP="00F450E7">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degviela – </w:t>
      </w:r>
      <w:r w:rsidR="002A3D87" w:rsidRPr="00454698">
        <w:rPr>
          <w:rFonts w:ascii="Times New Roman" w:hAnsi="Times New Roman"/>
          <w:sz w:val="24"/>
          <w:szCs w:val="24"/>
        </w:rPr>
        <w:t>Dīzeļdegviela</w:t>
      </w:r>
      <w:r w:rsidRPr="00454698">
        <w:rPr>
          <w:rFonts w:ascii="Times New Roman" w:hAnsi="Times New Roman"/>
          <w:sz w:val="24"/>
          <w:szCs w:val="24"/>
        </w:rPr>
        <w:t xml:space="preserve">; </w:t>
      </w:r>
    </w:p>
    <w:p w14:paraId="54959F8D" w14:textId="021704A7" w:rsidR="00A16106" w:rsidRPr="00454698" w:rsidRDefault="00AD19A6" w:rsidP="00F450E7">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motora tilpums – </w:t>
      </w:r>
      <w:r w:rsidR="00F450E7" w:rsidRPr="00454698">
        <w:rPr>
          <w:rFonts w:ascii="Times New Roman" w:hAnsi="Times New Roman"/>
          <w:sz w:val="24"/>
          <w:szCs w:val="24"/>
        </w:rPr>
        <w:t xml:space="preserve">2800/93 </w:t>
      </w:r>
      <w:proofErr w:type="spellStart"/>
      <w:r w:rsidR="00F450E7" w:rsidRPr="00454698">
        <w:rPr>
          <w:rFonts w:ascii="Times New Roman" w:hAnsi="Times New Roman"/>
          <w:sz w:val="24"/>
          <w:szCs w:val="24"/>
        </w:rPr>
        <w:t>kw</w:t>
      </w:r>
      <w:proofErr w:type="spellEnd"/>
      <w:r w:rsidRPr="00454698">
        <w:rPr>
          <w:rFonts w:ascii="Times New Roman" w:hAnsi="Times New Roman"/>
          <w:sz w:val="24"/>
          <w:szCs w:val="24"/>
        </w:rPr>
        <w:t xml:space="preserve">; </w:t>
      </w:r>
    </w:p>
    <w:p w14:paraId="5A9A3C80" w14:textId="6157A3B1"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veids</w:t>
      </w:r>
      <w:r w:rsidR="00255AC9" w:rsidRPr="00454698">
        <w:rPr>
          <w:rFonts w:ascii="Times New Roman" w:hAnsi="Times New Roman"/>
          <w:sz w:val="24"/>
          <w:szCs w:val="24"/>
        </w:rPr>
        <w:t xml:space="preserve"> – </w:t>
      </w:r>
      <w:r w:rsidR="00AA70D6" w:rsidRPr="00454698">
        <w:rPr>
          <w:rFonts w:ascii="Times New Roman" w:hAnsi="Times New Roman"/>
          <w:noProof/>
          <w:sz w:val="24"/>
          <w:szCs w:val="24"/>
        </w:rPr>
        <w:t xml:space="preserve">Kravas </w:t>
      </w:r>
      <w:r w:rsidR="00F450E7" w:rsidRPr="00454698">
        <w:rPr>
          <w:rFonts w:ascii="Times New Roman" w:hAnsi="Times New Roman"/>
          <w:noProof/>
          <w:sz w:val="24"/>
          <w:szCs w:val="24"/>
        </w:rPr>
        <w:t>furgons</w:t>
      </w:r>
      <w:r w:rsidRPr="00454698">
        <w:rPr>
          <w:rFonts w:ascii="Times New Roman" w:hAnsi="Times New Roman"/>
          <w:sz w:val="24"/>
          <w:szCs w:val="24"/>
        </w:rPr>
        <w:t xml:space="preserve">; </w:t>
      </w:r>
    </w:p>
    <w:p w14:paraId="0A9703A2" w14:textId="7731B94F"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krāsa – </w:t>
      </w:r>
      <w:r w:rsidR="00AA70D6" w:rsidRPr="00454698">
        <w:rPr>
          <w:rFonts w:ascii="Times New Roman" w:hAnsi="Times New Roman"/>
          <w:noProof/>
          <w:sz w:val="24"/>
          <w:szCs w:val="24"/>
        </w:rPr>
        <w:t>sarkana</w:t>
      </w:r>
      <w:r w:rsidRPr="00454698">
        <w:rPr>
          <w:rFonts w:ascii="Times New Roman" w:hAnsi="Times New Roman"/>
          <w:sz w:val="24"/>
          <w:szCs w:val="24"/>
        </w:rPr>
        <w:t xml:space="preserve">; </w:t>
      </w:r>
    </w:p>
    <w:p w14:paraId="302F71A7" w14:textId="5AE28112"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nobraukums – </w:t>
      </w:r>
      <w:r w:rsidR="00B26A12" w:rsidRPr="00454698">
        <w:rPr>
          <w:rFonts w:ascii="Times New Roman" w:hAnsi="Times New Roman"/>
          <w:sz w:val="24"/>
          <w:szCs w:val="24"/>
          <w:lang w:eastAsia="lv-LV"/>
        </w:rPr>
        <w:t xml:space="preserve"> </w:t>
      </w:r>
      <w:r w:rsidR="008B5321" w:rsidRPr="008B5321">
        <w:rPr>
          <w:rFonts w:ascii="Times New Roman" w:hAnsi="Times New Roman"/>
          <w:sz w:val="24"/>
          <w:szCs w:val="24"/>
        </w:rPr>
        <w:t>267057</w:t>
      </w:r>
      <w:r w:rsidR="00B26A12" w:rsidRPr="00454698">
        <w:rPr>
          <w:rFonts w:ascii="Times New Roman" w:hAnsi="Times New Roman"/>
          <w:sz w:val="24"/>
          <w:szCs w:val="24"/>
        </w:rPr>
        <w:t xml:space="preserve"> </w:t>
      </w:r>
      <w:r w:rsidR="002A3D87" w:rsidRPr="00454698">
        <w:rPr>
          <w:rFonts w:ascii="Times New Roman" w:hAnsi="Times New Roman"/>
          <w:sz w:val="24"/>
          <w:szCs w:val="24"/>
        </w:rPr>
        <w:t>km</w:t>
      </w:r>
      <w:r w:rsidRPr="00454698">
        <w:rPr>
          <w:rFonts w:ascii="Times New Roman" w:hAnsi="Times New Roman"/>
          <w:sz w:val="24"/>
          <w:szCs w:val="24"/>
        </w:rPr>
        <w:t xml:space="preserve">; </w:t>
      </w:r>
    </w:p>
    <w:p w14:paraId="00AF4DC2" w14:textId="12EF82A5"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tehniskā apskate – </w:t>
      </w:r>
      <w:r w:rsidR="008B5321" w:rsidRPr="00454698">
        <w:rPr>
          <w:rFonts w:ascii="Times New Roman" w:hAnsi="Times New Roman"/>
          <w:sz w:val="24"/>
          <w:szCs w:val="24"/>
        </w:rPr>
        <w:t>10</w:t>
      </w:r>
      <w:r w:rsidR="00F450E7" w:rsidRPr="00454698">
        <w:rPr>
          <w:rFonts w:ascii="Times New Roman" w:hAnsi="Times New Roman"/>
          <w:sz w:val="24"/>
          <w:szCs w:val="24"/>
        </w:rPr>
        <w:t>.</w:t>
      </w:r>
      <w:r w:rsidR="008B5321" w:rsidRPr="00454698">
        <w:rPr>
          <w:rFonts w:ascii="Times New Roman" w:hAnsi="Times New Roman"/>
          <w:sz w:val="24"/>
          <w:szCs w:val="24"/>
        </w:rPr>
        <w:t>02</w:t>
      </w:r>
      <w:r w:rsidR="00F450E7" w:rsidRPr="00454698">
        <w:rPr>
          <w:rFonts w:ascii="Times New Roman" w:hAnsi="Times New Roman"/>
          <w:sz w:val="24"/>
          <w:szCs w:val="24"/>
        </w:rPr>
        <w:t>.202</w:t>
      </w:r>
      <w:r w:rsidR="008B5321" w:rsidRPr="00454698">
        <w:rPr>
          <w:rFonts w:ascii="Times New Roman" w:hAnsi="Times New Roman"/>
          <w:sz w:val="24"/>
          <w:szCs w:val="24"/>
        </w:rPr>
        <w:t>2</w:t>
      </w:r>
      <w:r w:rsidRPr="00454698">
        <w:rPr>
          <w:rFonts w:ascii="Times New Roman" w:hAnsi="Times New Roman"/>
          <w:sz w:val="24"/>
          <w:szCs w:val="24"/>
        </w:rPr>
        <w:t>;</w:t>
      </w:r>
    </w:p>
    <w:p w14:paraId="635B5F36" w14:textId="6B00C8E4" w:rsidR="008B5321" w:rsidRPr="00454698" w:rsidRDefault="00AD19A6" w:rsidP="008B5321">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pilna masa – </w:t>
      </w:r>
      <w:bookmarkEnd w:id="0"/>
      <w:r w:rsidR="00F450E7" w:rsidRPr="00454698">
        <w:rPr>
          <w:rFonts w:ascii="Times New Roman" w:hAnsi="Times New Roman"/>
          <w:sz w:val="24"/>
          <w:szCs w:val="24"/>
        </w:rPr>
        <w:t>3500</w:t>
      </w:r>
      <w:r w:rsidR="008B5321" w:rsidRPr="00454698">
        <w:rPr>
          <w:rFonts w:ascii="Times New Roman" w:hAnsi="Times New Roman"/>
          <w:sz w:val="24"/>
          <w:szCs w:val="24"/>
        </w:rPr>
        <w:t>;</w:t>
      </w:r>
    </w:p>
    <w:p w14:paraId="484735B4" w14:textId="2632530B" w:rsidR="008B5321" w:rsidRPr="00454698" w:rsidRDefault="008B5321" w:rsidP="008B5321">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Piezīme:</w:t>
      </w:r>
      <w:r w:rsidRPr="00454698">
        <w:rPr>
          <w:rFonts w:ascii="Times New Roman" w:hAnsi="Times New Roman"/>
          <w:noProof/>
          <w:sz w:val="28"/>
          <w:szCs w:val="28"/>
        </w:rPr>
        <w:t xml:space="preserve"> </w:t>
      </w:r>
      <w:r w:rsidRPr="00454698">
        <w:rPr>
          <w:rFonts w:ascii="Times New Roman" w:hAnsi="Times New Roman"/>
          <w:noProof/>
          <w:sz w:val="24"/>
          <w:szCs w:val="24"/>
        </w:rPr>
        <w:t>pēdējā tehniskajā apskatē ir 20 atzīmes ar novērtējumu 2,kas neļauj iegūt tehnisko apskati.</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4051F7D6"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E006FE">
        <w:rPr>
          <w:rFonts w:ascii="Times New Roman" w:hAnsi="Times New Roman"/>
          <w:b/>
          <w:bCs/>
          <w:sz w:val="24"/>
          <w:szCs w:val="24"/>
        </w:rPr>
        <w:t>4</w:t>
      </w:r>
      <w:r w:rsidR="00B35A24" w:rsidRPr="00B35A24">
        <w:rPr>
          <w:rFonts w:ascii="Times New Roman" w:hAnsi="Times New Roman"/>
          <w:b/>
          <w:bCs/>
          <w:sz w:val="24"/>
          <w:szCs w:val="24"/>
        </w:rPr>
        <w:t>00</w:t>
      </w:r>
      <w:r w:rsidR="0099337A" w:rsidRPr="00B35A24">
        <w:rPr>
          <w:rFonts w:ascii="Times New Roman" w:hAnsi="Times New Roman"/>
          <w:b/>
          <w:bCs/>
          <w:sz w:val="24"/>
          <w:szCs w:val="24"/>
        </w:rPr>
        <w:t xml:space="preserve"> </w:t>
      </w:r>
      <w:r w:rsidR="00B943EA" w:rsidRPr="00B35A24">
        <w:rPr>
          <w:rFonts w:ascii="Times New Roman" w:hAnsi="Times New Roman"/>
          <w:b/>
          <w:bCs/>
          <w:sz w:val="24"/>
          <w:szCs w:val="24"/>
        </w:rPr>
        <w:t>E</w:t>
      </w:r>
      <w:r w:rsidR="00B943EA" w:rsidRPr="00AA05F0">
        <w:rPr>
          <w:rFonts w:ascii="Times New Roman" w:hAnsi="Times New Roman"/>
          <w:b/>
          <w:sz w:val="24"/>
          <w:szCs w:val="24"/>
        </w:rPr>
        <w:t>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E006FE">
        <w:rPr>
          <w:rFonts w:ascii="Times New Roman" w:hAnsi="Times New Roman"/>
          <w:sz w:val="24"/>
          <w:szCs w:val="24"/>
        </w:rPr>
        <w:t>četri</w:t>
      </w:r>
      <w:r w:rsidR="00B26A12" w:rsidRPr="00AA05F0">
        <w:rPr>
          <w:rFonts w:ascii="Times New Roman" w:hAnsi="Times New Roman"/>
          <w:sz w:val="24"/>
          <w:szCs w:val="24"/>
        </w:rPr>
        <w:t xml:space="preserve"> simti </w:t>
      </w:r>
      <w:r w:rsidR="00AB61FE" w:rsidRPr="00AA05F0">
        <w:rPr>
          <w:rFonts w:ascii="Times New Roman" w:hAnsi="Times New Roman"/>
          <w:sz w:val="24"/>
          <w:szCs w:val="24"/>
        </w:rPr>
        <w:t xml:space="preserve"> </w:t>
      </w:r>
      <w:proofErr w:type="spellStart"/>
      <w:r w:rsidR="00AF6D10" w:rsidRPr="00AA05F0">
        <w:rPr>
          <w:rFonts w:ascii="Times New Roman" w:hAnsi="Times New Roman"/>
          <w:i/>
          <w:sz w:val="24"/>
          <w:szCs w:val="24"/>
        </w:rPr>
        <w:t>euro</w:t>
      </w:r>
      <w:proofErr w:type="spellEnd"/>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421795AC"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E006FE">
        <w:rPr>
          <w:rFonts w:ascii="Times New Roman" w:eastAsia="Times New Roman" w:hAnsi="Times New Roman"/>
          <w:b/>
          <w:bCs/>
          <w:sz w:val="24"/>
          <w:szCs w:val="24"/>
          <w:lang w:eastAsia="x-none"/>
        </w:rPr>
        <w:t>40</w:t>
      </w:r>
      <w:r w:rsidR="0064722F" w:rsidRPr="00B35A24">
        <w:rPr>
          <w:rFonts w:ascii="Times New Roman" w:eastAsia="Times New Roman" w:hAnsi="Times New Roman"/>
          <w:b/>
          <w:bCs/>
          <w:sz w:val="24"/>
          <w:szCs w:val="24"/>
          <w:lang w:eastAsia="x-none"/>
        </w:rPr>
        <w:t xml:space="preserve"> </w:t>
      </w:r>
      <w:r w:rsidR="00B943EA" w:rsidRPr="00B35A24">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E006FE">
        <w:rPr>
          <w:rFonts w:ascii="Times New Roman" w:eastAsia="Times New Roman" w:hAnsi="Times New Roman"/>
          <w:bCs/>
          <w:sz w:val="24"/>
          <w:szCs w:val="24"/>
          <w:lang w:eastAsia="x-none"/>
        </w:rPr>
        <w:t xml:space="preserve">četrdesmit </w:t>
      </w:r>
      <w:proofErr w:type="spellStart"/>
      <w:r w:rsidR="00B943EA" w:rsidRPr="00AA05F0">
        <w:rPr>
          <w:rFonts w:ascii="Times New Roman" w:eastAsia="Times New Roman" w:hAnsi="Times New Roman"/>
          <w:bCs/>
          <w:i/>
          <w:sz w:val="24"/>
          <w:szCs w:val="24"/>
          <w:lang w:eastAsia="x-none"/>
        </w:rPr>
        <w:t>euro</w:t>
      </w:r>
      <w:proofErr w:type="spellEnd"/>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E006FE" w:rsidRPr="000A6ADD">
        <w:rPr>
          <w:rFonts w:ascii="Times New Roman" w:hAnsi="Times New Roman"/>
          <w:sz w:val="24"/>
          <w:szCs w:val="24"/>
        </w:rPr>
        <w:t xml:space="preserve">A/m CITROEN </w:t>
      </w:r>
      <w:proofErr w:type="spellStart"/>
      <w:r w:rsidR="00E006FE" w:rsidRPr="000A6ADD">
        <w:rPr>
          <w:rFonts w:ascii="Times New Roman" w:hAnsi="Times New Roman"/>
          <w:sz w:val="24"/>
          <w:szCs w:val="24"/>
        </w:rPr>
        <w:t>Jumper</w:t>
      </w:r>
      <w:proofErr w:type="spellEnd"/>
      <w:r w:rsidR="00A564A3" w:rsidRPr="00B35A24">
        <w:rPr>
          <w:rFonts w:ascii="Times New Roman" w:hAnsi="Times New Roman"/>
          <w:b/>
          <w:bCs/>
          <w:sz w:val="24"/>
          <w:szCs w:val="24"/>
          <w:lang w:eastAsia="lv-LV"/>
        </w:rPr>
        <w:t>,</w:t>
      </w:r>
      <w:r w:rsidR="00A564A3" w:rsidRPr="00AA05F0">
        <w:rPr>
          <w:rFonts w:ascii="Times New Roman" w:hAnsi="Times New Roman"/>
          <w:b/>
          <w:bCs/>
          <w:sz w:val="24"/>
          <w:szCs w:val="24"/>
          <w:lang w:eastAsia="lv-LV"/>
        </w:rPr>
        <w:t xml:space="preserve"> valsts reģistrācijas Nr. </w:t>
      </w:r>
      <w:r w:rsidR="00E006FE">
        <w:rPr>
          <w:rFonts w:ascii="Times New Roman" w:hAnsi="Times New Roman"/>
          <w:b/>
          <w:bCs/>
          <w:sz w:val="24"/>
          <w:szCs w:val="24"/>
          <w:lang w:eastAsia="lv-LV"/>
        </w:rPr>
        <w:t>FS 2238</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64C4A81B"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39B975BF"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 no</w:t>
      </w:r>
      <w:bookmarkStart w:id="4" w:name="_Hlk93403590"/>
      <w:r>
        <w:rPr>
          <w:rFonts w:ascii="Times New Roman" w:eastAsia="Times New Roman" w:hAnsi="Times New Roman"/>
          <w:sz w:val="24"/>
          <w:szCs w:val="24"/>
          <w:lang w:eastAsia="x-none"/>
        </w:rPr>
        <w:t xml:space="preserve"> </w:t>
      </w:r>
      <w:bookmarkEnd w:id="4"/>
      <w:r w:rsidR="001D4040" w:rsidRPr="00731141">
        <w:rPr>
          <w:rFonts w:ascii="Times New Roman" w:eastAsia="Times New Roman" w:hAnsi="Times New Roman"/>
          <w:b/>
          <w:bCs/>
          <w:sz w:val="24"/>
          <w:szCs w:val="24"/>
          <w:lang w:eastAsia="x-none"/>
        </w:rPr>
        <w:t>202</w:t>
      </w:r>
      <w:r w:rsidR="001D4040">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.gada</w:t>
      </w:r>
      <w:r w:rsidR="001D4040">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maija</w:t>
      </w:r>
      <w:r w:rsidR="001D4040" w:rsidRPr="00731141">
        <w:rPr>
          <w:rFonts w:ascii="Times New Roman" w:eastAsia="Times New Roman" w:hAnsi="Times New Roman"/>
          <w:b/>
          <w:bCs/>
          <w:sz w:val="24"/>
          <w:szCs w:val="24"/>
          <w:lang w:eastAsia="x-none"/>
        </w:rPr>
        <w:t xml:space="preserve"> plkst.13:00 </w:t>
      </w:r>
      <w:r w:rsidR="001D4040">
        <w:rPr>
          <w:rFonts w:ascii="Times New Roman" w:eastAsia="Times New Roman" w:hAnsi="Times New Roman"/>
          <w:sz w:val="24"/>
          <w:szCs w:val="24"/>
          <w:lang w:eastAsia="x-none"/>
        </w:rPr>
        <w:t xml:space="preserve">līdz </w:t>
      </w:r>
      <w:r w:rsidR="001D4040">
        <w:rPr>
          <w:rFonts w:ascii="Times New Roman" w:eastAsia="Times New Roman" w:hAnsi="Times New Roman"/>
          <w:b/>
          <w:bCs/>
          <w:sz w:val="24"/>
          <w:szCs w:val="24"/>
          <w:lang w:eastAsia="x-none"/>
        </w:rPr>
        <w:t xml:space="preserve"> </w:t>
      </w:r>
      <w:r w:rsidR="001D4040" w:rsidRPr="00731141">
        <w:rPr>
          <w:rFonts w:ascii="Times New Roman" w:eastAsia="Times New Roman" w:hAnsi="Times New Roman"/>
          <w:b/>
          <w:bCs/>
          <w:sz w:val="24"/>
          <w:szCs w:val="24"/>
          <w:lang w:eastAsia="x-none"/>
        </w:rPr>
        <w:t xml:space="preserve">2022.gada </w:t>
      </w:r>
      <w:r w:rsidR="001D4040">
        <w:rPr>
          <w:rFonts w:ascii="Times New Roman" w:eastAsia="Times New Roman" w:hAnsi="Times New Roman"/>
          <w:b/>
          <w:bCs/>
          <w:sz w:val="24"/>
          <w:szCs w:val="24"/>
          <w:lang w:eastAsia="x-none"/>
        </w:rPr>
        <w:t>1</w:t>
      </w:r>
      <w:r w:rsidR="00E75A1C">
        <w:rPr>
          <w:rFonts w:ascii="Times New Roman" w:eastAsia="Times New Roman" w:hAnsi="Times New Roman"/>
          <w:b/>
          <w:bCs/>
          <w:sz w:val="24"/>
          <w:szCs w:val="24"/>
          <w:lang w:eastAsia="x-none"/>
        </w:rPr>
        <w:t>2</w:t>
      </w:r>
      <w:r w:rsidR="001D4040">
        <w:rPr>
          <w:rFonts w:ascii="Times New Roman" w:eastAsia="Times New Roman" w:hAnsi="Times New Roman"/>
          <w:b/>
          <w:bCs/>
          <w:sz w:val="24"/>
          <w:szCs w:val="24"/>
          <w:lang w:eastAsia="x-none"/>
        </w:rPr>
        <w:t>.ma</w:t>
      </w:r>
      <w:r w:rsidR="00E75A1C">
        <w:rPr>
          <w:rFonts w:ascii="Times New Roman" w:eastAsia="Times New Roman" w:hAnsi="Times New Roman"/>
          <w:b/>
          <w:bCs/>
          <w:sz w:val="24"/>
          <w:szCs w:val="24"/>
          <w:lang w:eastAsia="x-none"/>
        </w:rPr>
        <w:t>ijam</w:t>
      </w:r>
      <w:r w:rsidR="001D4040" w:rsidRPr="00731141">
        <w:rPr>
          <w:rFonts w:ascii="Times New Roman" w:eastAsia="Times New Roman" w:hAnsi="Times New Roman"/>
          <w:b/>
          <w:bCs/>
          <w:sz w:val="24"/>
          <w:szCs w:val="24"/>
          <w:lang w:eastAsia="x-none"/>
        </w:rPr>
        <w:t xml:space="preserve"> plkst. 23:59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18AB2BB1" w14:textId="083B1335" w:rsidR="001D4040" w:rsidRPr="00731141" w:rsidRDefault="00AA05F0" w:rsidP="001D4040">
      <w:pPr>
        <w:pStyle w:val="Heading2"/>
        <w:rPr>
          <w:strike/>
        </w:rPr>
      </w:pPr>
      <w:r w:rsidRPr="00731141">
        <w:t xml:space="preserve">Izsole sākas elektronisko izsoļu vietnē </w:t>
      </w:r>
      <w:hyperlink r:id="rId19" w:history="1">
        <w:r w:rsidRPr="001D4040">
          <w:rPr>
            <w:rStyle w:val="Hyperlink"/>
            <w:sz w:val="23"/>
            <w:szCs w:val="23"/>
          </w:rPr>
          <w:t>https://izsoles.ta.gov.lv</w:t>
        </w:r>
      </w:hyperlink>
      <w:r w:rsidRPr="001D4040">
        <w:rPr>
          <w:sz w:val="23"/>
          <w:szCs w:val="23"/>
        </w:rPr>
        <w:t xml:space="preserve"> </w:t>
      </w:r>
      <w:r w:rsidR="001D4040" w:rsidRPr="00731141">
        <w:rPr>
          <w:lang w:eastAsia="x-none"/>
        </w:rPr>
        <w:t>202</w:t>
      </w:r>
      <w:r w:rsidR="001D4040">
        <w:rPr>
          <w:lang w:eastAsia="x-none"/>
        </w:rPr>
        <w:t>2</w:t>
      </w:r>
      <w:r w:rsidR="001D4040" w:rsidRPr="00731141">
        <w:rPr>
          <w:lang w:eastAsia="x-none"/>
        </w:rPr>
        <w:t xml:space="preserve">.gada </w:t>
      </w:r>
      <w:r w:rsidR="000B2866">
        <w:rPr>
          <w:lang w:eastAsia="x-none"/>
        </w:rPr>
        <w:t>2</w:t>
      </w:r>
      <w:r w:rsidR="001D4040">
        <w:rPr>
          <w:lang w:eastAsia="x-none"/>
        </w:rPr>
        <w:t>.ma</w:t>
      </w:r>
      <w:r w:rsidR="000B2866">
        <w:rPr>
          <w:lang w:eastAsia="x-none"/>
        </w:rPr>
        <w:t>ija</w:t>
      </w:r>
      <w:r w:rsidR="001D4040" w:rsidRPr="00731141">
        <w:rPr>
          <w:lang w:eastAsia="x-none"/>
        </w:rPr>
        <w:t xml:space="preserve"> plkst.13:00 līdz  2022. gada </w:t>
      </w:r>
      <w:r w:rsidR="001D4040">
        <w:rPr>
          <w:lang w:eastAsia="x-none"/>
        </w:rPr>
        <w:t>2</w:t>
      </w:r>
      <w:r w:rsidR="000B2866">
        <w:rPr>
          <w:lang w:eastAsia="x-none"/>
        </w:rPr>
        <w:t>3</w:t>
      </w:r>
      <w:r w:rsidR="001D4040">
        <w:rPr>
          <w:lang w:eastAsia="x-none"/>
        </w:rPr>
        <w:t>.ma</w:t>
      </w:r>
      <w:r w:rsidR="000B2866">
        <w:rPr>
          <w:lang w:eastAsia="x-none"/>
        </w:rPr>
        <w:t>ijam</w:t>
      </w:r>
      <w:r w:rsidR="001D4040" w:rsidRPr="00731141">
        <w:rPr>
          <w:lang w:eastAsia="x-none"/>
        </w:rPr>
        <w:t xml:space="preserve">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0582A544" w:rsidR="004B6995" w:rsidRDefault="00610B6F"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/elektroniski parakstīts /</w:t>
      </w:r>
      <w:proofErr w:type="spellStart"/>
      <w:r w:rsidR="004B6995">
        <w:rPr>
          <w:rFonts w:ascii="Times New Roman" w:eastAsia="Times New Roman" w:hAnsi="Times New Roman"/>
          <w:sz w:val="24"/>
          <w:szCs w:val="24"/>
        </w:rPr>
        <w:t>J.Gailītis</w:t>
      </w:r>
      <w:proofErr w:type="spellEnd"/>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312B6695"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w:t>
      </w:r>
      <w:r w:rsidR="00610B6F">
        <w:rPr>
          <w:rFonts w:ascii="Times New Roman" w:eastAsia="Times New Roman" w:hAnsi="Times New Roman"/>
          <w:sz w:val="24"/>
          <w:szCs w:val="24"/>
        </w:rPr>
        <w:t>9</w:t>
      </w:r>
      <w:r>
        <w:rPr>
          <w:rFonts w:ascii="Times New Roman" w:eastAsia="Times New Roman" w:hAnsi="Times New Roman"/>
          <w:sz w:val="24"/>
          <w:szCs w:val="24"/>
        </w:rPr>
        <w:t>.</w:t>
      </w:r>
      <w:r w:rsidR="00610B6F">
        <w:rPr>
          <w:rFonts w:ascii="Times New Roman" w:eastAsia="Times New Roman" w:hAnsi="Times New Roman"/>
          <w:sz w:val="24"/>
          <w:szCs w:val="24"/>
        </w:rPr>
        <w:t>aprīlī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7"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7"/>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08BD549C"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C22C6F">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C22C6F">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4F1DBA84" w14:textId="77777777" w:rsidR="008B5321" w:rsidRPr="00AA70D6" w:rsidRDefault="008B5321" w:rsidP="008B53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Automašīnas (marka) –  </w:t>
      </w:r>
      <w:r w:rsidRPr="000A6ADD">
        <w:rPr>
          <w:rFonts w:ascii="Times New Roman" w:hAnsi="Times New Roman"/>
          <w:sz w:val="24"/>
          <w:szCs w:val="24"/>
        </w:rPr>
        <w:t xml:space="preserve">A/m CITROEN </w:t>
      </w:r>
      <w:proofErr w:type="spellStart"/>
      <w:r w:rsidRPr="000A6ADD">
        <w:rPr>
          <w:rFonts w:ascii="Times New Roman" w:hAnsi="Times New Roman"/>
          <w:sz w:val="24"/>
          <w:szCs w:val="24"/>
        </w:rPr>
        <w:t>Jumper</w:t>
      </w:r>
      <w:proofErr w:type="spellEnd"/>
      <w:r w:rsidRPr="00AA70D6">
        <w:rPr>
          <w:rFonts w:ascii="Times New Roman" w:hAnsi="Times New Roman"/>
          <w:sz w:val="24"/>
          <w:szCs w:val="24"/>
        </w:rPr>
        <w:t xml:space="preserve">; </w:t>
      </w:r>
    </w:p>
    <w:p w14:paraId="4289391D" w14:textId="77777777" w:rsidR="008B5321" w:rsidRPr="00AA70D6" w:rsidRDefault="008B5321" w:rsidP="008B53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reģistrācijas Nr.:  </w:t>
      </w:r>
      <w:r w:rsidRPr="000A6ADD">
        <w:rPr>
          <w:rFonts w:ascii="Times New Roman" w:hAnsi="Times New Roman"/>
          <w:sz w:val="24"/>
          <w:szCs w:val="24"/>
        </w:rPr>
        <w:t>FS 2238</w:t>
      </w:r>
      <w:r w:rsidRPr="00AA70D6">
        <w:rPr>
          <w:rFonts w:ascii="Times New Roman" w:hAnsi="Times New Roman"/>
          <w:sz w:val="24"/>
          <w:szCs w:val="24"/>
        </w:rPr>
        <w:t xml:space="preserve">; </w:t>
      </w:r>
    </w:p>
    <w:p w14:paraId="2560DB3D" w14:textId="77777777" w:rsidR="008B5321" w:rsidRDefault="008B5321" w:rsidP="008B5321">
      <w:pPr>
        <w:spacing w:after="0" w:line="240" w:lineRule="auto"/>
        <w:ind w:left="1276"/>
        <w:jc w:val="both"/>
        <w:rPr>
          <w:rFonts w:ascii="Times New Roman" w:hAnsi="Times New Roman"/>
          <w:sz w:val="24"/>
          <w:szCs w:val="24"/>
        </w:rPr>
      </w:pPr>
      <w:r w:rsidRPr="00F450E7">
        <w:rPr>
          <w:rFonts w:ascii="Times New Roman" w:hAnsi="Times New Roman"/>
          <w:sz w:val="24"/>
          <w:szCs w:val="24"/>
        </w:rPr>
        <w:t xml:space="preserve">šasijas Nr.:  </w:t>
      </w:r>
      <w:r w:rsidRPr="008B5321">
        <w:rPr>
          <w:sz w:val="24"/>
          <w:szCs w:val="24"/>
        </w:rPr>
        <w:t>VF7ZCPMNC17726970</w:t>
      </w:r>
    </w:p>
    <w:p w14:paraId="0FC77480" w14:textId="77777777" w:rsidR="008B5321" w:rsidRPr="00F450E7" w:rsidRDefault="008B5321" w:rsidP="008B5321">
      <w:pPr>
        <w:spacing w:after="0" w:line="240" w:lineRule="auto"/>
        <w:ind w:left="1276"/>
        <w:jc w:val="both"/>
        <w:rPr>
          <w:rFonts w:ascii="Times New Roman" w:hAnsi="Times New Roman"/>
          <w:sz w:val="24"/>
          <w:szCs w:val="24"/>
        </w:rPr>
      </w:pPr>
      <w:r w:rsidRPr="00F450E7">
        <w:rPr>
          <w:rFonts w:ascii="Times New Roman" w:hAnsi="Times New Roman"/>
          <w:sz w:val="24"/>
          <w:szCs w:val="24"/>
        </w:rPr>
        <w:t>pirmais reģistrācijas datums –</w:t>
      </w:r>
      <w:r>
        <w:rPr>
          <w:rFonts w:ascii="Times New Roman" w:hAnsi="Times New Roman"/>
          <w:sz w:val="24"/>
          <w:szCs w:val="24"/>
        </w:rPr>
        <w:t>21</w:t>
      </w:r>
      <w:r w:rsidRPr="00F450E7">
        <w:rPr>
          <w:rFonts w:ascii="Times New Roman" w:hAnsi="Times New Roman"/>
          <w:sz w:val="24"/>
          <w:szCs w:val="24"/>
        </w:rPr>
        <w:t>.</w:t>
      </w:r>
      <w:r>
        <w:rPr>
          <w:rFonts w:ascii="Times New Roman" w:hAnsi="Times New Roman"/>
          <w:sz w:val="24"/>
          <w:szCs w:val="24"/>
        </w:rPr>
        <w:t>12</w:t>
      </w:r>
      <w:r w:rsidRPr="00F450E7">
        <w:rPr>
          <w:rFonts w:ascii="Times New Roman" w:hAnsi="Times New Roman"/>
          <w:sz w:val="24"/>
          <w:szCs w:val="24"/>
        </w:rPr>
        <w:t>.200</w:t>
      </w:r>
      <w:r>
        <w:rPr>
          <w:rFonts w:ascii="Times New Roman" w:hAnsi="Times New Roman"/>
          <w:sz w:val="24"/>
          <w:szCs w:val="24"/>
        </w:rPr>
        <w:t>5</w:t>
      </w:r>
      <w:r w:rsidRPr="00F450E7">
        <w:rPr>
          <w:rFonts w:ascii="Times New Roman" w:hAnsi="Times New Roman"/>
          <w:sz w:val="24"/>
          <w:szCs w:val="24"/>
        </w:rPr>
        <w:t xml:space="preserve">; </w:t>
      </w:r>
    </w:p>
    <w:p w14:paraId="71CD14F5" w14:textId="77777777" w:rsidR="008B5321" w:rsidRPr="00AA70D6" w:rsidRDefault="008B5321" w:rsidP="008B53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reģistrācijas apliecība – </w:t>
      </w:r>
      <w:r w:rsidRPr="008B5321">
        <w:rPr>
          <w:noProof/>
          <w:sz w:val="24"/>
          <w:szCs w:val="24"/>
        </w:rPr>
        <w:t>AD0805573</w:t>
      </w:r>
      <w:r w:rsidRPr="00AA70D6">
        <w:rPr>
          <w:rFonts w:ascii="Times New Roman" w:hAnsi="Times New Roman"/>
          <w:sz w:val="24"/>
          <w:szCs w:val="24"/>
        </w:rPr>
        <w:t xml:space="preserve">; </w:t>
      </w:r>
    </w:p>
    <w:p w14:paraId="63A9FFA0" w14:textId="77777777" w:rsidR="008B5321" w:rsidRDefault="008B5321" w:rsidP="008B53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degviela – Dīzeļdegviela; </w:t>
      </w:r>
    </w:p>
    <w:p w14:paraId="0BC08A73" w14:textId="77777777" w:rsidR="008B5321" w:rsidRPr="00F450E7" w:rsidRDefault="008B5321" w:rsidP="008B5321">
      <w:pPr>
        <w:spacing w:after="0" w:line="240" w:lineRule="auto"/>
        <w:ind w:left="1276"/>
        <w:jc w:val="both"/>
        <w:rPr>
          <w:rFonts w:ascii="Times New Roman" w:hAnsi="Times New Roman"/>
          <w:sz w:val="24"/>
          <w:szCs w:val="24"/>
        </w:rPr>
      </w:pPr>
      <w:r w:rsidRPr="00F450E7">
        <w:rPr>
          <w:rFonts w:ascii="Times New Roman" w:hAnsi="Times New Roman"/>
          <w:sz w:val="24"/>
          <w:szCs w:val="24"/>
        </w:rPr>
        <w:t>motora tilpums – 2800</w:t>
      </w:r>
      <w:r>
        <w:rPr>
          <w:rFonts w:ascii="Times New Roman" w:hAnsi="Times New Roman"/>
          <w:sz w:val="24"/>
          <w:szCs w:val="24"/>
        </w:rPr>
        <w:t>/</w:t>
      </w:r>
      <w:r w:rsidRPr="00F450E7">
        <w:rPr>
          <w:rFonts w:ascii="Times New Roman" w:hAnsi="Times New Roman"/>
          <w:sz w:val="24"/>
          <w:szCs w:val="24"/>
        </w:rPr>
        <w:t xml:space="preserve">93 </w:t>
      </w:r>
      <w:proofErr w:type="spellStart"/>
      <w:r w:rsidRPr="00F450E7">
        <w:rPr>
          <w:rFonts w:ascii="Times New Roman" w:hAnsi="Times New Roman"/>
          <w:sz w:val="24"/>
          <w:szCs w:val="24"/>
        </w:rPr>
        <w:t>kw</w:t>
      </w:r>
      <w:proofErr w:type="spellEnd"/>
      <w:r w:rsidRPr="00F450E7">
        <w:rPr>
          <w:rFonts w:ascii="Times New Roman" w:hAnsi="Times New Roman"/>
          <w:sz w:val="24"/>
          <w:szCs w:val="24"/>
        </w:rPr>
        <w:t xml:space="preserve">; </w:t>
      </w:r>
    </w:p>
    <w:p w14:paraId="748C11C6" w14:textId="77777777" w:rsidR="008B5321" w:rsidRPr="00AA70D6" w:rsidRDefault="008B5321" w:rsidP="008B53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veids – </w:t>
      </w:r>
      <w:r w:rsidRPr="00AA70D6">
        <w:rPr>
          <w:rFonts w:ascii="Times New Roman" w:hAnsi="Times New Roman"/>
          <w:noProof/>
          <w:sz w:val="24"/>
          <w:szCs w:val="24"/>
        </w:rPr>
        <w:t xml:space="preserve">Kravas </w:t>
      </w:r>
      <w:r>
        <w:rPr>
          <w:rFonts w:ascii="Times New Roman" w:hAnsi="Times New Roman"/>
          <w:noProof/>
          <w:sz w:val="24"/>
          <w:szCs w:val="24"/>
        </w:rPr>
        <w:t>furgons</w:t>
      </w:r>
      <w:r w:rsidRPr="00AA70D6">
        <w:rPr>
          <w:rFonts w:ascii="Times New Roman" w:hAnsi="Times New Roman"/>
          <w:sz w:val="24"/>
          <w:szCs w:val="24"/>
        </w:rPr>
        <w:t xml:space="preserve">; </w:t>
      </w:r>
    </w:p>
    <w:p w14:paraId="3C92DB61" w14:textId="77777777" w:rsidR="008B5321" w:rsidRPr="00AA70D6" w:rsidRDefault="008B5321" w:rsidP="008B53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krāsa – </w:t>
      </w:r>
      <w:r w:rsidRPr="00AA70D6">
        <w:rPr>
          <w:rFonts w:ascii="Times New Roman" w:hAnsi="Times New Roman"/>
          <w:noProof/>
          <w:sz w:val="24"/>
          <w:szCs w:val="24"/>
        </w:rPr>
        <w:t>sarkana</w:t>
      </w:r>
      <w:r w:rsidRPr="00AA70D6">
        <w:rPr>
          <w:rFonts w:ascii="Times New Roman" w:hAnsi="Times New Roman"/>
          <w:sz w:val="24"/>
          <w:szCs w:val="24"/>
        </w:rPr>
        <w:t xml:space="preserve">; </w:t>
      </w:r>
    </w:p>
    <w:p w14:paraId="68F6FB37" w14:textId="77777777" w:rsidR="008B5321" w:rsidRPr="00AA70D6" w:rsidRDefault="008B5321" w:rsidP="008B53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nobraukums – </w:t>
      </w:r>
      <w:r w:rsidRPr="00AA70D6">
        <w:rPr>
          <w:rFonts w:ascii="Times New Roman" w:hAnsi="Times New Roman"/>
          <w:sz w:val="24"/>
          <w:szCs w:val="24"/>
          <w:lang w:eastAsia="lv-LV"/>
        </w:rPr>
        <w:t xml:space="preserve"> </w:t>
      </w:r>
      <w:r w:rsidRPr="008B5321">
        <w:rPr>
          <w:rFonts w:ascii="Times New Roman" w:hAnsi="Times New Roman"/>
          <w:sz w:val="24"/>
          <w:szCs w:val="24"/>
        </w:rPr>
        <w:t>267057</w:t>
      </w:r>
      <w:r w:rsidRPr="00AA70D6">
        <w:rPr>
          <w:rFonts w:ascii="Times New Roman" w:hAnsi="Times New Roman"/>
          <w:sz w:val="24"/>
          <w:szCs w:val="24"/>
        </w:rPr>
        <w:t xml:space="preserve"> km; </w:t>
      </w:r>
    </w:p>
    <w:p w14:paraId="66106B28" w14:textId="77777777" w:rsidR="008B5321" w:rsidRPr="00AA70D6" w:rsidRDefault="008B5321" w:rsidP="008B53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tehniskā apskate – </w:t>
      </w:r>
      <w:r>
        <w:rPr>
          <w:rFonts w:ascii="Times New Roman" w:hAnsi="Times New Roman"/>
          <w:sz w:val="24"/>
          <w:szCs w:val="24"/>
        </w:rPr>
        <w:t>10</w:t>
      </w:r>
      <w:r w:rsidRPr="000A6ADD">
        <w:rPr>
          <w:rFonts w:ascii="Times New Roman" w:hAnsi="Times New Roman"/>
          <w:sz w:val="24"/>
          <w:szCs w:val="24"/>
        </w:rPr>
        <w:t>.</w:t>
      </w:r>
      <w:r>
        <w:rPr>
          <w:rFonts w:ascii="Times New Roman" w:hAnsi="Times New Roman"/>
          <w:sz w:val="24"/>
          <w:szCs w:val="24"/>
        </w:rPr>
        <w:t>02</w:t>
      </w:r>
      <w:r w:rsidRPr="000A6ADD">
        <w:rPr>
          <w:rFonts w:ascii="Times New Roman" w:hAnsi="Times New Roman"/>
          <w:sz w:val="24"/>
          <w:szCs w:val="24"/>
        </w:rPr>
        <w:t>.202</w:t>
      </w:r>
      <w:r>
        <w:rPr>
          <w:rFonts w:ascii="Times New Roman" w:hAnsi="Times New Roman"/>
          <w:sz w:val="24"/>
          <w:szCs w:val="24"/>
        </w:rPr>
        <w:t>2</w:t>
      </w:r>
      <w:r w:rsidRPr="00AA70D6">
        <w:rPr>
          <w:rFonts w:ascii="Times New Roman" w:hAnsi="Times New Roman"/>
          <w:sz w:val="24"/>
          <w:szCs w:val="24"/>
        </w:rPr>
        <w:t>;</w:t>
      </w:r>
    </w:p>
    <w:p w14:paraId="1EEBD93D" w14:textId="77777777" w:rsidR="008B5321" w:rsidRDefault="008B5321" w:rsidP="008B53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pilna masa – </w:t>
      </w:r>
      <w:r>
        <w:rPr>
          <w:rFonts w:ascii="Times New Roman" w:hAnsi="Times New Roman"/>
          <w:sz w:val="24"/>
          <w:szCs w:val="24"/>
        </w:rPr>
        <w:t>3500;</w:t>
      </w:r>
    </w:p>
    <w:p w14:paraId="58F9CEBA" w14:textId="77777777" w:rsidR="008B5321" w:rsidRPr="008B5321" w:rsidRDefault="008B5321" w:rsidP="008B5321">
      <w:pPr>
        <w:spacing w:after="0" w:line="240" w:lineRule="auto"/>
        <w:ind w:left="1276"/>
        <w:jc w:val="both"/>
        <w:rPr>
          <w:rFonts w:ascii="Times New Roman" w:hAnsi="Times New Roman"/>
          <w:sz w:val="24"/>
          <w:szCs w:val="24"/>
        </w:rPr>
      </w:pPr>
      <w:r w:rsidRPr="008B5321">
        <w:rPr>
          <w:rFonts w:ascii="Times New Roman" w:hAnsi="Times New Roman"/>
          <w:sz w:val="24"/>
          <w:szCs w:val="24"/>
        </w:rPr>
        <w:t>Piezīme:</w:t>
      </w:r>
      <w:r w:rsidRPr="008B5321">
        <w:rPr>
          <w:rFonts w:ascii="Times New Roman" w:hAnsi="Times New Roman"/>
          <w:noProof/>
          <w:sz w:val="28"/>
          <w:szCs w:val="28"/>
        </w:rPr>
        <w:t xml:space="preserve"> </w:t>
      </w:r>
      <w:r w:rsidRPr="008B5321">
        <w:rPr>
          <w:rFonts w:ascii="Times New Roman" w:hAnsi="Times New Roman"/>
          <w:noProof/>
          <w:sz w:val="24"/>
          <w:szCs w:val="24"/>
        </w:rPr>
        <w:t>pēdējā tehniskajā apskatē ir 20 atzīmes ar novērtējumu 2,kas neļauj iegūt tehnisko apskati.</w:t>
      </w: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8"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8"/>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lastRenderedPageBreak/>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866"/>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6EC7"/>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4698"/>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6697"/>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0B6F"/>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A5271"/>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3D75"/>
    <w:rsid w:val="008A56E8"/>
    <w:rsid w:val="008A64FD"/>
    <w:rsid w:val="008A6A73"/>
    <w:rsid w:val="008B0ADE"/>
    <w:rsid w:val="008B15F3"/>
    <w:rsid w:val="008B1D21"/>
    <w:rsid w:val="008B4FE8"/>
    <w:rsid w:val="008B5136"/>
    <w:rsid w:val="008B5321"/>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0C7B"/>
    <w:rsid w:val="00AA11B0"/>
    <w:rsid w:val="00AA19E9"/>
    <w:rsid w:val="00AA2350"/>
    <w:rsid w:val="00AA2DBA"/>
    <w:rsid w:val="00AA32FE"/>
    <w:rsid w:val="00AA349D"/>
    <w:rsid w:val="00AA571D"/>
    <w:rsid w:val="00AA6A52"/>
    <w:rsid w:val="00AA70D6"/>
    <w:rsid w:val="00AA7885"/>
    <w:rsid w:val="00AA7BD7"/>
    <w:rsid w:val="00AB0541"/>
    <w:rsid w:val="00AB070F"/>
    <w:rsid w:val="00AB08C2"/>
    <w:rsid w:val="00AB1DF7"/>
    <w:rsid w:val="00AB2521"/>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5A24"/>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2C6F"/>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6FE"/>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2E5E"/>
    <w:rsid w:val="00E7349F"/>
    <w:rsid w:val="00E74276"/>
    <w:rsid w:val="00E75A1C"/>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3F1"/>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1683"/>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0E7"/>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 w:type="table" w:customStyle="1" w:styleId="TableGrid7">
    <w:name w:val="Table Grid7"/>
    <w:basedOn w:val="TableNormal"/>
    <w:next w:val="TableGrid"/>
    <w:uiPriority w:val="39"/>
    <w:rsid w:val="00AA70D6"/>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B5321"/>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18877</Words>
  <Characters>10761</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6</cp:revision>
  <dcterms:created xsi:type="dcterms:W3CDTF">2022-04-27T12:23:00Z</dcterms:created>
  <dcterms:modified xsi:type="dcterms:W3CDTF">2022-04-29T05:10:00Z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