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3922DE5" w:rsidR="005D1BC8" w:rsidRPr="00F944D7" w:rsidRDefault="005D1BC8" w:rsidP="00A054EF">
      <w:pPr>
        <w:spacing w:line="32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4D7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F944D7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F944D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DA1CDA2" w14:textId="77777777" w:rsidR="002A2F09" w:rsidRPr="00F944D7" w:rsidRDefault="002A2F09" w:rsidP="00A054EF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44D7">
        <w:rPr>
          <w:rFonts w:ascii="Times New Roman" w:hAnsi="Times New Roman" w:cs="Times New Roman"/>
          <w:i/>
          <w:iCs/>
          <w:sz w:val="24"/>
          <w:szCs w:val="24"/>
        </w:rPr>
        <w:t>integrētās vadības sistēmas (ISO: 9001:2015, 45001:2018 un 50001:2018)</w:t>
      </w:r>
    </w:p>
    <w:p w14:paraId="6C37E090" w14:textId="77777777" w:rsidR="002A2F09" w:rsidRPr="00F944D7" w:rsidRDefault="002A2F09" w:rsidP="00A054EF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944D7">
        <w:rPr>
          <w:rFonts w:ascii="Times New Roman" w:hAnsi="Times New Roman" w:cs="Times New Roman"/>
          <w:i/>
          <w:iCs/>
          <w:sz w:val="24"/>
          <w:szCs w:val="24"/>
        </w:rPr>
        <w:t>pārsertifikācijas</w:t>
      </w:r>
      <w:proofErr w:type="spellEnd"/>
      <w:r w:rsidRPr="00F944D7">
        <w:rPr>
          <w:rFonts w:ascii="Times New Roman" w:hAnsi="Times New Roman" w:cs="Times New Roman"/>
          <w:i/>
          <w:iCs/>
          <w:sz w:val="24"/>
          <w:szCs w:val="24"/>
        </w:rPr>
        <w:t xml:space="preserve"> un uzraudzības audits</w:t>
      </w:r>
    </w:p>
    <w:p w14:paraId="437648C3" w14:textId="116BB628" w:rsidR="005D1BC8" w:rsidRPr="00F944D7" w:rsidRDefault="005D1BC8" w:rsidP="00A054EF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F944D7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F944D7" w:rsidRDefault="005D1BC8" w:rsidP="00A054EF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944D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F944D7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F944D7" w:rsidRDefault="009213FC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F944D7" w:rsidRDefault="009213FC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944D7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F944D7" w:rsidRDefault="009213FC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62B386C8" w:rsidR="009213FC" w:rsidRPr="00F944D7" w:rsidRDefault="009213FC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944D7" w:rsidRDefault="005D1BC8" w:rsidP="00A054EF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944D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F944D7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F944D7" w:rsidRDefault="005D1BC8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F944D7" w:rsidRDefault="005D1BC8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944D7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F944D7" w:rsidRDefault="005D1BC8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F944D7" w:rsidRDefault="005D1BC8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944D7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F944D7" w:rsidRDefault="005D1BC8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F944D7" w:rsidRDefault="005D1BC8" w:rsidP="00A054EF">
            <w:pPr>
              <w:spacing w:before="60" w:after="6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F944D7" w:rsidRDefault="005D1BC8" w:rsidP="00A054EF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944D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18AE761F" w:rsidR="008C0786" w:rsidRPr="00F944D7" w:rsidRDefault="005D1BC8" w:rsidP="00A054EF">
      <w:pPr>
        <w:pStyle w:val="BodyText2"/>
        <w:tabs>
          <w:tab w:val="clear" w:pos="0"/>
        </w:tabs>
        <w:spacing w:before="120" w:after="120" w:line="324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F944D7">
        <w:rPr>
          <w:rFonts w:ascii="Times New Roman" w:hAnsi="Times New Roman"/>
          <w:b/>
          <w:bCs/>
          <w:szCs w:val="24"/>
        </w:rPr>
        <w:t>3.1</w:t>
      </w:r>
      <w:r w:rsidRPr="00F944D7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25EB5" w:rsidRPr="00F944D7">
        <w:rPr>
          <w:rFonts w:ascii="Times New Roman" w:hAnsi="Times New Roman"/>
          <w:color w:val="000000" w:themeColor="text1"/>
          <w:szCs w:val="24"/>
        </w:rPr>
        <w:t> </w:t>
      </w:r>
      <w:r w:rsidR="008C0786" w:rsidRPr="00F944D7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F944D7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F944D7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F944D7">
        <w:rPr>
          <w:rFonts w:ascii="Times New Roman" w:hAnsi="Times New Roman"/>
          <w:color w:val="000000" w:themeColor="text1"/>
          <w:szCs w:val="24"/>
        </w:rPr>
        <w:t>u</w:t>
      </w:r>
      <w:r w:rsidR="00475F3C" w:rsidRPr="00F944D7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F944D7">
        <w:rPr>
          <w:rFonts w:ascii="Times New Roman" w:hAnsi="Times New Roman"/>
          <w:color w:val="000000" w:themeColor="text1"/>
          <w:szCs w:val="24"/>
        </w:rPr>
        <w:t>,</w:t>
      </w:r>
      <w:r w:rsidR="006B2295" w:rsidRPr="00F944D7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F944D7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F944D7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F944D7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F944D7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F944D7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4874830D" w:rsidR="00FA41A9" w:rsidRPr="00F944D7" w:rsidRDefault="00475F3C" w:rsidP="00A054EF">
      <w:pPr>
        <w:pStyle w:val="BodyText2"/>
        <w:tabs>
          <w:tab w:val="clear" w:pos="0"/>
        </w:tabs>
        <w:spacing w:before="120" w:after="120" w:line="324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F944D7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325EB5" w:rsidRPr="00F944D7">
        <w:rPr>
          <w:rFonts w:ascii="Times New Roman" w:hAnsi="Times New Roman"/>
          <w:color w:val="000000" w:themeColor="text1"/>
          <w:szCs w:val="24"/>
        </w:rPr>
        <w:t> </w:t>
      </w:r>
      <w:r w:rsidR="005B40DB" w:rsidRPr="00F944D7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F944D7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F944D7">
        <w:rPr>
          <w:rFonts w:ascii="Times New Roman" w:hAnsi="Times New Roman"/>
          <w:color w:val="000000" w:themeColor="text1"/>
          <w:szCs w:val="24"/>
        </w:rPr>
        <w:t>ta</w:t>
      </w:r>
      <w:r w:rsidR="009C098E" w:rsidRPr="00F944D7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F31DE3" w:rsidRPr="00F944D7">
        <w:rPr>
          <w:rFonts w:ascii="Times New Roman" w:hAnsi="Times New Roman"/>
          <w:color w:val="000000" w:themeColor="text1"/>
          <w:szCs w:val="24"/>
        </w:rPr>
        <w:t>pakalpojumu</w:t>
      </w:r>
      <w:r w:rsidR="009C098E" w:rsidRPr="00F944D7">
        <w:rPr>
          <w:rFonts w:ascii="Times New Roman" w:hAnsi="Times New Roman"/>
          <w:color w:val="000000" w:themeColor="text1"/>
          <w:szCs w:val="24"/>
        </w:rPr>
        <w:t xml:space="preserve"> (t.sk. transporta, administratīvās un citas izmaksas).</w:t>
      </w:r>
    </w:p>
    <w:p w14:paraId="526D4F8E" w14:textId="72E76B60" w:rsidR="005D1BC8" w:rsidRPr="00F944D7" w:rsidRDefault="000717BE" w:rsidP="00A054EF">
      <w:pPr>
        <w:pStyle w:val="BodyText2"/>
        <w:tabs>
          <w:tab w:val="clear" w:pos="0"/>
        </w:tabs>
        <w:spacing w:before="120" w:after="120" w:line="324" w:lineRule="auto"/>
        <w:outlineLvl w:val="9"/>
        <w:rPr>
          <w:rFonts w:ascii="Times New Roman" w:hAnsi="Times New Roman"/>
          <w:szCs w:val="24"/>
        </w:rPr>
      </w:pPr>
      <w:r w:rsidRPr="00F944D7">
        <w:rPr>
          <w:rFonts w:ascii="Times New Roman" w:hAnsi="Times New Roman"/>
          <w:b/>
          <w:bCs/>
          <w:szCs w:val="24"/>
        </w:rPr>
        <w:t>3.</w:t>
      </w:r>
      <w:r w:rsidR="00991942" w:rsidRPr="00F944D7">
        <w:rPr>
          <w:rFonts w:ascii="Times New Roman" w:hAnsi="Times New Roman"/>
          <w:b/>
          <w:bCs/>
          <w:szCs w:val="24"/>
        </w:rPr>
        <w:t>3</w:t>
      </w:r>
      <w:r w:rsidRPr="00F944D7">
        <w:rPr>
          <w:rFonts w:ascii="Times New Roman" w:hAnsi="Times New Roman"/>
          <w:b/>
          <w:bCs/>
          <w:szCs w:val="24"/>
        </w:rPr>
        <w:t>.</w:t>
      </w:r>
      <w:r w:rsidR="00325EB5" w:rsidRPr="00F944D7">
        <w:rPr>
          <w:rFonts w:ascii="Times New Roman" w:hAnsi="Times New Roman"/>
          <w:b/>
          <w:bCs/>
          <w:szCs w:val="24"/>
        </w:rPr>
        <w:t> </w:t>
      </w:r>
      <w:r w:rsidR="005D1BC8" w:rsidRPr="00F944D7">
        <w:rPr>
          <w:rFonts w:ascii="Times New Roman" w:hAnsi="Times New Roman"/>
          <w:szCs w:val="24"/>
        </w:rPr>
        <w:t xml:space="preserve">Esam iepazinušies ar </w:t>
      </w:r>
      <w:r w:rsidR="00877219" w:rsidRPr="00F944D7">
        <w:rPr>
          <w:rFonts w:ascii="Times New Roman" w:hAnsi="Times New Roman"/>
          <w:szCs w:val="24"/>
        </w:rPr>
        <w:t>tehnisko specifikāciju</w:t>
      </w:r>
      <w:r w:rsidR="005D1BC8" w:rsidRPr="00F944D7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F944D7" w:rsidRDefault="00FC7E5B" w:rsidP="00A054EF">
      <w:pPr>
        <w:pStyle w:val="BodyText2"/>
        <w:tabs>
          <w:tab w:val="clear" w:pos="0"/>
        </w:tabs>
        <w:spacing w:after="120" w:line="324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F944D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F944D7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F944D7" w:rsidRDefault="00FC7E5B" w:rsidP="00A054EF">
      <w:pPr>
        <w:pStyle w:val="BodyText2"/>
        <w:tabs>
          <w:tab w:val="clear" w:pos="0"/>
        </w:tabs>
        <w:spacing w:after="120" w:line="324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F944D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F944D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F944D7" w14:paraId="34A31850" w14:textId="77777777" w:rsidTr="00325EB5">
        <w:trPr>
          <w:jc w:val="center"/>
        </w:trPr>
        <w:tc>
          <w:tcPr>
            <w:tcW w:w="5000" w:type="pct"/>
          </w:tcPr>
          <w:p w14:paraId="39E0CAD4" w14:textId="28A051CA" w:rsidR="005D1BC8" w:rsidRPr="00F944D7" w:rsidRDefault="005D1BC8" w:rsidP="00A054EF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atzīmējāt, </w:t>
            </w:r>
            <w:r w:rsidR="00124654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>ka tāme</w:t>
            </w:r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ir pilnveidojama, lūdzu</w:t>
            </w:r>
            <w:r w:rsidR="00E21E5E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norādiet, ko tieši nepieciešams pilnveidot vai kāda informācija ir neskaidra vai nepietiekoša</w:t>
            </w:r>
            <w:r w:rsidR="00124654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lai sagatavotu </w:t>
            </w:r>
            <w:r w:rsidR="009C098E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piedāvājumu. </w:t>
            </w:r>
          </w:p>
          <w:p w14:paraId="7FD1F4A3" w14:textId="0D19F292" w:rsidR="005D1BC8" w:rsidRPr="00F944D7" w:rsidRDefault="00D360ED" w:rsidP="00A054EF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44D7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Aicinām neskaidros jautājumus uzdot jau pirms pieteikuma iesniegšanas</w:t>
            </w:r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193E99B0" w14:textId="44EBAD13" w:rsidR="00B5769B" w:rsidRPr="00F944D7" w:rsidRDefault="00A44F25" w:rsidP="00A054EF">
      <w:pPr>
        <w:tabs>
          <w:tab w:val="left" w:pos="426"/>
        </w:tabs>
        <w:autoSpaceDE w:val="0"/>
        <w:autoSpaceDN w:val="0"/>
        <w:adjustRightInd w:val="0"/>
        <w:spacing w:before="240" w:after="12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944D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F944D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F944D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F944D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EB5" w:rsidRPr="00F944D7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F944D7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4FDD1A74" w:rsidR="00165AB3" w:rsidRPr="00F944D7" w:rsidRDefault="00FC7E5B" w:rsidP="00A054EF">
      <w:pPr>
        <w:pStyle w:val="BodyText2"/>
        <w:tabs>
          <w:tab w:val="clear" w:pos="0"/>
        </w:tabs>
        <w:spacing w:after="120" w:line="324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F944D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 w:rsidRPr="00F944D7">
        <w:rPr>
          <w:rFonts w:ascii="Times New Roman" w:hAnsi="Times New Roman"/>
          <w:szCs w:val="24"/>
        </w:rPr>
        <w:t> </w:t>
      </w:r>
      <w:r w:rsidR="00165AB3" w:rsidRPr="00F944D7">
        <w:rPr>
          <w:rFonts w:ascii="Times New Roman" w:hAnsi="Times New Roman"/>
          <w:szCs w:val="24"/>
        </w:rPr>
        <w:t xml:space="preserve">Apliecinām, ka </w:t>
      </w:r>
      <w:r w:rsidR="007F3480" w:rsidRPr="00F944D7">
        <w:rPr>
          <w:rFonts w:ascii="Times New Roman" w:hAnsi="Times New Roman"/>
          <w:szCs w:val="24"/>
        </w:rPr>
        <w:t>pakalpojumu</w:t>
      </w:r>
      <w:r w:rsidR="00363366" w:rsidRPr="00F944D7">
        <w:rPr>
          <w:rFonts w:ascii="Times New Roman" w:hAnsi="Times New Roman"/>
          <w:szCs w:val="24"/>
        </w:rPr>
        <w:t xml:space="preserve"> </w:t>
      </w:r>
      <w:r w:rsidR="00325EB5" w:rsidRPr="00F944D7">
        <w:rPr>
          <w:rFonts w:ascii="Times New Roman" w:hAnsi="Times New Roman"/>
          <w:szCs w:val="24"/>
        </w:rPr>
        <w:t>veiksim</w:t>
      </w:r>
      <w:r w:rsidR="00656981" w:rsidRPr="00F944D7">
        <w:rPr>
          <w:rFonts w:ascii="Times New Roman" w:hAnsi="Times New Roman"/>
          <w:szCs w:val="24"/>
        </w:rPr>
        <w:t xml:space="preserve"> </w:t>
      </w:r>
      <w:r w:rsidR="00616B7C" w:rsidRPr="00F944D7">
        <w:rPr>
          <w:rFonts w:ascii="Times New Roman" w:hAnsi="Times New Roman"/>
          <w:szCs w:val="24"/>
        </w:rPr>
        <w:t>patstāvīgi, nepiesaistot apakšuzņēmējus</w:t>
      </w:r>
      <w:r w:rsidR="00165AB3" w:rsidRPr="00F944D7">
        <w:rPr>
          <w:rFonts w:ascii="Times New Roman" w:hAnsi="Times New Roman"/>
          <w:szCs w:val="24"/>
        </w:rPr>
        <w:t>;</w:t>
      </w:r>
    </w:p>
    <w:p w14:paraId="189CAEB7" w14:textId="6FD5B11E" w:rsidR="00F150DE" w:rsidRPr="00F944D7" w:rsidRDefault="00FC7E5B" w:rsidP="00A054EF">
      <w:pPr>
        <w:pStyle w:val="BodyText2"/>
        <w:tabs>
          <w:tab w:val="clear" w:pos="0"/>
        </w:tabs>
        <w:spacing w:after="120" w:line="324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F944D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 w:rsidRPr="00F944D7">
        <w:rPr>
          <w:rFonts w:ascii="Times New Roman" w:hAnsi="Times New Roman"/>
          <w:szCs w:val="24"/>
        </w:rPr>
        <w:t> </w:t>
      </w:r>
      <w:r w:rsidR="007F3480" w:rsidRPr="00F944D7">
        <w:rPr>
          <w:rFonts w:ascii="Times New Roman" w:hAnsi="Times New Roman"/>
          <w:bCs/>
          <w:szCs w:val="24"/>
          <w:lang w:eastAsia="ar-SA"/>
        </w:rPr>
        <w:t>Pakalpojuma</w:t>
      </w:r>
      <w:r w:rsidR="00D360ED" w:rsidRPr="00F944D7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F944D7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F944D7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F944D7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F944D7">
        <w:rPr>
          <w:rFonts w:ascii="Times New Roman" w:hAnsi="Times New Roman"/>
          <w:bCs/>
          <w:szCs w:val="24"/>
          <w:lang w:eastAsia="ar-SA"/>
        </w:rPr>
        <w:t>,</w:t>
      </w:r>
      <w:r w:rsidR="00E70536" w:rsidRPr="00F944D7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F944D7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F944D7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F944D7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1942"/>
        <w:gridCol w:w="2398"/>
        <w:gridCol w:w="1928"/>
        <w:gridCol w:w="2351"/>
      </w:tblGrid>
      <w:tr w:rsidR="00A94160" w:rsidRPr="00F944D7" w14:paraId="0DC1F9C7" w14:textId="77777777" w:rsidTr="00BE5257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Nr.p.k</w:t>
            </w:r>
            <w:proofErr w:type="spellEnd"/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F944D7" w14:paraId="3F0FD23E" w14:textId="77777777" w:rsidTr="00BE525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F944D7" w:rsidRDefault="00A94160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EA54117" w14:textId="71EA9630" w:rsidR="00BE5257" w:rsidRPr="00F944D7" w:rsidRDefault="00BE5257" w:rsidP="00A054EF">
      <w:pPr>
        <w:tabs>
          <w:tab w:val="left" w:pos="426"/>
        </w:tabs>
        <w:autoSpaceDE w:val="0"/>
        <w:autoSpaceDN w:val="0"/>
        <w:adjustRightInd w:val="0"/>
        <w:spacing w:before="240" w:after="12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944D7">
        <w:rPr>
          <w:rFonts w:ascii="Times New Roman" w:hAnsi="Times New Roman" w:cs="Times New Roman"/>
          <w:b/>
          <w:sz w:val="24"/>
          <w:szCs w:val="24"/>
          <w:lang w:eastAsia="ar-SA"/>
        </w:rPr>
        <w:t>3.5. </w:t>
      </w:r>
      <w:r w:rsidRPr="00F944D7">
        <w:rPr>
          <w:rFonts w:ascii="Times New Roman" w:hAnsi="Times New Roman" w:cs="Times New Roman"/>
          <w:bCs/>
          <w:sz w:val="24"/>
          <w:szCs w:val="24"/>
          <w:lang w:eastAsia="ar-SA"/>
        </w:rPr>
        <w:t>Informācija par pretendentu:</w:t>
      </w:r>
    </w:p>
    <w:p w14:paraId="24BF0705" w14:textId="385FFEB2" w:rsidR="00BE5257" w:rsidRPr="00F944D7" w:rsidRDefault="00BE5257" w:rsidP="00A054EF">
      <w:pPr>
        <w:pStyle w:val="BodyText2"/>
        <w:tabs>
          <w:tab w:val="clear" w:pos="0"/>
        </w:tabs>
        <w:spacing w:before="120" w:after="120" w:line="324" w:lineRule="auto"/>
        <w:outlineLvl w:val="9"/>
        <w:rPr>
          <w:rFonts w:ascii="Times New Roman" w:hAnsi="Times New Roman"/>
          <w:szCs w:val="24"/>
        </w:rPr>
      </w:pPr>
      <w:r w:rsidRPr="00F944D7">
        <w:rPr>
          <w:rFonts w:ascii="Times New Roman" w:hAnsi="Times New Roman"/>
          <w:szCs w:val="24"/>
        </w:rPr>
        <w:t>Lūdzu norādiet pretendenta pieredzi sertifikācijas auditu sniegšanā iepriekšējos 3 (trijos) gados (</w:t>
      </w:r>
      <w:r w:rsidR="00A70279" w:rsidRPr="00F944D7">
        <w:rPr>
          <w:rFonts w:ascii="Times New Roman" w:hAnsi="Times New Roman"/>
          <w:szCs w:val="24"/>
        </w:rPr>
        <w:t>norādiet</w:t>
      </w:r>
      <w:r w:rsidRPr="00F944D7">
        <w:rPr>
          <w:rFonts w:ascii="Times New Roman" w:hAnsi="Times New Roman"/>
          <w:szCs w:val="24"/>
        </w:rPr>
        <w:t xml:space="preserve"> 3</w:t>
      </w:r>
      <w:r w:rsidR="00A70279" w:rsidRPr="00F944D7">
        <w:rPr>
          <w:rFonts w:ascii="Times New Roman" w:hAnsi="Times New Roman"/>
          <w:szCs w:val="24"/>
        </w:rPr>
        <w:t>, bet ne vairāk kā</w:t>
      </w:r>
      <w:r w:rsidRPr="00F944D7">
        <w:rPr>
          <w:rFonts w:ascii="Times New Roman" w:hAnsi="Times New Roman"/>
          <w:szCs w:val="24"/>
        </w:rPr>
        <w:t xml:space="preserve"> 5 </w:t>
      </w:r>
      <w:r w:rsidR="00A70279" w:rsidRPr="00F944D7">
        <w:rPr>
          <w:rFonts w:ascii="Times New Roman" w:hAnsi="Times New Roman"/>
          <w:szCs w:val="24"/>
        </w:rPr>
        <w:t>pieredzes</w:t>
      </w:r>
      <w:r w:rsidRPr="00F944D7">
        <w:rPr>
          <w:rFonts w:ascii="Times New Roman" w:hAnsi="Times New Roman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3190"/>
        <w:gridCol w:w="3592"/>
      </w:tblGrid>
      <w:tr w:rsidR="00BE5257" w:rsidRPr="00F944D7" w14:paraId="01936E83" w14:textId="77777777" w:rsidTr="00797A66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4F7D0170" w14:textId="77777777" w:rsidR="00BE5257" w:rsidRPr="00F944D7" w:rsidRDefault="00BE5257" w:rsidP="00A0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Laika periods </w:t>
            </w:r>
          </w:p>
          <w:p w14:paraId="09AD0F7D" w14:textId="77777777" w:rsidR="00BE5257" w:rsidRPr="00F944D7" w:rsidRDefault="00BE5257" w:rsidP="00A0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32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4F37F42B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309EF395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Pasūtītāja nosaukums, kontaktinformācija</w:t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5CF36C6D" w14:textId="2DF323B2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Īss</w:t>
            </w:r>
            <w:r w:rsidR="00A570A8"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pakalpojuma</w:t>
            </w:r>
            <w:r w:rsidRPr="00F944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apraksts, komentāri </w:t>
            </w:r>
          </w:p>
        </w:tc>
      </w:tr>
      <w:tr w:rsidR="00BE5257" w:rsidRPr="00F944D7" w14:paraId="7164CF73" w14:textId="77777777" w:rsidTr="00797A66">
        <w:trPr>
          <w:trHeight w:val="239"/>
        </w:trPr>
        <w:tc>
          <w:tcPr>
            <w:tcW w:w="1371" w:type="pct"/>
            <w:shd w:val="clear" w:color="auto" w:fill="auto"/>
          </w:tcPr>
          <w:p w14:paraId="1003540F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6ABC8D54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5E86B89A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257" w:rsidRPr="00F944D7" w14:paraId="7A209749" w14:textId="77777777" w:rsidTr="00797A66">
        <w:trPr>
          <w:trHeight w:val="239"/>
        </w:trPr>
        <w:tc>
          <w:tcPr>
            <w:tcW w:w="1371" w:type="pct"/>
            <w:shd w:val="clear" w:color="auto" w:fill="auto"/>
          </w:tcPr>
          <w:p w14:paraId="43775102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36B98A9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1CC6A8D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257" w:rsidRPr="00F944D7" w14:paraId="21124BE9" w14:textId="77777777" w:rsidTr="00797A66">
        <w:trPr>
          <w:trHeight w:val="239"/>
        </w:trPr>
        <w:tc>
          <w:tcPr>
            <w:tcW w:w="1371" w:type="pct"/>
            <w:shd w:val="clear" w:color="auto" w:fill="auto"/>
          </w:tcPr>
          <w:p w14:paraId="4F58B338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8E0542C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7109D3E1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E5257" w:rsidRPr="00F944D7" w14:paraId="62DD6901" w14:textId="77777777" w:rsidTr="00797A66">
        <w:trPr>
          <w:trHeight w:val="239"/>
        </w:trPr>
        <w:tc>
          <w:tcPr>
            <w:tcW w:w="1371" w:type="pct"/>
            <w:shd w:val="clear" w:color="auto" w:fill="auto"/>
          </w:tcPr>
          <w:p w14:paraId="55F6F625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7E4DD4BC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0AE734B3" w14:textId="77777777" w:rsidR="00BE5257" w:rsidRPr="00F944D7" w:rsidRDefault="00BE5257" w:rsidP="00A054E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3122B1F" w14:textId="77777777" w:rsidR="00BE5257" w:rsidRPr="00F944D7" w:rsidRDefault="00BE5257" w:rsidP="00A054EF">
      <w:pPr>
        <w:spacing w:before="24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F944D7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F944D7">
        <w:rPr>
          <w:rFonts w:ascii="Times New Roman" w:hAnsi="Times New Roman" w:cs="Times New Roman"/>
          <w:bCs/>
          <w:sz w:val="24"/>
          <w:szCs w:val="24"/>
        </w:rPr>
        <w:t>Pretendenta piesaistītie auditori</w:t>
      </w:r>
      <w:r w:rsidRPr="00F94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4D7">
        <w:rPr>
          <w:rFonts w:ascii="Times New Roman" w:hAnsi="Times New Roman" w:cs="Times New Roman"/>
          <w:bCs/>
          <w:i/>
          <w:iCs/>
          <w:sz w:val="24"/>
          <w:szCs w:val="24"/>
        </w:rPr>
        <w:t>(var papildināt rindas pēc nepieciešamības):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5257" w:rsidRPr="00F944D7" w14:paraId="3D613BC1" w14:textId="77777777" w:rsidTr="007B4832">
        <w:tc>
          <w:tcPr>
            <w:tcW w:w="3114" w:type="dxa"/>
            <w:shd w:val="clear" w:color="auto" w:fill="DEEAF6" w:themeFill="accent5" w:themeFillTint="33"/>
            <w:vAlign w:val="center"/>
          </w:tcPr>
          <w:p w14:paraId="03F2ED09" w14:textId="3A5C8B0D" w:rsidR="00BE5257" w:rsidRPr="00F944D7" w:rsidRDefault="00BE5257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Speciālista loma</w:t>
            </w:r>
          </w:p>
          <w:p w14:paraId="0B4F578E" w14:textId="0DC53B8D" w:rsidR="00CC64C1" w:rsidRPr="00F944D7" w:rsidRDefault="00CC64C1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ISO: 9001</w:t>
            </w:r>
            <w:r w:rsidR="00005E4A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:2015</w:t>
            </w:r>
            <w:r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45001</w:t>
            </w:r>
            <w:r w:rsidR="00005E4A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:2018</w:t>
            </w:r>
            <w:r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vai 50001</w:t>
            </w:r>
            <w:r w:rsidR="00005E4A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:2018</w:t>
            </w:r>
          </w:p>
          <w:p w14:paraId="4B0D2358" w14:textId="0927DE40" w:rsidR="00A171A5" w:rsidRPr="00F944D7" w:rsidRDefault="00A171A5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norādiet auditorus (tai skaitā vadošo)</w:t>
            </w:r>
            <w:r w:rsidR="00A25B8D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kuri būs piesaistīti pakalpojuma sniegšanā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6CE8400F" w14:textId="77777777" w:rsidR="00BE5257" w:rsidRPr="00F944D7" w:rsidRDefault="00BE5257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  <w:p w14:paraId="5211D410" w14:textId="7002DE65" w:rsidR="00A25B8D" w:rsidRPr="00F944D7" w:rsidRDefault="00A25B8D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norādiet auditorus (tai skaitā vadošo), kuri būs piesaistīti pakalpojuma sniegšanā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110155A3" w14:textId="5EE8C36F" w:rsidR="00BE5257" w:rsidRPr="00F944D7" w:rsidRDefault="00BE5257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/>
                <w:sz w:val="24"/>
                <w:szCs w:val="24"/>
              </w:rPr>
              <w:t>Pieredze</w:t>
            </w:r>
          </w:p>
          <w:p w14:paraId="7B3F104C" w14:textId="1BD53F44" w:rsidR="00BE5257" w:rsidRPr="00F944D7" w:rsidRDefault="00513FE1" w:rsidP="00A054EF">
            <w:pPr>
              <w:spacing w:after="120" w:line="324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auditora </w:t>
            </w:r>
            <w:r w:rsidR="003A1688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pieredzes apraksts </w:t>
            </w:r>
            <w:r w:rsidR="00CC64C1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sertifikācijas ISO: 9001, 45001 vai 50001 jomā </w:t>
            </w:r>
            <w:r w:rsidR="00BE5257" w:rsidRPr="00F944D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E5257" w:rsidRPr="00F944D7" w14:paraId="7C6DC8D3" w14:textId="77777777" w:rsidTr="002B4823">
        <w:tc>
          <w:tcPr>
            <w:tcW w:w="3114" w:type="dxa"/>
          </w:tcPr>
          <w:p w14:paraId="563E369A" w14:textId="242C511C" w:rsidR="00BE5257" w:rsidRPr="00F944D7" w:rsidRDefault="00BE5257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C18378" w14:textId="77777777" w:rsidR="00BE5257" w:rsidRPr="00F944D7" w:rsidRDefault="00BE5257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DD5E0C" w14:textId="77777777" w:rsidR="00BE5257" w:rsidRPr="00F944D7" w:rsidRDefault="00BE5257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257" w:rsidRPr="00F944D7" w14:paraId="0F0117A0" w14:textId="77777777" w:rsidTr="002B4823">
        <w:tc>
          <w:tcPr>
            <w:tcW w:w="3114" w:type="dxa"/>
          </w:tcPr>
          <w:p w14:paraId="1ABE3805" w14:textId="77777777" w:rsidR="00BE5257" w:rsidRPr="00F944D7" w:rsidRDefault="00BE5257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77EAEA" w14:textId="77777777" w:rsidR="00BE5257" w:rsidRPr="00F944D7" w:rsidRDefault="00BE5257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7BD758" w14:textId="77777777" w:rsidR="00BE5257" w:rsidRPr="00F944D7" w:rsidRDefault="00BE5257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44F" w:rsidRPr="00F944D7" w14:paraId="3F08D9BB" w14:textId="77777777" w:rsidTr="002B4823">
        <w:tc>
          <w:tcPr>
            <w:tcW w:w="3114" w:type="dxa"/>
          </w:tcPr>
          <w:p w14:paraId="46F77CCA" w14:textId="77777777" w:rsidR="005B344F" w:rsidRPr="00F944D7" w:rsidRDefault="005B344F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7B38DC" w14:textId="77777777" w:rsidR="005B344F" w:rsidRPr="00F944D7" w:rsidRDefault="005B344F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4123D7" w14:textId="77777777" w:rsidR="005B344F" w:rsidRPr="00F944D7" w:rsidRDefault="005B344F" w:rsidP="00A054EF">
            <w:pPr>
              <w:spacing w:before="120" w:after="12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C8A993" w14:textId="77777777" w:rsidR="000F6885" w:rsidRPr="00F944D7" w:rsidRDefault="000F6885" w:rsidP="00A054EF">
      <w:pPr>
        <w:spacing w:before="240" w:after="120" w:line="324" w:lineRule="auto"/>
        <w:ind w:left="357"/>
        <w:rPr>
          <w:rFonts w:ascii="Times New Roman" w:hAnsi="Times New Roman" w:cs="Times New Roman"/>
          <w:b/>
          <w:sz w:val="24"/>
          <w:szCs w:val="24"/>
        </w:rPr>
        <w:sectPr w:rsidR="000F6885" w:rsidRPr="00F944D7" w:rsidSect="002737BF"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3FE385" w14:textId="0D8BCB03" w:rsidR="009C1A77" w:rsidRPr="00F944D7" w:rsidRDefault="009C1A77" w:rsidP="00A054EF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944D7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29E6F4D0" w14:textId="2AF8CA33" w:rsidR="00325EB5" w:rsidRPr="00F944D7" w:rsidRDefault="006428F9" w:rsidP="00A054EF">
      <w:pPr>
        <w:pStyle w:val="ListBullet4"/>
        <w:numPr>
          <w:ilvl w:val="0"/>
          <w:numId w:val="0"/>
        </w:numPr>
        <w:spacing w:line="324" w:lineRule="auto"/>
        <w:rPr>
          <w:szCs w:val="24"/>
        </w:rPr>
      </w:pPr>
      <w:r w:rsidRPr="00F944D7">
        <w:rPr>
          <w:b/>
          <w:bCs/>
          <w:szCs w:val="24"/>
        </w:rPr>
        <w:t>4.1.</w:t>
      </w:r>
      <w:r w:rsidR="00325EB5" w:rsidRPr="00F944D7">
        <w:rPr>
          <w:szCs w:val="24"/>
        </w:rPr>
        <w:t> </w:t>
      </w:r>
      <w:r w:rsidR="004E0FFE" w:rsidRPr="00F944D7">
        <w:rPr>
          <w:szCs w:val="24"/>
        </w:rPr>
        <w:t>Piedāvājum</w:t>
      </w:r>
      <w:r w:rsidR="00005E4A" w:rsidRPr="00F944D7">
        <w:rPr>
          <w:szCs w:val="24"/>
        </w:rPr>
        <w:t>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F6885" w:rsidRPr="00F944D7" w14:paraId="37117570" w14:textId="6458789D" w:rsidTr="00A054EF">
        <w:tc>
          <w:tcPr>
            <w:tcW w:w="1000" w:type="pct"/>
            <w:vAlign w:val="center"/>
          </w:tcPr>
          <w:p w14:paraId="226775EA" w14:textId="77777777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762350B8" w14:textId="66AEDFBF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  <w:r w:rsidRPr="00F944D7">
              <w:rPr>
                <w:szCs w:val="24"/>
              </w:rPr>
              <w:t xml:space="preserve">Cena </w:t>
            </w:r>
            <w:proofErr w:type="spellStart"/>
            <w:r w:rsidRPr="00F944D7">
              <w:rPr>
                <w:i/>
                <w:iCs/>
                <w:szCs w:val="24"/>
              </w:rPr>
              <w:t>euro</w:t>
            </w:r>
            <w:proofErr w:type="spellEnd"/>
            <w:r w:rsidRPr="00F944D7">
              <w:rPr>
                <w:szCs w:val="24"/>
              </w:rPr>
              <w:t xml:space="preserve"> bez PVN par </w:t>
            </w:r>
            <w:proofErr w:type="spellStart"/>
            <w:r w:rsidRPr="00F944D7">
              <w:rPr>
                <w:szCs w:val="24"/>
              </w:rPr>
              <w:t>pārsertifikācijas</w:t>
            </w:r>
            <w:proofErr w:type="spellEnd"/>
            <w:r w:rsidRPr="00F944D7">
              <w:rPr>
                <w:szCs w:val="24"/>
              </w:rPr>
              <w:t xml:space="preserve"> auditu (</w:t>
            </w:r>
            <w:proofErr w:type="spellStart"/>
            <w:r w:rsidRPr="00F944D7">
              <w:rPr>
                <w:szCs w:val="24"/>
              </w:rPr>
              <w:t>pārsertifikācijas</w:t>
            </w:r>
            <w:proofErr w:type="spellEnd"/>
            <w:r w:rsidRPr="00F944D7">
              <w:rPr>
                <w:szCs w:val="24"/>
              </w:rPr>
              <w:t xml:space="preserve"> sertifikāta derīguma termiņš vismaz 3 gadi)</w:t>
            </w:r>
          </w:p>
        </w:tc>
        <w:tc>
          <w:tcPr>
            <w:tcW w:w="1000" w:type="pct"/>
            <w:vAlign w:val="center"/>
          </w:tcPr>
          <w:p w14:paraId="43DCA452" w14:textId="10F2E815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  <w:r w:rsidRPr="00F944D7">
              <w:rPr>
                <w:szCs w:val="24"/>
              </w:rPr>
              <w:t xml:space="preserve">Cena </w:t>
            </w:r>
            <w:proofErr w:type="spellStart"/>
            <w:r w:rsidRPr="00F944D7">
              <w:rPr>
                <w:i/>
                <w:iCs/>
                <w:szCs w:val="24"/>
              </w:rPr>
              <w:t>euro</w:t>
            </w:r>
            <w:proofErr w:type="spellEnd"/>
            <w:r w:rsidRPr="00F944D7">
              <w:rPr>
                <w:szCs w:val="24"/>
              </w:rPr>
              <w:t xml:space="preserve"> bez PVN par </w:t>
            </w:r>
            <w:r w:rsidRPr="00F944D7">
              <w:rPr>
                <w:szCs w:val="24"/>
              </w:rPr>
              <w:t>uzraudzības</w:t>
            </w:r>
            <w:r w:rsidRPr="00F944D7">
              <w:rPr>
                <w:szCs w:val="24"/>
              </w:rPr>
              <w:t xml:space="preserve"> audit</w:t>
            </w:r>
            <w:r w:rsidRPr="00F944D7">
              <w:rPr>
                <w:szCs w:val="24"/>
              </w:rPr>
              <w:t>u 2. sertifikācijas gadam</w:t>
            </w:r>
          </w:p>
        </w:tc>
        <w:tc>
          <w:tcPr>
            <w:tcW w:w="1000" w:type="pct"/>
            <w:vAlign w:val="center"/>
          </w:tcPr>
          <w:p w14:paraId="0298B2D6" w14:textId="7AA9BD7D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  <w:r w:rsidRPr="00F944D7">
              <w:rPr>
                <w:szCs w:val="24"/>
              </w:rPr>
              <w:t xml:space="preserve">Cena </w:t>
            </w:r>
            <w:proofErr w:type="spellStart"/>
            <w:r w:rsidRPr="00F944D7">
              <w:rPr>
                <w:i/>
                <w:iCs/>
                <w:szCs w:val="24"/>
              </w:rPr>
              <w:t>euro</w:t>
            </w:r>
            <w:proofErr w:type="spellEnd"/>
            <w:r w:rsidRPr="00F944D7">
              <w:rPr>
                <w:szCs w:val="24"/>
              </w:rPr>
              <w:t xml:space="preserve"> bez PVN par uzraudzības auditu 2. sertifikācijas gadam</w:t>
            </w:r>
          </w:p>
        </w:tc>
        <w:tc>
          <w:tcPr>
            <w:tcW w:w="1000" w:type="pct"/>
            <w:vAlign w:val="center"/>
          </w:tcPr>
          <w:p w14:paraId="3118162C" w14:textId="05B76E5E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  <w:r w:rsidRPr="00F944D7">
              <w:rPr>
                <w:szCs w:val="24"/>
              </w:rPr>
              <w:t xml:space="preserve">Cena </w:t>
            </w:r>
            <w:proofErr w:type="spellStart"/>
            <w:r w:rsidRPr="00F944D7">
              <w:rPr>
                <w:i/>
                <w:iCs/>
                <w:szCs w:val="24"/>
              </w:rPr>
              <w:t>euro</w:t>
            </w:r>
            <w:proofErr w:type="spellEnd"/>
            <w:r w:rsidR="00A054EF" w:rsidRPr="00F944D7">
              <w:rPr>
                <w:szCs w:val="24"/>
              </w:rPr>
              <w:t xml:space="preserve"> bez PVN</w:t>
            </w:r>
            <w:r w:rsidRPr="00F944D7">
              <w:rPr>
                <w:szCs w:val="24"/>
              </w:rPr>
              <w:t xml:space="preserve"> kopā</w:t>
            </w:r>
          </w:p>
        </w:tc>
      </w:tr>
      <w:tr w:rsidR="000F6885" w:rsidRPr="00F944D7" w14:paraId="63E8EB55" w14:textId="30429742" w:rsidTr="002E03FC">
        <w:tc>
          <w:tcPr>
            <w:tcW w:w="1000" w:type="pct"/>
            <w:vAlign w:val="center"/>
          </w:tcPr>
          <w:p w14:paraId="33D31E49" w14:textId="1EFB5EA5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  <w:r w:rsidRPr="00F944D7">
              <w:rPr>
                <w:szCs w:val="24"/>
              </w:rPr>
              <w:t>kvalitātes vadības sistēmas atbilstīb</w:t>
            </w:r>
            <w:r w:rsidRPr="00F944D7">
              <w:rPr>
                <w:szCs w:val="24"/>
              </w:rPr>
              <w:t>a</w:t>
            </w:r>
            <w:r w:rsidRPr="00F944D7">
              <w:rPr>
                <w:szCs w:val="24"/>
              </w:rPr>
              <w:t xml:space="preserve"> ISO 9001:2015</w:t>
            </w:r>
            <w:r w:rsidRPr="00F944D7">
              <w:rPr>
                <w:szCs w:val="24"/>
              </w:rPr>
              <w:t xml:space="preserve"> </w:t>
            </w:r>
            <w:r w:rsidRPr="00F944D7">
              <w:rPr>
                <w:szCs w:val="24"/>
              </w:rPr>
              <w:t>standartam</w:t>
            </w:r>
          </w:p>
        </w:tc>
        <w:tc>
          <w:tcPr>
            <w:tcW w:w="1000" w:type="pct"/>
            <w:vAlign w:val="center"/>
          </w:tcPr>
          <w:p w14:paraId="453DA3C5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8C0A0D1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40E6737A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05B18EDB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</w:tr>
      <w:tr w:rsidR="000F6885" w:rsidRPr="00F944D7" w14:paraId="5A3933E6" w14:textId="3BA5D4B7" w:rsidTr="002E03FC">
        <w:tc>
          <w:tcPr>
            <w:tcW w:w="1000" w:type="pct"/>
            <w:vAlign w:val="center"/>
          </w:tcPr>
          <w:p w14:paraId="7998F7D0" w14:textId="4D125751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  <w:r w:rsidRPr="00F944D7">
              <w:rPr>
                <w:szCs w:val="24"/>
              </w:rPr>
              <w:t>arodveselības un darba drošības pārvaldības sistēmas atbilstīb</w:t>
            </w:r>
            <w:r w:rsidRPr="00F944D7">
              <w:rPr>
                <w:szCs w:val="24"/>
              </w:rPr>
              <w:t>a</w:t>
            </w:r>
            <w:r w:rsidRPr="00F944D7">
              <w:rPr>
                <w:szCs w:val="24"/>
              </w:rPr>
              <w:t xml:space="preserve"> ISO 45001:2018</w:t>
            </w:r>
            <w:r w:rsidRPr="00F944D7">
              <w:rPr>
                <w:szCs w:val="24"/>
              </w:rPr>
              <w:t xml:space="preserve"> </w:t>
            </w:r>
            <w:r w:rsidRPr="00F944D7">
              <w:rPr>
                <w:szCs w:val="24"/>
              </w:rPr>
              <w:t>standartam</w:t>
            </w:r>
          </w:p>
        </w:tc>
        <w:tc>
          <w:tcPr>
            <w:tcW w:w="1000" w:type="pct"/>
            <w:vAlign w:val="center"/>
          </w:tcPr>
          <w:p w14:paraId="7C67E1E4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851E76F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9284DB0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63DE4440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szCs w:val="24"/>
              </w:rPr>
            </w:pPr>
          </w:p>
        </w:tc>
      </w:tr>
      <w:tr w:rsidR="000F6885" w:rsidRPr="00F944D7" w14:paraId="2DDA06D5" w14:textId="02055EC8" w:rsidTr="002E03FC">
        <w:tc>
          <w:tcPr>
            <w:tcW w:w="1000" w:type="pct"/>
          </w:tcPr>
          <w:p w14:paraId="5F88EC06" w14:textId="5540A058" w:rsidR="000F6885" w:rsidRPr="00F944D7" w:rsidRDefault="000F6885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rPr>
                <w:szCs w:val="24"/>
              </w:rPr>
            </w:pPr>
            <w:proofErr w:type="spellStart"/>
            <w:r w:rsidRPr="00F944D7">
              <w:rPr>
                <w:szCs w:val="24"/>
              </w:rPr>
              <w:t>energopārvaldības</w:t>
            </w:r>
            <w:proofErr w:type="spellEnd"/>
            <w:r w:rsidRPr="00F944D7">
              <w:rPr>
                <w:szCs w:val="24"/>
              </w:rPr>
              <w:t xml:space="preserve"> sistēmas atbilstīb</w:t>
            </w:r>
            <w:r w:rsidRPr="00F944D7">
              <w:rPr>
                <w:szCs w:val="24"/>
              </w:rPr>
              <w:t>a</w:t>
            </w:r>
            <w:r w:rsidRPr="00F944D7">
              <w:rPr>
                <w:szCs w:val="24"/>
              </w:rPr>
              <w:t xml:space="preserve"> ISO 50001:2018</w:t>
            </w:r>
            <w:r w:rsidRPr="00F944D7">
              <w:rPr>
                <w:szCs w:val="24"/>
              </w:rPr>
              <w:t xml:space="preserve"> </w:t>
            </w:r>
            <w:r w:rsidRPr="00F944D7">
              <w:rPr>
                <w:szCs w:val="24"/>
              </w:rPr>
              <w:t>standarta</w:t>
            </w:r>
            <w:r w:rsidRPr="00F944D7">
              <w:rPr>
                <w:szCs w:val="24"/>
              </w:rPr>
              <w:t>m</w:t>
            </w:r>
          </w:p>
        </w:tc>
        <w:tc>
          <w:tcPr>
            <w:tcW w:w="1000" w:type="pct"/>
            <w:vAlign w:val="center"/>
          </w:tcPr>
          <w:p w14:paraId="22D38A7B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8746488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44172B3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2311D4C2" w14:textId="77777777" w:rsidR="000F6885" w:rsidRPr="00F944D7" w:rsidRDefault="000F6885" w:rsidP="002E03FC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A054EF" w:rsidRPr="00F944D7" w14:paraId="5C763A8C" w14:textId="329855BC" w:rsidTr="00A054EF">
        <w:tc>
          <w:tcPr>
            <w:tcW w:w="4000" w:type="pct"/>
            <w:gridSpan w:val="4"/>
            <w:vAlign w:val="center"/>
          </w:tcPr>
          <w:p w14:paraId="5EE042F9" w14:textId="6201498F" w:rsidR="00A054EF" w:rsidRPr="00F944D7" w:rsidRDefault="00A054EF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jc w:val="right"/>
              <w:rPr>
                <w:b/>
                <w:bCs/>
                <w:szCs w:val="24"/>
              </w:rPr>
            </w:pPr>
            <w:r w:rsidRPr="00F944D7">
              <w:rPr>
                <w:b/>
                <w:bCs/>
                <w:szCs w:val="24"/>
              </w:rPr>
              <w:t xml:space="preserve">Cena </w:t>
            </w:r>
            <w:proofErr w:type="spellStart"/>
            <w:r w:rsidRPr="00F944D7">
              <w:rPr>
                <w:b/>
                <w:bCs/>
                <w:i/>
                <w:iCs/>
                <w:szCs w:val="24"/>
              </w:rPr>
              <w:t>euro</w:t>
            </w:r>
            <w:proofErr w:type="spellEnd"/>
            <w:r w:rsidRPr="00F944D7">
              <w:rPr>
                <w:b/>
                <w:bCs/>
                <w:szCs w:val="24"/>
              </w:rPr>
              <w:t xml:space="preserve"> bez PVN kopā</w:t>
            </w:r>
            <w:r w:rsidRPr="00F944D7">
              <w:rPr>
                <w:b/>
                <w:bCs/>
                <w:szCs w:val="24"/>
              </w:rPr>
              <w:t>:</w:t>
            </w:r>
          </w:p>
        </w:tc>
        <w:tc>
          <w:tcPr>
            <w:tcW w:w="1000" w:type="pct"/>
          </w:tcPr>
          <w:p w14:paraId="191DD8AD" w14:textId="77777777" w:rsidR="00A054EF" w:rsidRPr="00F944D7" w:rsidRDefault="00A054EF" w:rsidP="00A054EF">
            <w:pPr>
              <w:pStyle w:val="ListBullet4"/>
              <w:numPr>
                <w:ilvl w:val="0"/>
                <w:numId w:val="0"/>
              </w:numPr>
              <w:spacing w:before="0" w:after="0" w:line="324" w:lineRule="auto"/>
              <w:rPr>
                <w:b/>
                <w:bCs/>
                <w:szCs w:val="24"/>
              </w:rPr>
            </w:pPr>
          </w:p>
        </w:tc>
      </w:tr>
    </w:tbl>
    <w:p w14:paraId="133C3E79" w14:textId="60406AEB" w:rsidR="00005E4A" w:rsidRPr="00F944D7" w:rsidRDefault="00005E4A" w:rsidP="00A054EF">
      <w:pPr>
        <w:pStyle w:val="ListBullet4"/>
        <w:numPr>
          <w:ilvl w:val="0"/>
          <w:numId w:val="0"/>
        </w:numPr>
        <w:spacing w:line="324" w:lineRule="auto"/>
        <w:rPr>
          <w:b/>
          <w:bCs/>
          <w:szCs w:val="24"/>
        </w:rPr>
      </w:pPr>
      <w:bookmarkStart w:id="0" w:name="_GoBack"/>
      <w:bookmarkEnd w:id="0"/>
    </w:p>
    <w:p w14:paraId="2252ACEA" w14:textId="149EDAB4" w:rsidR="00745338" w:rsidRPr="00F944D7" w:rsidRDefault="00745338" w:rsidP="00F944D7">
      <w:pPr>
        <w:pStyle w:val="ListBullet4"/>
        <w:numPr>
          <w:ilvl w:val="0"/>
          <w:numId w:val="0"/>
        </w:numPr>
        <w:spacing w:before="0" w:after="0" w:line="324" w:lineRule="auto"/>
        <w:ind w:firstLine="720"/>
        <w:rPr>
          <w:szCs w:val="24"/>
        </w:rPr>
      </w:pPr>
      <w:r w:rsidRPr="00F944D7">
        <w:rPr>
          <w:szCs w:val="24"/>
        </w:rPr>
        <w:t xml:space="preserve">Cena par triju gadu </w:t>
      </w:r>
      <w:r w:rsidR="00292EA9" w:rsidRPr="00F944D7">
        <w:rPr>
          <w:szCs w:val="24"/>
        </w:rPr>
        <w:t xml:space="preserve">periodu ir sniedzama daļās, lai ievērotu Tehniskās specifikācijas nosacījumus par </w:t>
      </w:r>
      <w:proofErr w:type="spellStart"/>
      <w:r w:rsidR="00292EA9" w:rsidRPr="00F944D7">
        <w:rPr>
          <w:szCs w:val="24"/>
        </w:rPr>
        <w:t>energopārvaldības</w:t>
      </w:r>
      <w:proofErr w:type="spellEnd"/>
      <w:r w:rsidR="00292EA9" w:rsidRPr="00F944D7">
        <w:rPr>
          <w:szCs w:val="24"/>
        </w:rPr>
        <w:t xml:space="preserve"> sistēmas atbilstība</w:t>
      </w:r>
      <w:r w:rsidR="00292EA9" w:rsidRPr="00F944D7">
        <w:rPr>
          <w:szCs w:val="24"/>
        </w:rPr>
        <w:t>s</w:t>
      </w:r>
      <w:r w:rsidR="00292EA9" w:rsidRPr="00F944D7">
        <w:rPr>
          <w:szCs w:val="24"/>
        </w:rPr>
        <w:t xml:space="preserve"> ISO 50001:2018 standartam</w:t>
      </w:r>
      <w:r w:rsidR="00292EA9" w:rsidRPr="00F944D7">
        <w:rPr>
          <w:szCs w:val="24"/>
        </w:rPr>
        <w:t xml:space="preserve"> </w:t>
      </w:r>
      <w:r w:rsidR="00EE7EC4" w:rsidRPr="00F944D7">
        <w:rPr>
          <w:szCs w:val="24"/>
        </w:rPr>
        <w:t>uzraudzības</w:t>
      </w:r>
      <w:r w:rsidR="00292EA9" w:rsidRPr="00F944D7">
        <w:rPr>
          <w:szCs w:val="24"/>
        </w:rPr>
        <w:t xml:space="preserve"> auditu veikšanu no 2024. gada oktobra līdz 2025. ga</w:t>
      </w:r>
      <w:r w:rsidR="00EE7EC4" w:rsidRPr="00F944D7">
        <w:rPr>
          <w:szCs w:val="24"/>
        </w:rPr>
        <w:t>da oktobrim.</w:t>
      </w:r>
    </w:p>
    <w:p w14:paraId="081C04DB" w14:textId="77777777" w:rsidR="00EE7EC4" w:rsidRPr="00F944D7" w:rsidRDefault="00EE7EC4" w:rsidP="00EE7EC4">
      <w:pPr>
        <w:pStyle w:val="ListBullet4"/>
        <w:numPr>
          <w:ilvl w:val="0"/>
          <w:numId w:val="0"/>
        </w:numPr>
        <w:spacing w:before="0" w:after="0" w:line="324" w:lineRule="auto"/>
        <w:rPr>
          <w:szCs w:val="24"/>
        </w:rPr>
        <w:sectPr w:rsidR="00EE7EC4" w:rsidRPr="00F944D7" w:rsidSect="000F6885">
          <w:type w:val="evenPage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438AEE" w14:textId="16E47AD6" w:rsidR="00164B6F" w:rsidRPr="00F944D7" w:rsidRDefault="00E5140B" w:rsidP="00A054EF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44D7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4E0FFE" w:rsidRPr="00F944D7">
        <w:rPr>
          <w:rFonts w:ascii="Times New Roman" w:hAnsi="Times New Roman"/>
          <w:b/>
          <w:bCs/>
          <w:sz w:val="24"/>
          <w:szCs w:val="24"/>
        </w:rPr>
        <w:t>2</w:t>
      </w:r>
      <w:r w:rsidR="00FB7B59" w:rsidRPr="00F944D7">
        <w:rPr>
          <w:rFonts w:ascii="Times New Roman" w:hAnsi="Times New Roman"/>
          <w:b/>
          <w:bCs/>
          <w:sz w:val="24"/>
          <w:szCs w:val="24"/>
        </w:rPr>
        <w:t>.</w:t>
      </w:r>
      <w:r w:rsidR="00325EB5" w:rsidRPr="00F944D7">
        <w:rPr>
          <w:rFonts w:ascii="Times New Roman" w:hAnsi="Times New Roman"/>
          <w:b/>
          <w:bCs/>
          <w:sz w:val="24"/>
          <w:szCs w:val="24"/>
        </w:rPr>
        <w:t> </w:t>
      </w:r>
      <w:r w:rsidRPr="00F944D7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F944D7" w14:paraId="227D3CF5" w14:textId="77777777" w:rsidTr="00E5140B">
        <w:tc>
          <w:tcPr>
            <w:tcW w:w="9344" w:type="dxa"/>
          </w:tcPr>
          <w:p w14:paraId="77B2D408" w14:textId="23774028" w:rsidR="00E5140B" w:rsidRPr="00F944D7" w:rsidRDefault="00E5140B" w:rsidP="00A054EF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1" w:name="_Hlk51085782"/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kāda būtu </w:t>
            </w:r>
            <w:r w:rsidR="007206B9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>ieteicamā maksāšanas kārtība līguma ietvaros, ņemot vērā to, ka priekšapmaksa nav iespējama.</w:t>
            </w:r>
          </w:p>
        </w:tc>
      </w:tr>
    </w:tbl>
    <w:bookmarkEnd w:id="1"/>
    <w:p w14:paraId="2765EB01" w14:textId="4F0F19DE" w:rsidR="0034716F" w:rsidRPr="00F944D7" w:rsidRDefault="0034716F" w:rsidP="00A054EF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F944D7">
        <w:rPr>
          <w:rFonts w:ascii="Times New Roman" w:hAnsi="Times New Roman"/>
          <w:b/>
          <w:bCs/>
          <w:sz w:val="24"/>
          <w:szCs w:val="24"/>
        </w:rPr>
        <w:t>4.</w:t>
      </w:r>
      <w:r w:rsidR="004E0FFE" w:rsidRPr="00F944D7">
        <w:rPr>
          <w:rFonts w:ascii="Times New Roman" w:hAnsi="Times New Roman"/>
          <w:b/>
          <w:bCs/>
          <w:sz w:val="24"/>
          <w:szCs w:val="24"/>
        </w:rPr>
        <w:t>3</w:t>
      </w:r>
      <w:r w:rsidRPr="00F944D7">
        <w:rPr>
          <w:rFonts w:ascii="Times New Roman" w:hAnsi="Times New Roman"/>
          <w:b/>
          <w:bCs/>
          <w:sz w:val="24"/>
          <w:szCs w:val="24"/>
        </w:rPr>
        <w:t>.</w:t>
      </w:r>
      <w:r w:rsidR="00325EB5" w:rsidRPr="00F944D7">
        <w:rPr>
          <w:rFonts w:ascii="Times New Roman" w:hAnsi="Times New Roman"/>
          <w:b/>
          <w:bCs/>
          <w:sz w:val="24"/>
          <w:szCs w:val="24"/>
        </w:rPr>
        <w:t> </w:t>
      </w:r>
      <w:r w:rsidRPr="00F944D7">
        <w:rPr>
          <w:rFonts w:ascii="Times New Roman" w:hAnsi="Times New Roman"/>
          <w:sz w:val="24"/>
          <w:szCs w:val="24"/>
        </w:rPr>
        <w:t>Citi nosacījumi</w:t>
      </w:r>
      <w:r w:rsidR="007E65B1" w:rsidRPr="00F944D7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F944D7" w14:paraId="15FDBB60" w14:textId="77777777" w:rsidTr="009A51C4">
        <w:tc>
          <w:tcPr>
            <w:tcW w:w="9344" w:type="dxa"/>
          </w:tcPr>
          <w:p w14:paraId="4B083C4A" w14:textId="30E4F142" w:rsidR="002349AC" w:rsidRPr="00F944D7" w:rsidRDefault="002349AC" w:rsidP="00A054EF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un garantijas termiņ</w:t>
            </w:r>
            <w:r w:rsidR="00694BA2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="00776A36" w:rsidRPr="00F944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spēkā.</w:t>
            </w:r>
          </w:p>
        </w:tc>
      </w:tr>
    </w:tbl>
    <w:p w14:paraId="09680278" w14:textId="77777777" w:rsidR="002349AC" w:rsidRPr="00F944D7" w:rsidRDefault="002349AC" w:rsidP="00A054EF">
      <w:pPr>
        <w:pStyle w:val="NoSpacing"/>
        <w:tabs>
          <w:tab w:val="left" w:pos="851"/>
        </w:tabs>
        <w:spacing w:after="120"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F944D7" w:rsidSect="00EE7EC4"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4FCA" w14:textId="77777777" w:rsidR="00FC7E5B" w:rsidRDefault="00FC7E5B" w:rsidP="00F150DE">
      <w:pPr>
        <w:spacing w:after="0" w:line="240" w:lineRule="auto"/>
      </w:pPr>
      <w:r>
        <w:separator/>
      </w:r>
    </w:p>
  </w:endnote>
  <w:endnote w:type="continuationSeparator" w:id="0">
    <w:p w14:paraId="1C7343DE" w14:textId="77777777" w:rsidR="00FC7E5B" w:rsidRDefault="00FC7E5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AF151" w14:textId="1B46B5C7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BB515" w14:textId="77777777" w:rsidR="00FC7E5B" w:rsidRDefault="00FC7E5B" w:rsidP="00F150DE">
      <w:pPr>
        <w:spacing w:after="0" w:line="240" w:lineRule="auto"/>
      </w:pPr>
      <w:r>
        <w:separator/>
      </w:r>
    </w:p>
  </w:footnote>
  <w:footnote w:type="continuationSeparator" w:id="0">
    <w:p w14:paraId="435781E3" w14:textId="77777777" w:rsidR="00FC7E5B" w:rsidRDefault="00FC7E5B" w:rsidP="00F150DE">
      <w:pPr>
        <w:spacing w:after="0" w:line="240" w:lineRule="auto"/>
      </w:pPr>
      <w:r>
        <w:continuationSeparator/>
      </w:r>
    </w:p>
  </w:footnote>
  <w:footnote w:id="1">
    <w:p w14:paraId="26EF79A5" w14:textId="668E2651" w:rsidR="00BE5257" w:rsidRDefault="00BE5257" w:rsidP="00BE5257">
      <w:pPr>
        <w:pStyle w:val="FootnoteText"/>
      </w:pPr>
      <w:r>
        <w:rPr>
          <w:rStyle w:val="FootnoteReference"/>
        </w:rPr>
        <w:footnoteRef/>
      </w:r>
      <w:r w:rsidR="003125B0">
        <w:t xml:space="preserve"> Pieļaujams </w:t>
      </w:r>
      <w:r w:rsidRPr="0032501E">
        <w:t>iesniegt speciālist</w:t>
      </w:r>
      <w:r w:rsidR="003125B0">
        <w:t>u</w:t>
      </w:r>
      <w:r w:rsidRPr="0032501E">
        <w:t xml:space="preserve"> pieredzes aprakstu arī cit</w:t>
      </w:r>
      <w:r w:rsidR="003125B0">
        <w:t>os</w:t>
      </w:r>
      <w:r w:rsidRPr="0032501E">
        <w:t xml:space="preserve"> formā</w:t>
      </w:r>
      <w:r w:rsidR="003125B0">
        <w:t>tos</w:t>
      </w:r>
      <w:r w:rsidRPr="0032501E">
        <w:t xml:space="preserve"> </w:t>
      </w:r>
      <w:r w:rsidR="003125B0">
        <w:t>(piemēram,</w:t>
      </w:r>
      <w:r w:rsidRPr="0032501E">
        <w:t xml:space="preserve"> </w:t>
      </w:r>
      <w:r w:rsidR="003125B0">
        <w:t xml:space="preserve">dzīves apraksta </w:t>
      </w:r>
      <w:r w:rsidRPr="003125B0">
        <w:rPr>
          <w:i/>
          <w:iCs/>
        </w:rPr>
        <w:t>CV</w:t>
      </w:r>
      <w:r w:rsidR="003125B0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5E4A"/>
    <w:rsid w:val="000203D2"/>
    <w:rsid w:val="00025D4F"/>
    <w:rsid w:val="00030658"/>
    <w:rsid w:val="00030EA2"/>
    <w:rsid w:val="00041D33"/>
    <w:rsid w:val="00042AF4"/>
    <w:rsid w:val="00054FD1"/>
    <w:rsid w:val="00056DCB"/>
    <w:rsid w:val="0006491A"/>
    <w:rsid w:val="000717BE"/>
    <w:rsid w:val="000775F9"/>
    <w:rsid w:val="000B553F"/>
    <w:rsid w:val="000D3FF9"/>
    <w:rsid w:val="000D6905"/>
    <w:rsid w:val="000E5063"/>
    <w:rsid w:val="000F6885"/>
    <w:rsid w:val="000F77F6"/>
    <w:rsid w:val="001022FE"/>
    <w:rsid w:val="00104C9C"/>
    <w:rsid w:val="00121FEF"/>
    <w:rsid w:val="00124654"/>
    <w:rsid w:val="00126057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6E7E"/>
    <w:rsid w:val="00193462"/>
    <w:rsid w:val="001968E8"/>
    <w:rsid w:val="001C11AE"/>
    <w:rsid w:val="001C128D"/>
    <w:rsid w:val="001C4B33"/>
    <w:rsid w:val="001D189D"/>
    <w:rsid w:val="001F26C1"/>
    <w:rsid w:val="001F78E6"/>
    <w:rsid w:val="00204279"/>
    <w:rsid w:val="0021169C"/>
    <w:rsid w:val="0022597B"/>
    <w:rsid w:val="002349AC"/>
    <w:rsid w:val="00242C18"/>
    <w:rsid w:val="002566BF"/>
    <w:rsid w:val="002569DE"/>
    <w:rsid w:val="00263111"/>
    <w:rsid w:val="002737BF"/>
    <w:rsid w:val="002929C3"/>
    <w:rsid w:val="00292EA9"/>
    <w:rsid w:val="00293CBD"/>
    <w:rsid w:val="002A2F09"/>
    <w:rsid w:val="002C0B41"/>
    <w:rsid w:val="002D7C30"/>
    <w:rsid w:val="002E03FC"/>
    <w:rsid w:val="00300EC9"/>
    <w:rsid w:val="00301433"/>
    <w:rsid w:val="0030160E"/>
    <w:rsid w:val="00302AC0"/>
    <w:rsid w:val="00306A98"/>
    <w:rsid w:val="003125B0"/>
    <w:rsid w:val="00313CC7"/>
    <w:rsid w:val="00315535"/>
    <w:rsid w:val="003207A6"/>
    <w:rsid w:val="00325EB5"/>
    <w:rsid w:val="0033227E"/>
    <w:rsid w:val="00335110"/>
    <w:rsid w:val="003427D3"/>
    <w:rsid w:val="0034716F"/>
    <w:rsid w:val="00347DD6"/>
    <w:rsid w:val="00354FBB"/>
    <w:rsid w:val="00363366"/>
    <w:rsid w:val="00366A82"/>
    <w:rsid w:val="00367BDA"/>
    <w:rsid w:val="00371E54"/>
    <w:rsid w:val="003740A4"/>
    <w:rsid w:val="00391F08"/>
    <w:rsid w:val="00395EF3"/>
    <w:rsid w:val="00396BED"/>
    <w:rsid w:val="003A1688"/>
    <w:rsid w:val="003A1932"/>
    <w:rsid w:val="003B4A03"/>
    <w:rsid w:val="003D555A"/>
    <w:rsid w:val="003E5A87"/>
    <w:rsid w:val="003F365A"/>
    <w:rsid w:val="003F69FB"/>
    <w:rsid w:val="0040777D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6B6B"/>
    <w:rsid w:val="0047108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E0FFE"/>
    <w:rsid w:val="004F20AD"/>
    <w:rsid w:val="00510D17"/>
    <w:rsid w:val="00513FE1"/>
    <w:rsid w:val="00515345"/>
    <w:rsid w:val="00520E0E"/>
    <w:rsid w:val="00536E7C"/>
    <w:rsid w:val="00544AED"/>
    <w:rsid w:val="00557F1A"/>
    <w:rsid w:val="005918B1"/>
    <w:rsid w:val="00597017"/>
    <w:rsid w:val="00597AB9"/>
    <w:rsid w:val="005A30A0"/>
    <w:rsid w:val="005B344F"/>
    <w:rsid w:val="005B40DB"/>
    <w:rsid w:val="005B7315"/>
    <w:rsid w:val="005D1BC8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A5CD5"/>
    <w:rsid w:val="006B2295"/>
    <w:rsid w:val="006B24F6"/>
    <w:rsid w:val="006C2563"/>
    <w:rsid w:val="006D73D8"/>
    <w:rsid w:val="006E1C5E"/>
    <w:rsid w:val="006E52F7"/>
    <w:rsid w:val="00700C7C"/>
    <w:rsid w:val="0071141E"/>
    <w:rsid w:val="007163FC"/>
    <w:rsid w:val="007206B9"/>
    <w:rsid w:val="00722A5E"/>
    <w:rsid w:val="00732039"/>
    <w:rsid w:val="00745338"/>
    <w:rsid w:val="0075064A"/>
    <w:rsid w:val="0076728A"/>
    <w:rsid w:val="00776A36"/>
    <w:rsid w:val="00792C23"/>
    <w:rsid w:val="00797A66"/>
    <w:rsid w:val="007A1C82"/>
    <w:rsid w:val="007A7E78"/>
    <w:rsid w:val="007B4832"/>
    <w:rsid w:val="007C535E"/>
    <w:rsid w:val="007D1E8B"/>
    <w:rsid w:val="007E65B1"/>
    <w:rsid w:val="007F3480"/>
    <w:rsid w:val="00800673"/>
    <w:rsid w:val="00805258"/>
    <w:rsid w:val="008110E1"/>
    <w:rsid w:val="008257FE"/>
    <w:rsid w:val="008271BF"/>
    <w:rsid w:val="00841EA3"/>
    <w:rsid w:val="00847FB8"/>
    <w:rsid w:val="00855C82"/>
    <w:rsid w:val="008746A1"/>
    <w:rsid w:val="00877219"/>
    <w:rsid w:val="00880917"/>
    <w:rsid w:val="008809B1"/>
    <w:rsid w:val="00882163"/>
    <w:rsid w:val="00883A8E"/>
    <w:rsid w:val="00897F70"/>
    <w:rsid w:val="008A6732"/>
    <w:rsid w:val="008A69DD"/>
    <w:rsid w:val="008B0548"/>
    <w:rsid w:val="008B1821"/>
    <w:rsid w:val="008C0786"/>
    <w:rsid w:val="008C426A"/>
    <w:rsid w:val="008D10B7"/>
    <w:rsid w:val="008E56B2"/>
    <w:rsid w:val="008F3427"/>
    <w:rsid w:val="00902F8C"/>
    <w:rsid w:val="00915818"/>
    <w:rsid w:val="009213FC"/>
    <w:rsid w:val="0092782F"/>
    <w:rsid w:val="009379D1"/>
    <w:rsid w:val="00943897"/>
    <w:rsid w:val="009443B7"/>
    <w:rsid w:val="00946EE5"/>
    <w:rsid w:val="0095017F"/>
    <w:rsid w:val="00965BCC"/>
    <w:rsid w:val="00991942"/>
    <w:rsid w:val="00991A13"/>
    <w:rsid w:val="00992A67"/>
    <w:rsid w:val="0099592B"/>
    <w:rsid w:val="00996A22"/>
    <w:rsid w:val="009A09CC"/>
    <w:rsid w:val="009B3C22"/>
    <w:rsid w:val="009C098E"/>
    <w:rsid w:val="009C1A77"/>
    <w:rsid w:val="009D7BDD"/>
    <w:rsid w:val="009E79DA"/>
    <w:rsid w:val="009F1515"/>
    <w:rsid w:val="009F2417"/>
    <w:rsid w:val="00A054EF"/>
    <w:rsid w:val="00A0569C"/>
    <w:rsid w:val="00A15535"/>
    <w:rsid w:val="00A171A5"/>
    <w:rsid w:val="00A24002"/>
    <w:rsid w:val="00A25B8D"/>
    <w:rsid w:val="00A44F25"/>
    <w:rsid w:val="00A5238A"/>
    <w:rsid w:val="00A537DB"/>
    <w:rsid w:val="00A570A8"/>
    <w:rsid w:val="00A57965"/>
    <w:rsid w:val="00A65115"/>
    <w:rsid w:val="00A67021"/>
    <w:rsid w:val="00A70279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7E3"/>
    <w:rsid w:val="00B6499A"/>
    <w:rsid w:val="00B96CEA"/>
    <w:rsid w:val="00BB4C11"/>
    <w:rsid w:val="00BB4E2F"/>
    <w:rsid w:val="00BC0BCD"/>
    <w:rsid w:val="00BC7732"/>
    <w:rsid w:val="00BD3761"/>
    <w:rsid w:val="00BD3AC3"/>
    <w:rsid w:val="00BD5021"/>
    <w:rsid w:val="00BE5257"/>
    <w:rsid w:val="00BF65DC"/>
    <w:rsid w:val="00C02817"/>
    <w:rsid w:val="00C02BB6"/>
    <w:rsid w:val="00C15141"/>
    <w:rsid w:val="00C253EE"/>
    <w:rsid w:val="00C507B2"/>
    <w:rsid w:val="00C56E21"/>
    <w:rsid w:val="00C90F7C"/>
    <w:rsid w:val="00CA36F1"/>
    <w:rsid w:val="00CB418C"/>
    <w:rsid w:val="00CC64C1"/>
    <w:rsid w:val="00CE2FA0"/>
    <w:rsid w:val="00CE4BD4"/>
    <w:rsid w:val="00CE559E"/>
    <w:rsid w:val="00D227E3"/>
    <w:rsid w:val="00D23093"/>
    <w:rsid w:val="00D30CCD"/>
    <w:rsid w:val="00D31573"/>
    <w:rsid w:val="00D320CA"/>
    <w:rsid w:val="00D32F57"/>
    <w:rsid w:val="00D360ED"/>
    <w:rsid w:val="00D51537"/>
    <w:rsid w:val="00D54D69"/>
    <w:rsid w:val="00D60CCE"/>
    <w:rsid w:val="00D62D04"/>
    <w:rsid w:val="00D86A6A"/>
    <w:rsid w:val="00D94EFD"/>
    <w:rsid w:val="00DA1097"/>
    <w:rsid w:val="00DA6A15"/>
    <w:rsid w:val="00DB5D14"/>
    <w:rsid w:val="00DB74C6"/>
    <w:rsid w:val="00DC581E"/>
    <w:rsid w:val="00DD4E04"/>
    <w:rsid w:val="00DD4E58"/>
    <w:rsid w:val="00DE0624"/>
    <w:rsid w:val="00DE2F7D"/>
    <w:rsid w:val="00DF3055"/>
    <w:rsid w:val="00E0034B"/>
    <w:rsid w:val="00E17710"/>
    <w:rsid w:val="00E21E5E"/>
    <w:rsid w:val="00E23EAC"/>
    <w:rsid w:val="00E25450"/>
    <w:rsid w:val="00E37845"/>
    <w:rsid w:val="00E45B2C"/>
    <w:rsid w:val="00E5140B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A608E"/>
    <w:rsid w:val="00EB46C8"/>
    <w:rsid w:val="00EC2C91"/>
    <w:rsid w:val="00EC6F8F"/>
    <w:rsid w:val="00ED04E5"/>
    <w:rsid w:val="00ED0E7A"/>
    <w:rsid w:val="00ED125A"/>
    <w:rsid w:val="00ED1282"/>
    <w:rsid w:val="00EE728E"/>
    <w:rsid w:val="00EE7EC4"/>
    <w:rsid w:val="00EF522F"/>
    <w:rsid w:val="00F03D64"/>
    <w:rsid w:val="00F07350"/>
    <w:rsid w:val="00F150DE"/>
    <w:rsid w:val="00F247B2"/>
    <w:rsid w:val="00F31DE3"/>
    <w:rsid w:val="00F35DF8"/>
    <w:rsid w:val="00F50171"/>
    <w:rsid w:val="00F53A64"/>
    <w:rsid w:val="00F61B3E"/>
    <w:rsid w:val="00F87DAD"/>
    <w:rsid w:val="00F92377"/>
    <w:rsid w:val="00F944D7"/>
    <w:rsid w:val="00F965A2"/>
    <w:rsid w:val="00F9766B"/>
    <w:rsid w:val="00FA41A9"/>
    <w:rsid w:val="00FB1A91"/>
    <w:rsid w:val="00FB7B59"/>
    <w:rsid w:val="00FC7E5B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8AD1A-F154-4110-8FF3-092F644D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438</Words>
  <Characters>3143</Characters>
  <Application>Microsoft Office Word</Application>
  <DocSecurity>0</DocSecurity>
  <Lines>84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98</cp:revision>
  <dcterms:created xsi:type="dcterms:W3CDTF">2020-12-08T06:20:00Z</dcterms:created>
  <dcterms:modified xsi:type="dcterms:W3CDTF">2021-05-14T08:04:00Z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