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A67D" w14:textId="77777777" w:rsidR="00601A33" w:rsidRPr="00785E4E" w:rsidRDefault="00601A33" w:rsidP="00C942C2">
      <w:pPr>
        <w:tabs>
          <w:tab w:val="left" w:pos="340"/>
          <w:tab w:val="right" w:pos="9355"/>
        </w:tabs>
        <w:ind w:right="-291"/>
        <w:jc w:val="right"/>
        <w:rPr>
          <w:i/>
          <w:iCs/>
          <w:lang w:val="lv-LV" w:eastAsia="lv-LV"/>
        </w:rPr>
      </w:pPr>
    </w:p>
    <w:p w14:paraId="05447E2E" w14:textId="40F301F4" w:rsidR="00F84E18" w:rsidRPr="00785E4E" w:rsidRDefault="00F84E18" w:rsidP="00C942C2">
      <w:pPr>
        <w:ind w:right="-291"/>
        <w:jc w:val="both"/>
        <w:rPr>
          <w:i/>
          <w:lang w:val="lv-LV"/>
        </w:rPr>
      </w:pPr>
      <w:r w:rsidRPr="00785E4E">
        <w:rPr>
          <w:i/>
          <w:lang w:val="lv-LV"/>
        </w:rPr>
        <w:t xml:space="preserve">Par iepirkumu procedūras </w:t>
      </w:r>
      <w:r w:rsidR="001A536B" w:rsidRPr="00785E4E">
        <w:rPr>
          <w:i/>
          <w:lang w:val="lv-LV"/>
        </w:rPr>
        <w:t>“</w:t>
      </w:r>
      <w:r w:rsidR="00BE2AEE" w:rsidRPr="00785E4E">
        <w:rPr>
          <w:i/>
          <w:lang w:val="lv-LV"/>
        </w:rPr>
        <w:t>M1, N1 kategorijas transportlīdzekļu un specializēto N1 kategorijas transportlīdzekļu piegāde un tehniskā apkope</w:t>
      </w:r>
      <w:r w:rsidR="001A536B" w:rsidRPr="00785E4E">
        <w:rPr>
          <w:i/>
          <w:lang w:val="lv-LV"/>
        </w:rPr>
        <w:t>” (ID Nr. RS 2024/</w:t>
      </w:r>
      <w:r w:rsidR="00DA1E9E" w:rsidRPr="00785E4E">
        <w:rPr>
          <w:i/>
          <w:lang w:val="lv-LV"/>
        </w:rPr>
        <w:t>70</w:t>
      </w:r>
      <w:r w:rsidR="001A536B" w:rsidRPr="00785E4E">
        <w:rPr>
          <w:i/>
          <w:lang w:val="lv-LV"/>
        </w:rPr>
        <w:t xml:space="preserve">) </w:t>
      </w:r>
      <w:r w:rsidRPr="00785E4E">
        <w:rPr>
          <w:i/>
          <w:lang w:val="lv-LV"/>
        </w:rPr>
        <w:t>nolikuma prasībām</w:t>
      </w:r>
    </w:p>
    <w:p w14:paraId="2FA968AE" w14:textId="77777777" w:rsidR="00F84E18" w:rsidRPr="00785E4E" w:rsidRDefault="00F84E18" w:rsidP="00C942C2">
      <w:pPr>
        <w:tabs>
          <w:tab w:val="right" w:pos="9355"/>
        </w:tabs>
        <w:ind w:right="-291"/>
        <w:jc w:val="both"/>
        <w:rPr>
          <w:lang w:val="lv-LV"/>
        </w:rPr>
      </w:pPr>
    </w:p>
    <w:p w14:paraId="11219702" w14:textId="073BC73D" w:rsidR="00F84E18" w:rsidRPr="00785E4E" w:rsidRDefault="00F84E18" w:rsidP="00C942C2">
      <w:pPr>
        <w:tabs>
          <w:tab w:val="right" w:pos="9355"/>
        </w:tabs>
        <w:ind w:right="-291" w:firstLine="426"/>
        <w:jc w:val="both"/>
        <w:rPr>
          <w:lang w:val="lv-LV"/>
        </w:rPr>
      </w:pPr>
      <w:r w:rsidRPr="00785E4E">
        <w:rPr>
          <w:lang w:val="lv-LV"/>
        </w:rPr>
        <w:t xml:space="preserve">Rīgas pašvaldības sabiedrības ar ierobežotu atbildību „Rīgas satiksme” (turpmāk – Pasūtītājs) Iepirkuma komisija no iespējamā pretendenta ir saņēmusi </w:t>
      </w:r>
      <w:r w:rsidR="003E45A2" w:rsidRPr="00785E4E">
        <w:rPr>
          <w:lang w:val="lv-LV"/>
        </w:rPr>
        <w:t xml:space="preserve">elektroniskā pasta </w:t>
      </w:r>
      <w:r w:rsidR="00C568F5" w:rsidRPr="00785E4E">
        <w:rPr>
          <w:lang w:val="lv-LV"/>
        </w:rPr>
        <w:t>vēstuli</w:t>
      </w:r>
      <w:r w:rsidRPr="00785E4E">
        <w:rPr>
          <w:lang w:val="lv-LV"/>
        </w:rPr>
        <w:t xml:space="preserve"> ar lūgumu sniegt atbildes uz jautājumu par </w:t>
      </w:r>
      <w:r w:rsidR="00D31D14" w:rsidRPr="00785E4E">
        <w:rPr>
          <w:lang w:val="lv-LV"/>
        </w:rPr>
        <w:t>atklāta konkursa</w:t>
      </w:r>
      <w:r w:rsidRPr="00785E4E">
        <w:rPr>
          <w:lang w:val="lv-LV"/>
        </w:rPr>
        <w:t xml:space="preserve"> “</w:t>
      </w:r>
      <w:r w:rsidR="00BE2AEE" w:rsidRPr="00785E4E">
        <w:rPr>
          <w:lang w:val="lv-LV"/>
        </w:rPr>
        <w:t>M1, N1 kategorijas transportlīdzekļu un specializēto N1 kategorijas transportlīdzekļu piegāde un tehniskā apkope</w:t>
      </w:r>
      <w:r w:rsidRPr="00785E4E">
        <w:rPr>
          <w:lang w:val="lv-LV"/>
        </w:rPr>
        <w:t xml:space="preserve">” (ID Nr. </w:t>
      </w:r>
      <w:r w:rsidR="004E3DE4" w:rsidRPr="00785E4E">
        <w:rPr>
          <w:lang w:val="lv-LV"/>
        </w:rPr>
        <w:t>RS 202</w:t>
      </w:r>
      <w:r w:rsidR="00070F05" w:rsidRPr="00785E4E">
        <w:rPr>
          <w:lang w:val="lv-LV"/>
        </w:rPr>
        <w:t>4</w:t>
      </w:r>
      <w:r w:rsidR="004E3DE4" w:rsidRPr="00785E4E">
        <w:rPr>
          <w:lang w:val="lv-LV"/>
        </w:rPr>
        <w:t>/</w:t>
      </w:r>
      <w:r w:rsidR="00BE2AEE" w:rsidRPr="00785E4E">
        <w:rPr>
          <w:lang w:val="lv-LV"/>
        </w:rPr>
        <w:t>70</w:t>
      </w:r>
      <w:r w:rsidRPr="00785E4E">
        <w:rPr>
          <w:lang w:val="lv-LV"/>
        </w:rPr>
        <w:t xml:space="preserve">) (turpmāk </w:t>
      </w:r>
      <w:r w:rsidR="00D31D14" w:rsidRPr="00785E4E">
        <w:rPr>
          <w:lang w:val="lv-LV"/>
        </w:rPr>
        <w:t xml:space="preserve"> Atklāts konkurss</w:t>
      </w:r>
      <w:r w:rsidRPr="00785E4E">
        <w:rPr>
          <w:lang w:val="lv-LV"/>
        </w:rPr>
        <w:t xml:space="preserve">) nolikuma prasībām. </w:t>
      </w:r>
    </w:p>
    <w:p w14:paraId="1B3E17AE" w14:textId="77777777" w:rsidR="002916E0" w:rsidRPr="00785E4E" w:rsidRDefault="002916E0" w:rsidP="00C942C2">
      <w:pPr>
        <w:ind w:right="-291"/>
        <w:jc w:val="both"/>
        <w:rPr>
          <w:lang w:val="lv-LV"/>
        </w:rPr>
      </w:pPr>
    </w:p>
    <w:p w14:paraId="548BFFD1" w14:textId="7BE2C4F9" w:rsidR="00570002" w:rsidRPr="00785E4E" w:rsidRDefault="00785E4E" w:rsidP="00C942C2">
      <w:pPr>
        <w:tabs>
          <w:tab w:val="right" w:pos="9355"/>
        </w:tabs>
        <w:ind w:right="-291"/>
        <w:jc w:val="both"/>
        <w:rPr>
          <w:b/>
          <w:bCs/>
          <w:lang w:val="lv-LV"/>
        </w:rPr>
      </w:pPr>
      <w:r>
        <w:rPr>
          <w:b/>
          <w:bCs/>
          <w:lang w:val="lv-LV"/>
        </w:rPr>
        <w:t>J</w:t>
      </w:r>
      <w:r w:rsidR="00570002" w:rsidRPr="00785E4E">
        <w:rPr>
          <w:b/>
          <w:bCs/>
          <w:lang w:val="lv-LV"/>
        </w:rPr>
        <w:t>autājums:</w:t>
      </w:r>
    </w:p>
    <w:p w14:paraId="37A01B56" w14:textId="77777777" w:rsidR="0072022F" w:rsidRPr="00785E4E" w:rsidRDefault="0072022F" w:rsidP="00C942C2">
      <w:pPr>
        <w:ind w:right="-291" w:firstLine="567"/>
        <w:jc w:val="both"/>
        <w:rPr>
          <w:bCs/>
          <w:lang w:val="lv-LV" w:eastAsia="ar-SA"/>
        </w:rPr>
      </w:pPr>
      <w:r w:rsidRPr="00785E4E">
        <w:rPr>
          <w:bCs/>
          <w:lang w:val="lv-LV" w:eastAsia="ar-SA"/>
        </w:rPr>
        <w:t>Vēlamies precizēt iepirkuma “M1, N1 kategorijas transportlīdzekļu un specializēto N1 kategorijas transportlīdzekļu piegāde un tehniskā apkope” (identifikācijas Nr. RS/2024/70) tehniskās specifikācijas prasību Nr. 9.2 iepirkuma 11., 12., 13., 15. un 16. daļās, un lūdzam sniegt skaidrojumu, vai 9.2 punktā minētās remontu izmaksas garantijas laikā ir domātas kā garantijas remonta izmaksas, ja tādas tiek konstatētas transportlīdzeklim rūpnīcas garantijas laikā, ievērojot ražotāja noteikto procedūru garantijas gadījumu konstatēšanai?   </w:t>
      </w:r>
    </w:p>
    <w:p w14:paraId="484773E4" w14:textId="5C98E704" w:rsidR="0072022F" w:rsidRPr="00785E4E" w:rsidRDefault="0072022F" w:rsidP="00C942C2">
      <w:pPr>
        <w:pStyle w:val="xmsonormal"/>
        <w:shd w:val="clear" w:color="auto" w:fill="FFFFFF"/>
        <w:spacing w:before="0" w:beforeAutospacing="0" w:after="0" w:afterAutospacing="0"/>
        <w:ind w:right="-291"/>
        <w:rPr>
          <w:color w:val="000000"/>
          <w:lang w:val="lv-LV"/>
        </w:rPr>
      </w:pPr>
      <w:r w:rsidRPr="00785E4E">
        <w:rPr>
          <w:color w:val="000000"/>
          <w:sz w:val="22"/>
          <w:szCs w:val="22"/>
          <w:bdr w:val="none" w:sz="0" w:space="0" w:color="auto" w:frame="1"/>
          <w:lang w:val="lv-LV"/>
        </w:rPr>
        <w:t> 11.daļa</w:t>
      </w:r>
    </w:p>
    <w:tbl>
      <w:tblPr>
        <w:tblW w:w="10120" w:type="dxa"/>
        <w:shd w:val="clear" w:color="auto" w:fill="FFFFFF"/>
        <w:tblCellMar>
          <w:left w:w="0" w:type="dxa"/>
          <w:right w:w="0" w:type="dxa"/>
        </w:tblCellMar>
        <w:tblLook w:val="04A0" w:firstRow="1" w:lastRow="0" w:firstColumn="1" w:lastColumn="0" w:noHBand="0" w:noVBand="1"/>
      </w:tblPr>
      <w:tblGrid>
        <w:gridCol w:w="940"/>
        <w:gridCol w:w="9180"/>
      </w:tblGrid>
      <w:tr w:rsidR="0072022F" w:rsidRPr="00785E4E" w14:paraId="27441DDB" w14:textId="77777777" w:rsidTr="0072022F">
        <w:trPr>
          <w:trHeight w:val="288"/>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7835CDE9" w14:textId="77777777" w:rsidR="0072022F" w:rsidRPr="00785E4E" w:rsidRDefault="0072022F" w:rsidP="00C942C2">
            <w:pPr>
              <w:pStyle w:val="xmsonormal"/>
              <w:spacing w:before="0" w:beforeAutospacing="0" w:after="0" w:afterAutospacing="0"/>
              <w:ind w:right="-291"/>
              <w:jc w:val="center"/>
              <w:rPr>
                <w:color w:val="000000"/>
                <w:lang w:val="lv-LV"/>
              </w:rPr>
            </w:pPr>
            <w:r w:rsidRPr="00785E4E">
              <w:rPr>
                <w:color w:val="000000"/>
                <w:sz w:val="22"/>
                <w:szCs w:val="22"/>
                <w:bdr w:val="none" w:sz="0" w:space="0" w:color="auto" w:frame="1"/>
                <w:lang w:val="lv-LV"/>
              </w:rPr>
              <w:t>9.2</w:t>
            </w:r>
          </w:p>
        </w:tc>
        <w:tc>
          <w:tcPr>
            <w:tcW w:w="9180" w:type="dxa"/>
            <w:shd w:val="clear" w:color="auto" w:fill="FFFFFF"/>
            <w:tcMar>
              <w:top w:w="0" w:type="dxa"/>
              <w:left w:w="108" w:type="dxa"/>
              <w:bottom w:w="0" w:type="dxa"/>
              <w:right w:w="108" w:type="dxa"/>
            </w:tcMar>
            <w:vAlign w:val="bottom"/>
            <w:hideMark/>
          </w:tcPr>
          <w:p w14:paraId="43296CEA" w14:textId="77777777" w:rsidR="0072022F" w:rsidRPr="00785E4E" w:rsidRDefault="0072022F" w:rsidP="00C942C2">
            <w:pPr>
              <w:pStyle w:val="xmsonormal"/>
              <w:spacing w:before="0" w:beforeAutospacing="0" w:after="0" w:afterAutospacing="0"/>
              <w:ind w:right="-291"/>
              <w:rPr>
                <w:color w:val="000000"/>
                <w:lang w:val="lv-LV"/>
              </w:rPr>
            </w:pPr>
            <w:r w:rsidRPr="00785E4E">
              <w:rPr>
                <w:color w:val="000000"/>
                <w:sz w:val="22"/>
                <w:szCs w:val="22"/>
                <w:bdr w:val="none" w:sz="0" w:space="0" w:color="auto" w:frame="1"/>
                <w:lang w:val="lv-LV"/>
              </w:rPr>
              <w:t>Tehnisko apkopju un remonta izmaksas transportlīdzekļa garantijas laikā jāiekļauj cenā</w:t>
            </w:r>
          </w:p>
        </w:tc>
      </w:tr>
    </w:tbl>
    <w:p w14:paraId="7B3A3405" w14:textId="77777777" w:rsidR="0072022F" w:rsidRPr="00785E4E" w:rsidRDefault="0072022F" w:rsidP="00C942C2">
      <w:pPr>
        <w:pStyle w:val="xmsonormal"/>
        <w:shd w:val="clear" w:color="auto" w:fill="FFFFFF"/>
        <w:spacing w:before="0" w:beforeAutospacing="0" w:after="0" w:afterAutospacing="0"/>
        <w:ind w:right="-291"/>
        <w:rPr>
          <w:color w:val="000000"/>
          <w:lang w:val="lv-LV"/>
        </w:rPr>
      </w:pPr>
      <w:r w:rsidRPr="00785E4E">
        <w:rPr>
          <w:color w:val="000000"/>
          <w:sz w:val="22"/>
          <w:szCs w:val="22"/>
          <w:bdr w:val="none" w:sz="0" w:space="0" w:color="auto" w:frame="1"/>
          <w:lang w:val="lv-LV"/>
        </w:rPr>
        <w:t>12.daļa</w:t>
      </w:r>
    </w:p>
    <w:tbl>
      <w:tblPr>
        <w:tblW w:w="10120" w:type="dxa"/>
        <w:shd w:val="clear" w:color="auto" w:fill="FFFFFF"/>
        <w:tblCellMar>
          <w:left w:w="0" w:type="dxa"/>
          <w:right w:w="0" w:type="dxa"/>
        </w:tblCellMar>
        <w:tblLook w:val="04A0" w:firstRow="1" w:lastRow="0" w:firstColumn="1" w:lastColumn="0" w:noHBand="0" w:noVBand="1"/>
      </w:tblPr>
      <w:tblGrid>
        <w:gridCol w:w="940"/>
        <w:gridCol w:w="9180"/>
      </w:tblGrid>
      <w:tr w:rsidR="0072022F" w:rsidRPr="00785E4E" w14:paraId="1ED74074" w14:textId="77777777" w:rsidTr="0072022F">
        <w:trPr>
          <w:trHeight w:val="288"/>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02EA9F61" w14:textId="77777777" w:rsidR="0072022F" w:rsidRPr="00785E4E" w:rsidRDefault="0072022F" w:rsidP="00C942C2">
            <w:pPr>
              <w:pStyle w:val="xmsonormal"/>
              <w:spacing w:before="0" w:beforeAutospacing="0" w:after="0" w:afterAutospacing="0"/>
              <w:ind w:right="-291"/>
              <w:jc w:val="center"/>
              <w:rPr>
                <w:color w:val="000000"/>
                <w:lang w:val="lv-LV"/>
              </w:rPr>
            </w:pPr>
            <w:r w:rsidRPr="00785E4E">
              <w:rPr>
                <w:color w:val="000000"/>
                <w:sz w:val="22"/>
                <w:szCs w:val="22"/>
                <w:bdr w:val="none" w:sz="0" w:space="0" w:color="auto" w:frame="1"/>
                <w:lang w:val="lv-LV"/>
              </w:rPr>
              <w:t>9.2</w:t>
            </w:r>
          </w:p>
        </w:tc>
        <w:tc>
          <w:tcPr>
            <w:tcW w:w="9180" w:type="dxa"/>
            <w:shd w:val="clear" w:color="auto" w:fill="FFFFFF"/>
            <w:tcMar>
              <w:top w:w="0" w:type="dxa"/>
              <w:left w:w="108" w:type="dxa"/>
              <w:bottom w:w="0" w:type="dxa"/>
              <w:right w:w="108" w:type="dxa"/>
            </w:tcMar>
            <w:vAlign w:val="bottom"/>
            <w:hideMark/>
          </w:tcPr>
          <w:p w14:paraId="7DF0ED94" w14:textId="77777777" w:rsidR="0072022F" w:rsidRPr="00785E4E" w:rsidRDefault="0072022F" w:rsidP="00C942C2">
            <w:pPr>
              <w:pStyle w:val="xmsonormal"/>
              <w:spacing w:before="0" w:beforeAutospacing="0" w:after="0" w:afterAutospacing="0"/>
              <w:ind w:right="-291"/>
              <w:rPr>
                <w:color w:val="000000"/>
                <w:lang w:val="lv-LV"/>
              </w:rPr>
            </w:pPr>
            <w:r w:rsidRPr="00785E4E">
              <w:rPr>
                <w:color w:val="000000"/>
                <w:sz w:val="22"/>
                <w:szCs w:val="22"/>
                <w:bdr w:val="none" w:sz="0" w:space="0" w:color="auto" w:frame="1"/>
                <w:lang w:val="lv-LV"/>
              </w:rPr>
              <w:t>Tehnisko apkopju un remonta izmaksas transportlīdzekļa garantijas laikā jāiekļauj cenā</w:t>
            </w:r>
          </w:p>
        </w:tc>
      </w:tr>
    </w:tbl>
    <w:p w14:paraId="42D06C18" w14:textId="77777777" w:rsidR="0072022F" w:rsidRPr="00785E4E" w:rsidRDefault="0072022F" w:rsidP="00C942C2">
      <w:pPr>
        <w:pStyle w:val="xmsonormal"/>
        <w:shd w:val="clear" w:color="auto" w:fill="FFFFFF"/>
        <w:spacing w:before="0" w:beforeAutospacing="0" w:after="0" w:afterAutospacing="0"/>
        <w:ind w:right="-291"/>
        <w:rPr>
          <w:color w:val="000000"/>
          <w:lang w:val="lv-LV"/>
        </w:rPr>
      </w:pPr>
      <w:r w:rsidRPr="00785E4E">
        <w:rPr>
          <w:color w:val="000000"/>
          <w:sz w:val="22"/>
          <w:szCs w:val="22"/>
          <w:bdr w:val="none" w:sz="0" w:space="0" w:color="auto" w:frame="1"/>
          <w:lang w:val="lv-LV"/>
        </w:rPr>
        <w:t>13.daļa</w:t>
      </w:r>
    </w:p>
    <w:tbl>
      <w:tblPr>
        <w:tblW w:w="9062" w:type="dxa"/>
        <w:shd w:val="clear" w:color="auto" w:fill="FFFFFF"/>
        <w:tblCellMar>
          <w:left w:w="0" w:type="dxa"/>
          <w:right w:w="0" w:type="dxa"/>
        </w:tblCellMar>
        <w:tblLook w:val="04A0" w:firstRow="1" w:lastRow="0" w:firstColumn="1" w:lastColumn="0" w:noHBand="0" w:noVBand="1"/>
      </w:tblPr>
      <w:tblGrid>
        <w:gridCol w:w="940"/>
        <w:gridCol w:w="8122"/>
      </w:tblGrid>
      <w:tr w:rsidR="0072022F" w:rsidRPr="00785E4E" w14:paraId="3DCA5484" w14:textId="77777777" w:rsidTr="0072022F">
        <w:trPr>
          <w:trHeight w:val="288"/>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0CFB946" w14:textId="77777777" w:rsidR="0072022F" w:rsidRPr="00785E4E" w:rsidRDefault="0072022F" w:rsidP="00C942C2">
            <w:pPr>
              <w:pStyle w:val="xmsonormal"/>
              <w:spacing w:before="0" w:beforeAutospacing="0" w:after="0" w:afterAutospacing="0"/>
              <w:ind w:right="-291"/>
              <w:jc w:val="center"/>
              <w:rPr>
                <w:color w:val="000000"/>
                <w:lang w:val="lv-LV"/>
              </w:rPr>
            </w:pPr>
            <w:r w:rsidRPr="00785E4E">
              <w:rPr>
                <w:color w:val="000000"/>
                <w:sz w:val="22"/>
                <w:szCs w:val="22"/>
                <w:bdr w:val="none" w:sz="0" w:space="0" w:color="auto" w:frame="1"/>
                <w:lang w:val="lv-LV"/>
              </w:rPr>
              <w:t>9.2</w:t>
            </w:r>
          </w:p>
        </w:tc>
        <w:tc>
          <w:tcPr>
            <w:tcW w:w="8122" w:type="dxa"/>
            <w:shd w:val="clear" w:color="auto" w:fill="FFFFFF"/>
            <w:tcMar>
              <w:top w:w="0" w:type="dxa"/>
              <w:left w:w="108" w:type="dxa"/>
              <w:bottom w:w="0" w:type="dxa"/>
              <w:right w:w="108" w:type="dxa"/>
            </w:tcMar>
            <w:vAlign w:val="bottom"/>
            <w:hideMark/>
          </w:tcPr>
          <w:p w14:paraId="4C038321" w14:textId="77777777" w:rsidR="0072022F" w:rsidRPr="00785E4E" w:rsidRDefault="0072022F" w:rsidP="00C942C2">
            <w:pPr>
              <w:pStyle w:val="xmsonormal"/>
              <w:spacing w:before="0" w:beforeAutospacing="0" w:after="0" w:afterAutospacing="0"/>
              <w:ind w:right="-291"/>
              <w:rPr>
                <w:color w:val="000000"/>
                <w:lang w:val="lv-LV"/>
              </w:rPr>
            </w:pPr>
            <w:r w:rsidRPr="00785E4E">
              <w:rPr>
                <w:color w:val="000000"/>
                <w:sz w:val="22"/>
                <w:szCs w:val="22"/>
                <w:bdr w:val="none" w:sz="0" w:space="0" w:color="auto" w:frame="1"/>
                <w:lang w:val="lv-LV"/>
              </w:rPr>
              <w:t>Tehnisko apkopju un remonta izmaksas transportlīdzekļa garantijas laikā jāiekļauj cenā</w:t>
            </w:r>
          </w:p>
        </w:tc>
      </w:tr>
    </w:tbl>
    <w:p w14:paraId="16192964" w14:textId="77777777" w:rsidR="0072022F" w:rsidRPr="00785E4E" w:rsidRDefault="0072022F" w:rsidP="00C942C2">
      <w:pPr>
        <w:pStyle w:val="xmsonormal"/>
        <w:shd w:val="clear" w:color="auto" w:fill="FFFFFF"/>
        <w:spacing w:before="0" w:beforeAutospacing="0" w:after="0" w:afterAutospacing="0"/>
        <w:ind w:right="-291"/>
        <w:rPr>
          <w:color w:val="000000"/>
          <w:lang w:val="lv-LV"/>
        </w:rPr>
      </w:pPr>
      <w:r w:rsidRPr="00785E4E">
        <w:rPr>
          <w:color w:val="000000"/>
          <w:sz w:val="22"/>
          <w:szCs w:val="22"/>
          <w:bdr w:val="none" w:sz="0" w:space="0" w:color="auto" w:frame="1"/>
          <w:lang w:val="lv-LV"/>
        </w:rPr>
        <w:t>15.daļa</w:t>
      </w:r>
    </w:p>
    <w:tbl>
      <w:tblPr>
        <w:tblW w:w="10120" w:type="dxa"/>
        <w:shd w:val="clear" w:color="auto" w:fill="FFFFFF"/>
        <w:tblCellMar>
          <w:left w:w="0" w:type="dxa"/>
          <w:right w:w="0" w:type="dxa"/>
        </w:tblCellMar>
        <w:tblLook w:val="04A0" w:firstRow="1" w:lastRow="0" w:firstColumn="1" w:lastColumn="0" w:noHBand="0" w:noVBand="1"/>
      </w:tblPr>
      <w:tblGrid>
        <w:gridCol w:w="940"/>
        <w:gridCol w:w="9180"/>
      </w:tblGrid>
      <w:tr w:rsidR="0072022F" w:rsidRPr="00785E4E" w14:paraId="32D19A4D" w14:textId="77777777" w:rsidTr="0072022F">
        <w:trPr>
          <w:trHeight w:val="288"/>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5E55A835" w14:textId="77777777" w:rsidR="0072022F" w:rsidRPr="00785E4E" w:rsidRDefault="0072022F" w:rsidP="00C942C2">
            <w:pPr>
              <w:pStyle w:val="xmsonormal"/>
              <w:spacing w:before="0" w:beforeAutospacing="0" w:after="0" w:afterAutospacing="0"/>
              <w:ind w:right="-291"/>
              <w:jc w:val="center"/>
              <w:rPr>
                <w:color w:val="000000"/>
                <w:lang w:val="lv-LV"/>
              </w:rPr>
            </w:pPr>
            <w:r w:rsidRPr="00785E4E">
              <w:rPr>
                <w:color w:val="000000"/>
                <w:sz w:val="22"/>
                <w:szCs w:val="22"/>
                <w:bdr w:val="none" w:sz="0" w:space="0" w:color="auto" w:frame="1"/>
                <w:lang w:val="lv-LV"/>
              </w:rPr>
              <w:t>9.2</w:t>
            </w:r>
          </w:p>
        </w:tc>
        <w:tc>
          <w:tcPr>
            <w:tcW w:w="9180" w:type="dxa"/>
            <w:shd w:val="clear" w:color="auto" w:fill="FFFFFF"/>
            <w:tcMar>
              <w:top w:w="0" w:type="dxa"/>
              <w:left w:w="108" w:type="dxa"/>
              <w:bottom w:w="0" w:type="dxa"/>
              <w:right w:w="108" w:type="dxa"/>
            </w:tcMar>
            <w:vAlign w:val="bottom"/>
            <w:hideMark/>
          </w:tcPr>
          <w:p w14:paraId="1722F304" w14:textId="77777777" w:rsidR="0072022F" w:rsidRPr="00785E4E" w:rsidRDefault="0072022F" w:rsidP="00C942C2">
            <w:pPr>
              <w:pStyle w:val="xmsonormal"/>
              <w:spacing w:before="0" w:beforeAutospacing="0" w:after="0" w:afterAutospacing="0"/>
              <w:ind w:right="-291"/>
              <w:rPr>
                <w:color w:val="000000"/>
                <w:lang w:val="lv-LV"/>
              </w:rPr>
            </w:pPr>
            <w:r w:rsidRPr="00785E4E">
              <w:rPr>
                <w:color w:val="000000"/>
                <w:sz w:val="22"/>
                <w:szCs w:val="22"/>
                <w:bdr w:val="none" w:sz="0" w:space="0" w:color="auto" w:frame="1"/>
                <w:lang w:val="lv-LV"/>
              </w:rPr>
              <w:t>Tehnisko apkopju un remonta izmaksas transportlīdzekļa garantijas laikā jāiekļauj cenā</w:t>
            </w:r>
          </w:p>
        </w:tc>
      </w:tr>
    </w:tbl>
    <w:p w14:paraId="2E193824" w14:textId="77777777" w:rsidR="0072022F" w:rsidRPr="00785E4E" w:rsidRDefault="0072022F" w:rsidP="00C942C2">
      <w:pPr>
        <w:pStyle w:val="xmsonormal"/>
        <w:shd w:val="clear" w:color="auto" w:fill="FFFFFF"/>
        <w:spacing w:before="0" w:beforeAutospacing="0" w:after="0" w:afterAutospacing="0"/>
        <w:ind w:right="-291"/>
        <w:rPr>
          <w:color w:val="000000"/>
          <w:lang w:val="lv-LV"/>
        </w:rPr>
      </w:pPr>
      <w:r w:rsidRPr="00785E4E">
        <w:rPr>
          <w:color w:val="000000"/>
          <w:sz w:val="22"/>
          <w:szCs w:val="22"/>
          <w:bdr w:val="none" w:sz="0" w:space="0" w:color="auto" w:frame="1"/>
          <w:lang w:val="lv-LV"/>
        </w:rPr>
        <w:t>16.daļa</w:t>
      </w:r>
    </w:p>
    <w:tbl>
      <w:tblPr>
        <w:tblW w:w="10201" w:type="dxa"/>
        <w:shd w:val="clear" w:color="auto" w:fill="FFFFFF"/>
        <w:tblCellMar>
          <w:left w:w="0" w:type="dxa"/>
          <w:right w:w="0" w:type="dxa"/>
        </w:tblCellMar>
        <w:tblLook w:val="04A0" w:firstRow="1" w:lastRow="0" w:firstColumn="1" w:lastColumn="0" w:noHBand="0" w:noVBand="1"/>
      </w:tblPr>
      <w:tblGrid>
        <w:gridCol w:w="940"/>
        <w:gridCol w:w="9261"/>
      </w:tblGrid>
      <w:tr w:rsidR="0072022F" w:rsidRPr="00785E4E" w14:paraId="681A585D" w14:textId="77777777" w:rsidTr="0072022F">
        <w:trPr>
          <w:trHeight w:val="230"/>
        </w:trPr>
        <w:tc>
          <w:tcPr>
            <w:tcW w:w="94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88B9173" w14:textId="77777777" w:rsidR="0072022F" w:rsidRPr="00785E4E" w:rsidRDefault="0072022F" w:rsidP="00C942C2">
            <w:pPr>
              <w:pStyle w:val="xmsonormal"/>
              <w:spacing w:before="0" w:beforeAutospacing="0" w:after="0" w:afterAutospacing="0"/>
              <w:ind w:right="-291"/>
              <w:jc w:val="center"/>
              <w:rPr>
                <w:color w:val="000000"/>
                <w:lang w:val="lv-LV"/>
              </w:rPr>
            </w:pPr>
            <w:r w:rsidRPr="00785E4E">
              <w:rPr>
                <w:color w:val="000000"/>
                <w:sz w:val="22"/>
                <w:szCs w:val="22"/>
                <w:bdr w:val="none" w:sz="0" w:space="0" w:color="auto" w:frame="1"/>
                <w:lang w:val="lv-LV"/>
              </w:rPr>
              <w:t>9.2</w:t>
            </w:r>
          </w:p>
        </w:tc>
        <w:tc>
          <w:tcPr>
            <w:tcW w:w="9261" w:type="dxa"/>
            <w:shd w:val="clear" w:color="auto" w:fill="FFFFFF"/>
            <w:tcMar>
              <w:top w:w="0" w:type="dxa"/>
              <w:left w:w="108" w:type="dxa"/>
              <w:bottom w:w="0" w:type="dxa"/>
              <w:right w:w="108" w:type="dxa"/>
            </w:tcMar>
            <w:vAlign w:val="bottom"/>
            <w:hideMark/>
          </w:tcPr>
          <w:p w14:paraId="3D57B07C" w14:textId="77777777" w:rsidR="0072022F" w:rsidRPr="00785E4E" w:rsidRDefault="0072022F" w:rsidP="00C942C2">
            <w:pPr>
              <w:pStyle w:val="xmsonormal"/>
              <w:spacing w:before="0" w:beforeAutospacing="0" w:after="0" w:afterAutospacing="0"/>
              <w:ind w:right="-291"/>
              <w:rPr>
                <w:color w:val="000000"/>
                <w:lang w:val="lv-LV"/>
              </w:rPr>
            </w:pPr>
            <w:r w:rsidRPr="00785E4E">
              <w:rPr>
                <w:color w:val="000000"/>
                <w:sz w:val="22"/>
                <w:szCs w:val="22"/>
                <w:bdr w:val="none" w:sz="0" w:space="0" w:color="auto" w:frame="1"/>
                <w:lang w:val="lv-LV"/>
              </w:rPr>
              <w:t>Tehnisko apkopju un remonta izmaksas transportlīdzekļa garantijas laikā jāiekļauj cenā</w:t>
            </w:r>
          </w:p>
        </w:tc>
      </w:tr>
    </w:tbl>
    <w:p w14:paraId="7907C659" w14:textId="77777777" w:rsidR="0072022F" w:rsidRPr="00785E4E" w:rsidRDefault="0072022F" w:rsidP="00C942C2">
      <w:pPr>
        <w:ind w:right="-291" w:firstLine="720"/>
        <w:jc w:val="both"/>
        <w:rPr>
          <w:bCs/>
          <w:lang w:val="lv-LV" w:eastAsia="ar-SA"/>
        </w:rPr>
      </w:pPr>
    </w:p>
    <w:p w14:paraId="39F65C4F" w14:textId="77777777" w:rsidR="003B15D3" w:rsidRPr="00785E4E" w:rsidRDefault="003B15D3" w:rsidP="00C942C2">
      <w:pPr>
        <w:ind w:right="-291" w:firstLine="720"/>
        <w:jc w:val="both"/>
        <w:rPr>
          <w:bCs/>
          <w:lang w:val="lv-LV" w:eastAsia="ar-SA"/>
        </w:rPr>
      </w:pPr>
    </w:p>
    <w:p w14:paraId="0E42583D" w14:textId="4E0D11D5" w:rsidR="00E9117F" w:rsidRPr="00785E4E" w:rsidRDefault="00785E4E" w:rsidP="00C942C2">
      <w:pPr>
        <w:tabs>
          <w:tab w:val="right" w:pos="9355"/>
        </w:tabs>
        <w:ind w:right="-291"/>
        <w:jc w:val="both"/>
        <w:outlineLvl w:val="0"/>
        <w:rPr>
          <w:b/>
          <w:bCs/>
          <w:iCs/>
          <w:lang w:val="lv-LV"/>
        </w:rPr>
      </w:pPr>
      <w:r>
        <w:rPr>
          <w:b/>
          <w:bCs/>
          <w:iCs/>
          <w:lang w:val="lv-LV"/>
        </w:rPr>
        <w:t>A</w:t>
      </w:r>
      <w:r w:rsidR="00E9117F" w:rsidRPr="00785E4E">
        <w:rPr>
          <w:b/>
          <w:bCs/>
          <w:iCs/>
          <w:lang w:val="lv-LV"/>
        </w:rPr>
        <w:t>tbilde:</w:t>
      </w:r>
    </w:p>
    <w:p w14:paraId="29D2866F" w14:textId="2D7DC697" w:rsidR="004C3D3D" w:rsidRPr="00785E4E" w:rsidRDefault="00757490" w:rsidP="00C942C2">
      <w:pPr>
        <w:ind w:right="-291" w:firstLine="567"/>
        <w:jc w:val="both"/>
        <w:rPr>
          <w:lang w:val="lv-LV"/>
        </w:rPr>
      </w:pPr>
      <w:r w:rsidRPr="00785E4E">
        <w:rPr>
          <w:lang w:val="lv-LV"/>
        </w:rPr>
        <w:t xml:space="preserve">Pasūtītājs paskaidro, ka </w:t>
      </w:r>
      <w:r w:rsidR="009204F9" w:rsidRPr="00785E4E">
        <w:rPr>
          <w:lang w:val="lv-LV"/>
        </w:rPr>
        <w:t>Pretendentam</w:t>
      </w:r>
      <w:r w:rsidR="00A949CB" w:rsidRPr="00785E4E">
        <w:rPr>
          <w:lang w:val="lv-LV"/>
        </w:rPr>
        <w:t xml:space="preserve"> </w:t>
      </w:r>
      <w:r w:rsidR="007D6B42" w:rsidRPr="00785E4E">
        <w:rPr>
          <w:lang w:val="lv-LV"/>
        </w:rPr>
        <w:t xml:space="preserve">attiecībā uz </w:t>
      </w:r>
      <w:r w:rsidR="00A949CB" w:rsidRPr="00785E4E">
        <w:rPr>
          <w:lang w:val="lv-LV"/>
        </w:rPr>
        <w:t>Atklāta konkursa</w:t>
      </w:r>
      <w:r w:rsidR="007D6B42" w:rsidRPr="00785E4E">
        <w:rPr>
          <w:lang w:val="lv-LV"/>
        </w:rPr>
        <w:t xml:space="preserve"> 10. – 17.daļu</w:t>
      </w:r>
      <w:r w:rsidR="00174F3D" w:rsidRPr="00785E4E">
        <w:rPr>
          <w:lang w:val="lv-LV"/>
        </w:rPr>
        <w:t xml:space="preserve"> Tehnisko apkopju un </w:t>
      </w:r>
      <w:r w:rsidR="00C00934" w:rsidRPr="00785E4E">
        <w:rPr>
          <w:lang w:val="lv-LV"/>
        </w:rPr>
        <w:t xml:space="preserve">garantijas </w:t>
      </w:r>
      <w:r w:rsidR="00174F3D" w:rsidRPr="00785E4E">
        <w:rPr>
          <w:lang w:val="lv-LV"/>
        </w:rPr>
        <w:t xml:space="preserve">remonta izmaksas </w:t>
      </w:r>
      <w:r w:rsidR="00EC78CA" w:rsidRPr="00785E4E">
        <w:rPr>
          <w:lang w:val="lv-LV"/>
        </w:rPr>
        <w:t>ir</w:t>
      </w:r>
      <w:r w:rsidR="00174F3D" w:rsidRPr="00785E4E">
        <w:rPr>
          <w:lang w:val="lv-LV"/>
        </w:rPr>
        <w:t xml:space="preserve"> jāiekļauj cenā</w:t>
      </w:r>
      <w:r w:rsidR="00886259" w:rsidRPr="00785E4E">
        <w:rPr>
          <w:lang w:val="lv-LV"/>
        </w:rPr>
        <w:t>,</w:t>
      </w:r>
      <w:r w:rsidR="00FC3EBC" w:rsidRPr="00785E4E">
        <w:rPr>
          <w:lang w:val="lv-LV"/>
        </w:rPr>
        <w:t xml:space="preserve"> kur</w:t>
      </w:r>
      <w:r w:rsidR="00503806" w:rsidRPr="00785E4E">
        <w:rPr>
          <w:lang w:val="lv-LV"/>
        </w:rPr>
        <w:t>u</w:t>
      </w:r>
      <w:r w:rsidR="00CD2490" w:rsidRPr="00785E4E">
        <w:rPr>
          <w:lang w:val="lv-LV"/>
        </w:rPr>
        <w:t xml:space="preserve"> </w:t>
      </w:r>
      <w:r w:rsidR="00503806" w:rsidRPr="00785E4E">
        <w:rPr>
          <w:lang w:val="lv-LV"/>
        </w:rPr>
        <w:t xml:space="preserve">norāda atbilstoši </w:t>
      </w:r>
      <w:r w:rsidR="00A949CB" w:rsidRPr="00785E4E">
        <w:rPr>
          <w:lang w:val="lv-LV"/>
        </w:rPr>
        <w:t>4.2.pielikum</w:t>
      </w:r>
      <w:r w:rsidR="00503806" w:rsidRPr="00785E4E">
        <w:rPr>
          <w:lang w:val="lv-LV"/>
        </w:rPr>
        <w:t xml:space="preserve">am </w:t>
      </w:r>
      <w:r w:rsidR="00D94DB1" w:rsidRPr="00785E4E">
        <w:rPr>
          <w:lang w:val="lv-LV"/>
        </w:rPr>
        <w:t>“FINANŠU PIEDĀVĀJUMS”</w:t>
      </w:r>
      <w:r w:rsidR="00503806" w:rsidRPr="00785E4E">
        <w:rPr>
          <w:lang w:val="lv-LV"/>
        </w:rPr>
        <w:t>. Attiecībā uz</w:t>
      </w:r>
      <w:r w:rsidR="00F13158" w:rsidRPr="00785E4E">
        <w:rPr>
          <w:lang w:val="lv-LV"/>
        </w:rPr>
        <w:t xml:space="preserve"> tehniskajām apkopēm</w:t>
      </w:r>
      <w:r w:rsidR="00C00934" w:rsidRPr="00785E4E">
        <w:rPr>
          <w:lang w:val="lv-LV"/>
        </w:rPr>
        <w:t xml:space="preserve"> visā nomas / atliktā maksājuma periodā</w:t>
      </w:r>
      <w:r w:rsidR="00F13158" w:rsidRPr="00785E4E">
        <w:rPr>
          <w:lang w:val="lv-LV"/>
        </w:rPr>
        <w:t>, Pretendents 4.2.pielikuma “FINANŠU PIEDĀVĀJUMS”</w:t>
      </w:r>
      <w:r w:rsidR="00D94DB1" w:rsidRPr="00785E4E">
        <w:rPr>
          <w:lang w:val="lv-LV"/>
        </w:rPr>
        <w:t xml:space="preserve"> 8.pozīcijā</w:t>
      </w:r>
      <w:r w:rsidR="00F13158" w:rsidRPr="00785E4E">
        <w:rPr>
          <w:lang w:val="lv-LV"/>
        </w:rPr>
        <w:t xml:space="preserve"> </w:t>
      </w:r>
      <w:r w:rsidR="00D94DB1" w:rsidRPr="00785E4E">
        <w:rPr>
          <w:lang w:val="lv-LV"/>
        </w:rPr>
        <w:t>norāda</w:t>
      </w:r>
      <w:r w:rsidR="008A370C" w:rsidRPr="00785E4E">
        <w:rPr>
          <w:lang w:val="lv-LV"/>
        </w:rPr>
        <w:t xml:space="preserve"> plānoto </w:t>
      </w:r>
      <w:r w:rsidR="004C3D3D" w:rsidRPr="00785E4E">
        <w:rPr>
          <w:lang w:val="lv-LV"/>
        </w:rPr>
        <w:t>apkopju kopējās izmaksas 60 mēnešos par visiem attiecīgās iepirkuma priekšmeta daļas transportlīdzekļiem kopā</w:t>
      </w:r>
      <w:r w:rsidR="00CE7DDD" w:rsidRPr="00785E4E">
        <w:rPr>
          <w:lang w:val="lv-LV"/>
        </w:rPr>
        <w:t xml:space="preserve"> un saskaņā ar Nolikuma</w:t>
      </w:r>
      <w:r w:rsidR="00FD0F2E" w:rsidRPr="00785E4E">
        <w:rPr>
          <w:lang w:val="lv-LV"/>
        </w:rPr>
        <w:t xml:space="preserve"> 18. un 19.punktu pievieno</w:t>
      </w:r>
      <w:r w:rsidR="00901132" w:rsidRPr="00785E4E">
        <w:rPr>
          <w:lang w:val="lv-LV"/>
        </w:rPr>
        <w:t xml:space="preserve"> plānoto apkopju kopējo izmaksu aprēķinu piedāvātajiem transportlīdzekļu modeļiem</w:t>
      </w:r>
      <w:r w:rsidR="004C3D3D" w:rsidRPr="00785E4E">
        <w:rPr>
          <w:lang w:val="lv-LV"/>
        </w:rPr>
        <w:t>.</w:t>
      </w:r>
      <w:r w:rsidR="005F6B4D" w:rsidRPr="00785E4E">
        <w:rPr>
          <w:lang w:val="lv-LV"/>
        </w:rPr>
        <w:t xml:space="preserve"> Garantijas</w:t>
      </w:r>
      <w:r w:rsidR="00C00934" w:rsidRPr="00785E4E">
        <w:rPr>
          <w:lang w:val="lv-LV"/>
        </w:rPr>
        <w:t xml:space="preserve"> </w:t>
      </w:r>
      <w:r w:rsidR="00E74CE2" w:rsidRPr="00785E4E">
        <w:rPr>
          <w:lang w:val="lv-LV"/>
        </w:rPr>
        <w:t>remontdarbiem</w:t>
      </w:r>
      <w:r w:rsidR="00C00934" w:rsidRPr="00785E4E">
        <w:rPr>
          <w:lang w:val="lv-LV"/>
        </w:rPr>
        <w:t>, ja tādi būs nepieciešami, lai nodrošinātu garantijas saistību izpildi,</w:t>
      </w:r>
      <w:r w:rsidR="00E74CE2" w:rsidRPr="00785E4E">
        <w:rPr>
          <w:lang w:val="lv-LV"/>
        </w:rPr>
        <w:t xml:space="preserve"> jābūt ietvert</w:t>
      </w:r>
      <w:r w:rsidR="00C0064C" w:rsidRPr="00785E4E">
        <w:rPr>
          <w:lang w:val="lv-LV"/>
        </w:rPr>
        <w:t>ie</w:t>
      </w:r>
      <w:r w:rsidR="00E74CE2" w:rsidRPr="00785E4E">
        <w:rPr>
          <w:lang w:val="lv-LV"/>
        </w:rPr>
        <w:t>m</w:t>
      </w:r>
      <w:r w:rsidR="009A7897" w:rsidRPr="00785E4E">
        <w:rPr>
          <w:lang w:val="lv-LV"/>
        </w:rPr>
        <w:t xml:space="preserve"> transportlīdzekļa</w:t>
      </w:r>
      <w:r w:rsidR="00C0064C" w:rsidRPr="00785E4E">
        <w:rPr>
          <w:lang w:val="lv-LV"/>
        </w:rPr>
        <w:t xml:space="preserve"> cenā.</w:t>
      </w:r>
      <w:r w:rsidR="00C00934" w:rsidRPr="00785E4E">
        <w:rPr>
          <w:lang w:val="lv-LV"/>
        </w:rPr>
        <w:t xml:space="preserve"> </w:t>
      </w:r>
    </w:p>
    <w:p w14:paraId="134F3238" w14:textId="77777777" w:rsidR="00C54764" w:rsidRPr="00785E4E" w:rsidRDefault="00C54764" w:rsidP="00C942C2">
      <w:pPr>
        <w:ind w:right="-291"/>
        <w:jc w:val="both"/>
        <w:rPr>
          <w:lang w:val="lv-LV"/>
        </w:rPr>
      </w:pPr>
    </w:p>
    <w:p w14:paraId="0DE93389" w14:textId="4E41AA8D" w:rsidR="002916E0" w:rsidRPr="00785E4E" w:rsidRDefault="002916E0" w:rsidP="00C942C2">
      <w:pPr>
        <w:spacing w:after="120"/>
        <w:ind w:right="-291"/>
        <w:jc w:val="both"/>
        <w:outlineLvl w:val="0"/>
        <w:rPr>
          <w:lang w:val="lv-LV"/>
        </w:rPr>
      </w:pPr>
      <w:bookmarkStart w:id="0" w:name="_Hlk45878414"/>
      <w:bookmarkStart w:id="1" w:name="_Hlk45876149"/>
      <w:bookmarkStart w:id="2" w:name="_Hlk142577346"/>
      <w:r w:rsidRPr="00785E4E">
        <w:rPr>
          <w:lang w:val="lv-LV"/>
        </w:rPr>
        <w:t>Iepirkumu komisijas priekšsēdētāja</w:t>
      </w:r>
      <w:bookmarkEnd w:id="0"/>
      <w:bookmarkEnd w:id="1"/>
      <w:r w:rsidRPr="00785E4E">
        <w:rPr>
          <w:lang w:val="lv-LV"/>
        </w:rPr>
        <w:tab/>
      </w:r>
      <w:r w:rsidRPr="00785E4E">
        <w:rPr>
          <w:lang w:val="lv-LV"/>
        </w:rPr>
        <w:tab/>
      </w:r>
      <w:r w:rsidR="00505854" w:rsidRPr="00785E4E">
        <w:rPr>
          <w:lang w:val="lv-LV"/>
        </w:rPr>
        <w:tab/>
      </w:r>
      <w:r w:rsidR="00505854" w:rsidRPr="00785E4E">
        <w:rPr>
          <w:lang w:val="lv-LV"/>
        </w:rPr>
        <w:tab/>
      </w:r>
      <w:r w:rsidR="00AC054F" w:rsidRPr="00785E4E">
        <w:rPr>
          <w:lang w:val="lv-LV"/>
        </w:rPr>
        <w:tab/>
      </w:r>
      <w:r w:rsidR="00B321F4" w:rsidRPr="00785E4E">
        <w:rPr>
          <w:lang w:val="lv-LV"/>
        </w:rPr>
        <w:t>K</w:t>
      </w:r>
      <w:r w:rsidR="005461CE" w:rsidRPr="00785E4E">
        <w:rPr>
          <w:lang w:val="lv-LV"/>
        </w:rPr>
        <w:t>.</w:t>
      </w:r>
      <w:r w:rsidR="00ED6737" w:rsidRPr="00785E4E">
        <w:rPr>
          <w:lang w:val="lv-LV"/>
        </w:rPr>
        <w:t xml:space="preserve"> </w:t>
      </w:r>
      <w:r w:rsidR="00B321F4" w:rsidRPr="00785E4E">
        <w:rPr>
          <w:lang w:val="lv-LV"/>
        </w:rPr>
        <w:t>Meiberga</w:t>
      </w:r>
    </w:p>
    <w:bookmarkEnd w:id="2"/>
    <w:p w14:paraId="1D15D7D8" w14:textId="77777777" w:rsidR="00E070A8" w:rsidRPr="00785E4E" w:rsidRDefault="00E070A8" w:rsidP="00C942C2">
      <w:pPr>
        <w:pStyle w:val="Footer"/>
        <w:ind w:right="-291"/>
        <w:jc w:val="center"/>
        <w:rPr>
          <w:szCs w:val="22"/>
          <w:lang w:val="lv-LV"/>
        </w:rPr>
      </w:pPr>
    </w:p>
    <w:p w14:paraId="6C610D7B" w14:textId="77777777" w:rsidR="004C3D3D" w:rsidRPr="00785E4E" w:rsidRDefault="004C3D3D" w:rsidP="00C942C2">
      <w:pPr>
        <w:pStyle w:val="Footer"/>
        <w:ind w:right="-291"/>
        <w:jc w:val="center"/>
        <w:rPr>
          <w:szCs w:val="22"/>
          <w:lang w:val="lv-LV"/>
        </w:rPr>
      </w:pPr>
    </w:p>
    <w:p w14:paraId="2EE61468" w14:textId="4838B5B8" w:rsidR="00AD6E80" w:rsidRPr="00785E4E" w:rsidRDefault="00AD6E80" w:rsidP="00C942C2">
      <w:pPr>
        <w:pStyle w:val="Footer"/>
        <w:ind w:right="-291"/>
        <w:rPr>
          <w:sz w:val="16"/>
          <w:szCs w:val="16"/>
          <w:lang w:val="lv-LV"/>
        </w:rPr>
      </w:pPr>
    </w:p>
    <w:sectPr w:rsidR="00AD6E80" w:rsidRPr="00785E4E" w:rsidSect="00C942C2">
      <w:headerReference w:type="even" r:id="rId12"/>
      <w:headerReference w:type="default" r:id="rId13"/>
      <w:footerReference w:type="default" r:id="rId14"/>
      <w:headerReference w:type="first" r:id="rId15"/>
      <w:footerReference w:type="first" r:id="rId16"/>
      <w:pgSz w:w="11900" w:h="16840" w:code="9"/>
      <w:pgMar w:top="1134" w:right="1134" w:bottom="993"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BCA67" w14:textId="77777777" w:rsidR="00680B30" w:rsidRDefault="00680B30">
      <w:r>
        <w:separator/>
      </w:r>
    </w:p>
  </w:endnote>
  <w:endnote w:type="continuationSeparator" w:id="0">
    <w:p w14:paraId="1F43BA9E" w14:textId="77777777" w:rsidR="00680B30" w:rsidRDefault="00680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16376070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52FF" w14:textId="77777777" w:rsidR="00680B30" w:rsidRDefault="00680B30">
      <w:r>
        <w:separator/>
      </w:r>
    </w:p>
  </w:footnote>
  <w:footnote w:type="continuationSeparator" w:id="0">
    <w:p w14:paraId="1A2F3C88" w14:textId="77777777" w:rsidR="00680B30" w:rsidRDefault="00680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2686B7FA">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025765729" name="Picture 102576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6B524583" w:rsidR="00BA1D4B" w:rsidRDefault="00BA1D4B" w:rsidP="00BA1D4B">
    <w:pPr>
      <w:pStyle w:val="Header"/>
      <w:tabs>
        <w:tab w:val="left" w:pos="426"/>
        <w:tab w:val="left" w:pos="1418"/>
      </w:tabs>
      <w:jc w:val="both"/>
    </w:pPr>
    <w:r>
      <w:t>03.12.2024</w:t>
    </w:r>
    <w:r w:rsidR="00C942C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1"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5"/>
  </w:num>
  <w:num w:numId="3" w16cid:durableId="1228152698">
    <w:abstractNumId w:val="2"/>
  </w:num>
  <w:num w:numId="4" w16cid:durableId="1548640362">
    <w:abstractNumId w:val="11"/>
  </w:num>
  <w:num w:numId="5" w16cid:durableId="507645777">
    <w:abstractNumId w:val="6"/>
  </w:num>
  <w:num w:numId="6" w16cid:durableId="1786344621">
    <w:abstractNumId w:val="3"/>
  </w:num>
  <w:num w:numId="7" w16cid:durableId="380137759">
    <w:abstractNumId w:val="9"/>
  </w:num>
  <w:num w:numId="8" w16cid:durableId="1227959140">
    <w:abstractNumId w:val="4"/>
  </w:num>
  <w:num w:numId="9" w16cid:durableId="251092543">
    <w:abstractNumId w:val="1"/>
  </w:num>
  <w:num w:numId="10" w16cid:durableId="1436247068">
    <w:abstractNumId w:val="10"/>
  </w:num>
  <w:num w:numId="11" w16cid:durableId="82725786">
    <w:abstractNumId w:val="7"/>
  </w:num>
  <w:num w:numId="12" w16cid:durableId="810636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859"/>
    <w:rsid w:val="00012045"/>
    <w:rsid w:val="00016FFA"/>
    <w:rsid w:val="0002420B"/>
    <w:rsid w:val="0002645F"/>
    <w:rsid w:val="0002766F"/>
    <w:rsid w:val="00030E23"/>
    <w:rsid w:val="0004255E"/>
    <w:rsid w:val="0004286D"/>
    <w:rsid w:val="000525F0"/>
    <w:rsid w:val="000534DF"/>
    <w:rsid w:val="000577A0"/>
    <w:rsid w:val="000602E5"/>
    <w:rsid w:val="0006415F"/>
    <w:rsid w:val="00067893"/>
    <w:rsid w:val="00070F05"/>
    <w:rsid w:val="0007156E"/>
    <w:rsid w:val="00072904"/>
    <w:rsid w:val="0007310F"/>
    <w:rsid w:val="00083E27"/>
    <w:rsid w:val="000878EE"/>
    <w:rsid w:val="0009674E"/>
    <w:rsid w:val="000A4611"/>
    <w:rsid w:val="000A5177"/>
    <w:rsid w:val="000B75CA"/>
    <w:rsid w:val="000C3C08"/>
    <w:rsid w:val="000C3C5D"/>
    <w:rsid w:val="000C4B9C"/>
    <w:rsid w:val="000C5CAC"/>
    <w:rsid w:val="000C7BA7"/>
    <w:rsid w:val="000D003C"/>
    <w:rsid w:val="000D55D7"/>
    <w:rsid w:val="000E098F"/>
    <w:rsid w:val="000E1E7A"/>
    <w:rsid w:val="000E2C90"/>
    <w:rsid w:val="000E362C"/>
    <w:rsid w:val="000E6657"/>
    <w:rsid w:val="000F1FDD"/>
    <w:rsid w:val="00100C20"/>
    <w:rsid w:val="00113333"/>
    <w:rsid w:val="001135C2"/>
    <w:rsid w:val="00114C7C"/>
    <w:rsid w:val="001156D3"/>
    <w:rsid w:val="00120C2B"/>
    <w:rsid w:val="00124AE7"/>
    <w:rsid w:val="001259FA"/>
    <w:rsid w:val="00133B29"/>
    <w:rsid w:val="00152D8F"/>
    <w:rsid w:val="0017114D"/>
    <w:rsid w:val="00174F3D"/>
    <w:rsid w:val="00175A7E"/>
    <w:rsid w:val="00176AEB"/>
    <w:rsid w:val="00176FEF"/>
    <w:rsid w:val="00186654"/>
    <w:rsid w:val="00193B2B"/>
    <w:rsid w:val="00196947"/>
    <w:rsid w:val="00196F4D"/>
    <w:rsid w:val="001975DF"/>
    <w:rsid w:val="001A536B"/>
    <w:rsid w:val="001B000D"/>
    <w:rsid w:val="001C1098"/>
    <w:rsid w:val="001C2386"/>
    <w:rsid w:val="001C4608"/>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438F4"/>
    <w:rsid w:val="00265BD1"/>
    <w:rsid w:val="00272914"/>
    <w:rsid w:val="00274B64"/>
    <w:rsid w:val="00281D81"/>
    <w:rsid w:val="002916E0"/>
    <w:rsid w:val="00296EEA"/>
    <w:rsid w:val="002B5B4D"/>
    <w:rsid w:val="002B61D0"/>
    <w:rsid w:val="002C183E"/>
    <w:rsid w:val="002C5EDE"/>
    <w:rsid w:val="002C73AB"/>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41A0"/>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D1A40"/>
    <w:rsid w:val="003D2AA8"/>
    <w:rsid w:val="003E4485"/>
    <w:rsid w:val="003E45A2"/>
    <w:rsid w:val="003E5D96"/>
    <w:rsid w:val="003E69A3"/>
    <w:rsid w:val="003E7C3F"/>
    <w:rsid w:val="003F11D0"/>
    <w:rsid w:val="003F396A"/>
    <w:rsid w:val="003F446C"/>
    <w:rsid w:val="003F4AC5"/>
    <w:rsid w:val="0040028F"/>
    <w:rsid w:val="0040238E"/>
    <w:rsid w:val="0040325E"/>
    <w:rsid w:val="00404071"/>
    <w:rsid w:val="00405BE2"/>
    <w:rsid w:val="00405F27"/>
    <w:rsid w:val="004124BC"/>
    <w:rsid w:val="00420C24"/>
    <w:rsid w:val="0042500D"/>
    <w:rsid w:val="00425288"/>
    <w:rsid w:val="00425334"/>
    <w:rsid w:val="00434308"/>
    <w:rsid w:val="00440FCB"/>
    <w:rsid w:val="0044160F"/>
    <w:rsid w:val="00443886"/>
    <w:rsid w:val="00446224"/>
    <w:rsid w:val="0045147A"/>
    <w:rsid w:val="00454D63"/>
    <w:rsid w:val="00465E55"/>
    <w:rsid w:val="00480D98"/>
    <w:rsid w:val="00481570"/>
    <w:rsid w:val="00487E4B"/>
    <w:rsid w:val="00495061"/>
    <w:rsid w:val="004979B4"/>
    <w:rsid w:val="004A0D6C"/>
    <w:rsid w:val="004A37E7"/>
    <w:rsid w:val="004A3AC4"/>
    <w:rsid w:val="004A5279"/>
    <w:rsid w:val="004B5FA3"/>
    <w:rsid w:val="004C2F01"/>
    <w:rsid w:val="004C3D3D"/>
    <w:rsid w:val="004C4EA1"/>
    <w:rsid w:val="004C4EEB"/>
    <w:rsid w:val="004D0719"/>
    <w:rsid w:val="004D0D8B"/>
    <w:rsid w:val="004D33C0"/>
    <w:rsid w:val="004E3DE4"/>
    <w:rsid w:val="004F4340"/>
    <w:rsid w:val="004F46E0"/>
    <w:rsid w:val="004F581B"/>
    <w:rsid w:val="004F58C0"/>
    <w:rsid w:val="00503806"/>
    <w:rsid w:val="00505854"/>
    <w:rsid w:val="005065AA"/>
    <w:rsid w:val="00507665"/>
    <w:rsid w:val="00515201"/>
    <w:rsid w:val="00516AA2"/>
    <w:rsid w:val="00522465"/>
    <w:rsid w:val="0053039A"/>
    <w:rsid w:val="005314A2"/>
    <w:rsid w:val="00534A17"/>
    <w:rsid w:val="00536A35"/>
    <w:rsid w:val="00536DF6"/>
    <w:rsid w:val="005404CF"/>
    <w:rsid w:val="005408FF"/>
    <w:rsid w:val="0054525F"/>
    <w:rsid w:val="005461CE"/>
    <w:rsid w:val="00570002"/>
    <w:rsid w:val="005721A6"/>
    <w:rsid w:val="00574A97"/>
    <w:rsid w:val="0058458B"/>
    <w:rsid w:val="0058548A"/>
    <w:rsid w:val="0058717E"/>
    <w:rsid w:val="005A1A53"/>
    <w:rsid w:val="005A3A19"/>
    <w:rsid w:val="005A4026"/>
    <w:rsid w:val="005A7731"/>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6B4D"/>
    <w:rsid w:val="005F77F2"/>
    <w:rsid w:val="00600E3F"/>
    <w:rsid w:val="00601A33"/>
    <w:rsid w:val="00603969"/>
    <w:rsid w:val="00606361"/>
    <w:rsid w:val="00606DF2"/>
    <w:rsid w:val="00610F5E"/>
    <w:rsid w:val="00611305"/>
    <w:rsid w:val="006117FF"/>
    <w:rsid w:val="00614E6D"/>
    <w:rsid w:val="0061644E"/>
    <w:rsid w:val="006228B5"/>
    <w:rsid w:val="00623B71"/>
    <w:rsid w:val="006249BA"/>
    <w:rsid w:val="00626BA8"/>
    <w:rsid w:val="006339F1"/>
    <w:rsid w:val="006453E9"/>
    <w:rsid w:val="006454C9"/>
    <w:rsid w:val="00645B26"/>
    <w:rsid w:val="0064688F"/>
    <w:rsid w:val="00647753"/>
    <w:rsid w:val="00650567"/>
    <w:rsid w:val="006635B6"/>
    <w:rsid w:val="006738A3"/>
    <w:rsid w:val="0067642E"/>
    <w:rsid w:val="00680B30"/>
    <w:rsid w:val="00680EF3"/>
    <w:rsid w:val="0068164B"/>
    <w:rsid w:val="00681D93"/>
    <w:rsid w:val="006859A9"/>
    <w:rsid w:val="006874A7"/>
    <w:rsid w:val="00695BEF"/>
    <w:rsid w:val="00695EDE"/>
    <w:rsid w:val="00697421"/>
    <w:rsid w:val="006975A2"/>
    <w:rsid w:val="00697E87"/>
    <w:rsid w:val="006A672C"/>
    <w:rsid w:val="006A6832"/>
    <w:rsid w:val="006C0C98"/>
    <w:rsid w:val="006C0EEC"/>
    <w:rsid w:val="006C4F39"/>
    <w:rsid w:val="006C7267"/>
    <w:rsid w:val="006D11FD"/>
    <w:rsid w:val="006E68D8"/>
    <w:rsid w:val="006F015E"/>
    <w:rsid w:val="006F3400"/>
    <w:rsid w:val="006F589D"/>
    <w:rsid w:val="006F5D05"/>
    <w:rsid w:val="006F7D4A"/>
    <w:rsid w:val="0070162C"/>
    <w:rsid w:val="00703FC1"/>
    <w:rsid w:val="0070639B"/>
    <w:rsid w:val="00712459"/>
    <w:rsid w:val="0072022F"/>
    <w:rsid w:val="0072149F"/>
    <w:rsid w:val="00733544"/>
    <w:rsid w:val="00740E4F"/>
    <w:rsid w:val="00742A99"/>
    <w:rsid w:val="00756A0F"/>
    <w:rsid w:val="00756CAE"/>
    <w:rsid w:val="00757490"/>
    <w:rsid w:val="00766140"/>
    <w:rsid w:val="00766B5B"/>
    <w:rsid w:val="0077096E"/>
    <w:rsid w:val="00773D18"/>
    <w:rsid w:val="007857EA"/>
    <w:rsid w:val="00785E4E"/>
    <w:rsid w:val="007875D1"/>
    <w:rsid w:val="00791003"/>
    <w:rsid w:val="0079222B"/>
    <w:rsid w:val="00793A07"/>
    <w:rsid w:val="00795903"/>
    <w:rsid w:val="00796301"/>
    <w:rsid w:val="007A34BE"/>
    <w:rsid w:val="007A55FC"/>
    <w:rsid w:val="007B0327"/>
    <w:rsid w:val="007B2B9B"/>
    <w:rsid w:val="007B4B35"/>
    <w:rsid w:val="007B6020"/>
    <w:rsid w:val="007C759B"/>
    <w:rsid w:val="007D0CBC"/>
    <w:rsid w:val="007D219A"/>
    <w:rsid w:val="007D62F7"/>
    <w:rsid w:val="007D6B42"/>
    <w:rsid w:val="007F7137"/>
    <w:rsid w:val="00800AF3"/>
    <w:rsid w:val="00802A5E"/>
    <w:rsid w:val="008034ED"/>
    <w:rsid w:val="00806272"/>
    <w:rsid w:val="00807296"/>
    <w:rsid w:val="0080767A"/>
    <w:rsid w:val="00817C37"/>
    <w:rsid w:val="008203D5"/>
    <w:rsid w:val="008209A5"/>
    <w:rsid w:val="0082362C"/>
    <w:rsid w:val="008278BD"/>
    <w:rsid w:val="00832355"/>
    <w:rsid w:val="00833205"/>
    <w:rsid w:val="008415AF"/>
    <w:rsid w:val="00847A4A"/>
    <w:rsid w:val="00851B65"/>
    <w:rsid w:val="008533C8"/>
    <w:rsid w:val="00862FFE"/>
    <w:rsid w:val="008632F0"/>
    <w:rsid w:val="00865460"/>
    <w:rsid w:val="00866B27"/>
    <w:rsid w:val="0087213F"/>
    <w:rsid w:val="008731BB"/>
    <w:rsid w:val="0087386D"/>
    <w:rsid w:val="0087612C"/>
    <w:rsid w:val="00885AD9"/>
    <w:rsid w:val="00886259"/>
    <w:rsid w:val="00886CDE"/>
    <w:rsid w:val="00886F38"/>
    <w:rsid w:val="008977B7"/>
    <w:rsid w:val="00897E05"/>
    <w:rsid w:val="008A046C"/>
    <w:rsid w:val="008A370C"/>
    <w:rsid w:val="008A616C"/>
    <w:rsid w:val="008A7B0C"/>
    <w:rsid w:val="008C2FF7"/>
    <w:rsid w:val="008E3092"/>
    <w:rsid w:val="008E4C93"/>
    <w:rsid w:val="008E5C8B"/>
    <w:rsid w:val="008E7D13"/>
    <w:rsid w:val="008F6000"/>
    <w:rsid w:val="008F785D"/>
    <w:rsid w:val="008F791B"/>
    <w:rsid w:val="00901132"/>
    <w:rsid w:val="00901C98"/>
    <w:rsid w:val="00902D00"/>
    <w:rsid w:val="009034AC"/>
    <w:rsid w:val="00904B48"/>
    <w:rsid w:val="00907F31"/>
    <w:rsid w:val="009134FF"/>
    <w:rsid w:val="00914ACB"/>
    <w:rsid w:val="00915107"/>
    <w:rsid w:val="009204F9"/>
    <w:rsid w:val="0092196F"/>
    <w:rsid w:val="00926E0B"/>
    <w:rsid w:val="00927EDB"/>
    <w:rsid w:val="00930BAB"/>
    <w:rsid w:val="0093109F"/>
    <w:rsid w:val="00931737"/>
    <w:rsid w:val="00932DF3"/>
    <w:rsid w:val="00943032"/>
    <w:rsid w:val="00944AC2"/>
    <w:rsid w:val="0095071F"/>
    <w:rsid w:val="009525FC"/>
    <w:rsid w:val="0095711C"/>
    <w:rsid w:val="0096309E"/>
    <w:rsid w:val="00977F51"/>
    <w:rsid w:val="00991040"/>
    <w:rsid w:val="009A3FEC"/>
    <w:rsid w:val="009A42BA"/>
    <w:rsid w:val="009A7897"/>
    <w:rsid w:val="009B22D1"/>
    <w:rsid w:val="009E07A7"/>
    <w:rsid w:val="009E2276"/>
    <w:rsid w:val="009E2DB8"/>
    <w:rsid w:val="009F56DC"/>
    <w:rsid w:val="009F6088"/>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49CB"/>
    <w:rsid w:val="00A95E33"/>
    <w:rsid w:val="00AA0E4F"/>
    <w:rsid w:val="00AA3FA4"/>
    <w:rsid w:val="00AA5F83"/>
    <w:rsid w:val="00AB152E"/>
    <w:rsid w:val="00AB7B6C"/>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9098E"/>
    <w:rsid w:val="00B9382A"/>
    <w:rsid w:val="00B96019"/>
    <w:rsid w:val="00BA0601"/>
    <w:rsid w:val="00BA1D4B"/>
    <w:rsid w:val="00BA375B"/>
    <w:rsid w:val="00BA5CFA"/>
    <w:rsid w:val="00BC059D"/>
    <w:rsid w:val="00BD03A9"/>
    <w:rsid w:val="00BD52CF"/>
    <w:rsid w:val="00BE0693"/>
    <w:rsid w:val="00BE0DAF"/>
    <w:rsid w:val="00BE2AEE"/>
    <w:rsid w:val="00BE5AD3"/>
    <w:rsid w:val="00BF0CFE"/>
    <w:rsid w:val="00C0064C"/>
    <w:rsid w:val="00C00934"/>
    <w:rsid w:val="00C05525"/>
    <w:rsid w:val="00C162D5"/>
    <w:rsid w:val="00C21022"/>
    <w:rsid w:val="00C2117D"/>
    <w:rsid w:val="00C2173E"/>
    <w:rsid w:val="00C2667A"/>
    <w:rsid w:val="00C34C4C"/>
    <w:rsid w:val="00C371AA"/>
    <w:rsid w:val="00C54764"/>
    <w:rsid w:val="00C565FF"/>
    <w:rsid w:val="00C568F5"/>
    <w:rsid w:val="00C56C55"/>
    <w:rsid w:val="00C57137"/>
    <w:rsid w:val="00C608ED"/>
    <w:rsid w:val="00C63352"/>
    <w:rsid w:val="00C66246"/>
    <w:rsid w:val="00C73370"/>
    <w:rsid w:val="00C75BDF"/>
    <w:rsid w:val="00C8094C"/>
    <w:rsid w:val="00C81191"/>
    <w:rsid w:val="00C84969"/>
    <w:rsid w:val="00C84BFC"/>
    <w:rsid w:val="00C84FE1"/>
    <w:rsid w:val="00C877BB"/>
    <w:rsid w:val="00C90C13"/>
    <w:rsid w:val="00C92AE3"/>
    <w:rsid w:val="00C942C2"/>
    <w:rsid w:val="00C950CD"/>
    <w:rsid w:val="00C96B4F"/>
    <w:rsid w:val="00CA537C"/>
    <w:rsid w:val="00CA73ED"/>
    <w:rsid w:val="00CB2C12"/>
    <w:rsid w:val="00CB6249"/>
    <w:rsid w:val="00CB6DB1"/>
    <w:rsid w:val="00CC0E08"/>
    <w:rsid w:val="00CD2490"/>
    <w:rsid w:val="00CD344E"/>
    <w:rsid w:val="00CD682F"/>
    <w:rsid w:val="00CE0C87"/>
    <w:rsid w:val="00CE2A46"/>
    <w:rsid w:val="00CE5415"/>
    <w:rsid w:val="00CE7DDD"/>
    <w:rsid w:val="00CF18FA"/>
    <w:rsid w:val="00CF2BED"/>
    <w:rsid w:val="00CF3B8D"/>
    <w:rsid w:val="00CF4CBE"/>
    <w:rsid w:val="00CF6AF0"/>
    <w:rsid w:val="00CF6C7E"/>
    <w:rsid w:val="00D02E79"/>
    <w:rsid w:val="00D07788"/>
    <w:rsid w:val="00D16CB6"/>
    <w:rsid w:val="00D17AAC"/>
    <w:rsid w:val="00D31D14"/>
    <w:rsid w:val="00D33090"/>
    <w:rsid w:val="00D3664D"/>
    <w:rsid w:val="00D36BE0"/>
    <w:rsid w:val="00D4056B"/>
    <w:rsid w:val="00D418A1"/>
    <w:rsid w:val="00D43D83"/>
    <w:rsid w:val="00D504A7"/>
    <w:rsid w:val="00D54B55"/>
    <w:rsid w:val="00D62421"/>
    <w:rsid w:val="00D65827"/>
    <w:rsid w:val="00D81F1C"/>
    <w:rsid w:val="00D853DC"/>
    <w:rsid w:val="00D86507"/>
    <w:rsid w:val="00D87AB7"/>
    <w:rsid w:val="00D93802"/>
    <w:rsid w:val="00D94DB1"/>
    <w:rsid w:val="00D962D6"/>
    <w:rsid w:val="00D973CF"/>
    <w:rsid w:val="00DA0C26"/>
    <w:rsid w:val="00DA1E9E"/>
    <w:rsid w:val="00DA28C1"/>
    <w:rsid w:val="00DA341B"/>
    <w:rsid w:val="00DA413F"/>
    <w:rsid w:val="00DA66DF"/>
    <w:rsid w:val="00DB0DF0"/>
    <w:rsid w:val="00DB20E9"/>
    <w:rsid w:val="00DB3640"/>
    <w:rsid w:val="00DB53A4"/>
    <w:rsid w:val="00DB6935"/>
    <w:rsid w:val="00DC6352"/>
    <w:rsid w:val="00DD0777"/>
    <w:rsid w:val="00DE7BA9"/>
    <w:rsid w:val="00DF0675"/>
    <w:rsid w:val="00DF68AD"/>
    <w:rsid w:val="00E0001B"/>
    <w:rsid w:val="00E0195C"/>
    <w:rsid w:val="00E01DBC"/>
    <w:rsid w:val="00E070A8"/>
    <w:rsid w:val="00E11F85"/>
    <w:rsid w:val="00E2132B"/>
    <w:rsid w:val="00E275A9"/>
    <w:rsid w:val="00E3203C"/>
    <w:rsid w:val="00E359C5"/>
    <w:rsid w:val="00E374DB"/>
    <w:rsid w:val="00E4199E"/>
    <w:rsid w:val="00E46177"/>
    <w:rsid w:val="00E46DEE"/>
    <w:rsid w:val="00E520EE"/>
    <w:rsid w:val="00E531DF"/>
    <w:rsid w:val="00E56A01"/>
    <w:rsid w:val="00E60BF3"/>
    <w:rsid w:val="00E62699"/>
    <w:rsid w:val="00E6592A"/>
    <w:rsid w:val="00E74CE2"/>
    <w:rsid w:val="00E751C9"/>
    <w:rsid w:val="00E75820"/>
    <w:rsid w:val="00E9117F"/>
    <w:rsid w:val="00E942AE"/>
    <w:rsid w:val="00EA4BAE"/>
    <w:rsid w:val="00EB089E"/>
    <w:rsid w:val="00EB24A5"/>
    <w:rsid w:val="00EC3D3B"/>
    <w:rsid w:val="00EC4BA7"/>
    <w:rsid w:val="00EC78CA"/>
    <w:rsid w:val="00ED4413"/>
    <w:rsid w:val="00ED4755"/>
    <w:rsid w:val="00ED6737"/>
    <w:rsid w:val="00EE149B"/>
    <w:rsid w:val="00EE2ADF"/>
    <w:rsid w:val="00EE3B1E"/>
    <w:rsid w:val="00EF07BF"/>
    <w:rsid w:val="00EF0D3D"/>
    <w:rsid w:val="00EF70AC"/>
    <w:rsid w:val="00F01C15"/>
    <w:rsid w:val="00F103EF"/>
    <w:rsid w:val="00F13158"/>
    <w:rsid w:val="00F20017"/>
    <w:rsid w:val="00F213A8"/>
    <w:rsid w:val="00F21AD0"/>
    <w:rsid w:val="00F314E5"/>
    <w:rsid w:val="00F3518F"/>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3EBC"/>
    <w:rsid w:val="00FC745C"/>
    <w:rsid w:val="00FD0435"/>
    <w:rsid w:val="00FD0F2E"/>
    <w:rsid w:val="00FD27AE"/>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693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rPr>
      <w:lang w:val="en-GB"/>
    </w:rPr>
  </w:style>
  <w:style w:type="paragraph" w:styleId="Footer">
    <w:name w:val="footer"/>
    <w:basedOn w:val="Normal"/>
    <w:link w:val="FooterChar"/>
    <w:uiPriority w:val="99"/>
    <w:locked/>
    <w:rsid w:val="00756CAE"/>
    <w:pPr>
      <w:tabs>
        <w:tab w:val="center" w:pos="4153"/>
        <w:tab w:val="right" w:pos="8306"/>
      </w:tabs>
    </w:pPr>
    <w:rPr>
      <w:lang w:val="en-GB"/>
    </w:r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lang w:val="en-GB"/>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eastAsia="en-GB"/>
    </w:rPr>
  </w:style>
  <w:style w:type="paragraph" w:customStyle="1" w:styleId="xmsonormal">
    <w:name w:val="x_msonormal"/>
    <w:basedOn w:val="Normal"/>
    <w:rsid w:val="002023EF"/>
    <w:pPr>
      <w:spacing w:before="100" w:beforeAutospacing="1" w:after="100" w:afterAutospacing="1"/>
    </w:pPr>
  </w:style>
  <w:style w:type="paragraph" w:customStyle="1" w:styleId="xmsolistparagraph">
    <w:name w:val="x_msolistparagraph"/>
    <w:basedOn w:val="Normal"/>
    <w:rsid w:val="002023EF"/>
    <w:pPr>
      <w:spacing w:before="100" w:beforeAutospacing="1" w:after="100" w:afterAutospacing="1"/>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4350">
      <w:bodyDiv w:val="1"/>
      <w:marLeft w:val="0"/>
      <w:marRight w:val="0"/>
      <w:marTop w:val="0"/>
      <w:marBottom w:val="0"/>
      <w:divBdr>
        <w:top w:val="none" w:sz="0" w:space="0" w:color="auto"/>
        <w:left w:val="none" w:sz="0" w:space="0" w:color="auto"/>
        <w:bottom w:val="none" w:sz="0" w:space="0" w:color="auto"/>
        <w:right w:val="none" w:sz="0" w:space="0" w:color="auto"/>
      </w:divBdr>
    </w:div>
    <w:div w:id="273440889">
      <w:bodyDiv w:val="1"/>
      <w:marLeft w:val="0"/>
      <w:marRight w:val="0"/>
      <w:marTop w:val="0"/>
      <w:marBottom w:val="0"/>
      <w:divBdr>
        <w:top w:val="none" w:sz="0" w:space="0" w:color="auto"/>
        <w:left w:val="none" w:sz="0" w:space="0" w:color="auto"/>
        <w:bottom w:val="none" w:sz="0" w:space="0" w:color="auto"/>
        <w:right w:val="none" w:sz="0" w:space="0" w:color="auto"/>
      </w:divBdr>
    </w:div>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404378170">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94861186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88E4C8B0-8C5E-49C1-AB3C-13144912DF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2163</Characters>
  <Application>Microsoft Office Word</Application>
  <DocSecurity>0</DocSecurity>
  <Lines>18</Lines>
  <Paragraphs>4</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
      <vt:lpstr>1.atbilde:</vt:lpstr>
      <vt:lpstr>Iepirkumu komisijas priekšsēdētāja					*K. Meiberga</vt:lpstr>
      <vt:lpstr/>
    </vt:vector>
  </TitlesOfParts>
  <Company>Rigas Satiksme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2024-12-03T08:57:00Z</dcterms:created>
  <dcterms:modified xsi:type="dcterms:W3CDTF">2024-12-03T08:57:00Z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