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3078"/>
        <w:gridCol w:w="5231"/>
      </w:tblGrid>
      <w:tr w:rsidR="00344F74" w:rsidRPr="00081CC7" w14:paraId="1425187E" w14:textId="77777777" w:rsidTr="00B829DD">
        <w:trPr>
          <w:trHeight w:val="269"/>
        </w:trPr>
        <w:tc>
          <w:tcPr>
            <w:tcW w:w="753" w:type="dxa"/>
          </w:tcPr>
          <w:p w14:paraId="499AE1CB" w14:textId="77777777" w:rsidR="00344F74" w:rsidRPr="00081CC7" w:rsidRDefault="00344F74" w:rsidP="00B77459">
            <w:r>
              <w:t>N.P.K.</w:t>
            </w:r>
          </w:p>
        </w:tc>
        <w:tc>
          <w:tcPr>
            <w:tcW w:w="3078" w:type="dxa"/>
          </w:tcPr>
          <w:p w14:paraId="55D4FBD7" w14:textId="0C6E7084" w:rsidR="00344F74" w:rsidRPr="00081CC7" w:rsidRDefault="0020074A" w:rsidP="0020074A">
            <w:pPr>
              <w:jc w:val="center"/>
            </w:pPr>
            <w:r>
              <w:t>JAUTĀJUMS</w:t>
            </w:r>
          </w:p>
        </w:tc>
        <w:tc>
          <w:tcPr>
            <w:tcW w:w="5231" w:type="dxa"/>
          </w:tcPr>
          <w:p w14:paraId="66CE51CD" w14:textId="040E1A90" w:rsidR="00344F74" w:rsidRPr="00081CC7" w:rsidRDefault="0020074A" w:rsidP="0020074A">
            <w:pPr>
              <w:jc w:val="center"/>
            </w:pPr>
            <w:r>
              <w:t>ATBILDE</w:t>
            </w:r>
          </w:p>
        </w:tc>
      </w:tr>
      <w:tr w:rsidR="00344F74" w:rsidRPr="00081CC7" w14:paraId="407A0DF3" w14:textId="77777777" w:rsidTr="00B77459">
        <w:trPr>
          <w:trHeight w:val="269"/>
        </w:trPr>
        <w:tc>
          <w:tcPr>
            <w:tcW w:w="9062" w:type="dxa"/>
            <w:gridSpan w:val="3"/>
            <w:shd w:val="clear" w:color="auto" w:fill="E7E6E6" w:themeFill="background2"/>
          </w:tcPr>
          <w:p w14:paraId="6E294647" w14:textId="7DB49276" w:rsidR="00344F74" w:rsidRPr="00081CC7" w:rsidRDefault="00344F74" w:rsidP="00B77459">
            <w:pPr>
              <w:jc w:val="center"/>
            </w:pPr>
            <w:r>
              <w:t>JAUTĀJUMS UZDOTS 202</w:t>
            </w:r>
            <w:r w:rsidR="00D5155B">
              <w:t>5</w:t>
            </w:r>
            <w:r>
              <w:t xml:space="preserve">. GADA </w:t>
            </w:r>
            <w:r w:rsidR="00D5155B">
              <w:t>6</w:t>
            </w:r>
            <w:r>
              <w:t xml:space="preserve">. </w:t>
            </w:r>
            <w:r w:rsidR="00D5155B">
              <w:t>MAIJĀ</w:t>
            </w:r>
          </w:p>
        </w:tc>
      </w:tr>
      <w:tr w:rsidR="00344F74" w:rsidRPr="00081CC7" w14:paraId="6EF69CA6" w14:textId="77777777" w:rsidTr="00B829DD">
        <w:trPr>
          <w:trHeight w:val="269"/>
        </w:trPr>
        <w:tc>
          <w:tcPr>
            <w:tcW w:w="753" w:type="dxa"/>
          </w:tcPr>
          <w:p w14:paraId="2575FC5E" w14:textId="77777777" w:rsidR="00344F74" w:rsidRDefault="00344F74" w:rsidP="00B77459">
            <w:pPr>
              <w:jc w:val="center"/>
            </w:pPr>
          </w:p>
          <w:p w14:paraId="3A5F7ADD" w14:textId="77777777" w:rsidR="00344F74" w:rsidRPr="00081CC7" w:rsidRDefault="00344F74" w:rsidP="00B77459">
            <w:pPr>
              <w:jc w:val="center"/>
            </w:pPr>
            <w:r>
              <w:t>1.</w:t>
            </w:r>
          </w:p>
        </w:tc>
        <w:tc>
          <w:tcPr>
            <w:tcW w:w="3078" w:type="dxa"/>
          </w:tcPr>
          <w:p w14:paraId="4B368822" w14:textId="77777777" w:rsidR="00D5155B" w:rsidRDefault="00D5155B" w:rsidP="00D5155B">
            <w:r>
              <w:t>Iepazīstoties ar nolikuma punktu 9.4.1., kur noteikts, ka konkursa dalībniekam iepriekšējo 7 gadu laikā jābūt izstrādātam vismaz vienam būvprojektam BIM vidē nedzīvojamai ēkai (izņemot noliktavas, garāžas un lauksaimniecības ēkas) ar kopējo platību vismaz 3000 m², informēju, ka mūsu lielākais šāda tipa projekts ir 2410 m². Projektēšana veikta BIM vidē, un projektam ir saņemta atzīme par projektēšanas nosacījumu izpildi. Atsauksmi par šo projektu pievienoju pielikumā.</w:t>
            </w:r>
          </w:p>
          <w:p w14:paraId="06116D73" w14:textId="77777777" w:rsidR="00D5155B" w:rsidRDefault="00D5155B" w:rsidP="00D5155B"/>
          <w:p w14:paraId="7BF94C85" w14:textId="65A09A3C" w:rsidR="00344F74" w:rsidRPr="00081CC7" w:rsidRDefault="00D5155B" w:rsidP="00D5155B">
            <w:r>
              <w:t>Ņemot vērā minēto, vēlētos noskaidrot, vai pastāv iespēja piedalīties konkursā arī tad, ja konkrētā prasība par ēkas platību netiek pilnībā izpildīta.</w:t>
            </w:r>
          </w:p>
        </w:tc>
        <w:tc>
          <w:tcPr>
            <w:tcW w:w="5231" w:type="dxa"/>
          </w:tcPr>
          <w:p w14:paraId="08FD3235" w14:textId="13F2E44B" w:rsidR="00D5155B" w:rsidRDefault="00D5155B" w:rsidP="00D5155B">
            <w:pPr>
              <w:rPr>
                <w:u w:val="single"/>
              </w:rPr>
            </w:pPr>
          </w:p>
          <w:p w14:paraId="66825B42" w14:textId="77777777" w:rsidR="00965B8C" w:rsidRDefault="00B1156D" w:rsidP="00616DD1">
            <w:pPr>
              <w:spacing w:before="120" w:after="120"/>
              <w:jc w:val="both"/>
              <w:rPr>
                <w:rStyle w:val="Hyperlink"/>
                <w:rFonts w:ascii="Gilroy" w:hAnsi="Gilroy" w:cstheme="majorHAnsi"/>
                <w:bCs/>
              </w:rPr>
            </w:pPr>
            <w:r>
              <w:t>Informējam,</w:t>
            </w:r>
            <w:r w:rsidR="00616DD1">
              <w:t xml:space="preserve"> </w:t>
            </w:r>
            <w:r>
              <w:t>ka nolikumā tiks veikti grozījumi</w:t>
            </w:r>
            <w:r w:rsidR="00D44788">
              <w:t xml:space="preserve"> ,kas tiks publicēti </w:t>
            </w:r>
            <w:r w:rsidR="00D44788" w:rsidRPr="00D44788">
              <w:rPr>
                <w:rFonts w:ascii="Gilroy" w:hAnsi="Gilroy" w:cstheme="majorHAnsi"/>
                <w:bCs/>
              </w:rPr>
              <w:t xml:space="preserve">Konkursa tīmekļvietnē: </w:t>
            </w:r>
            <w:hyperlink r:id="rId7" w:history="1">
              <w:r w:rsidR="00D44788" w:rsidRPr="00D44788">
                <w:rPr>
                  <w:rStyle w:val="Hyperlink"/>
                  <w:rFonts w:ascii="Gilroy" w:hAnsi="Gilroy" w:cstheme="majorHAnsi"/>
                  <w:bCs/>
                </w:rPr>
                <w:t>https://depo.metukonkurss.lv/</w:t>
              </w:r>
            </w:hyperlink>
            <w:r w:rsidR="00E17915">
              <w:rPr>
                <w:rStyle w:val="Hyperlink"/>
                <w:rFonts w:ascii="Gilroy" w:hAnsi="Gilroy" w:cstheme="majorHAnsi"/>
                <w:bCs/>
              </w:rPr>
              <w:t>;</w:t>
            </w:r>
          </w:p>
          <w:p w14:paraId="36D6C8D0" w14:textId="77777777" w:rsidR="00965B8C" w:rsidRDefault="00965B8C" w:rsidP="00616DD1">
            <w:pPr>
              <w:spacing w:before="120" w:after="120"/>
              <w:jc w:val="both"/>
              <w:rPr>
                <w:rFonts w:ascii="Gilroy" w:hAnsi="Gilroy"/>
              </w:rPr>
            </w:pPr>
            <w:r w:rsidRPr="00965B8C">
              <w:rPr>
                <w:rStyle w:val="Hyperlink"/>
                <w:rFonts w:ascii="Gilroy" w:hAnsi="Gilroy" w:cstheme="majorHAnsi"/>
                <w:bCs/>
                <w:color w:val="auto"/>
                <w:u w:val="none"/>
              </w:rPr>
              <w:t>E</w:t>
            </w:r>
            <w:r w:rsidR="00D44788" w:rsidRPr="00965B8C">
              <w:rPr>
                <w:rFonts w:ascii="Gilroy" w:hAnsi="Gilroy" w:cstheme="majorHAnsi"/>
                <w:bCs/>
              </w:rPr>
              <w:t>le</w:t>
            </w:r>
            <w:r w:rsidR="00D44788" w:rsidRPr="00616DD1">
              <w:rPr>
                <w:rFonts w:ascii="Gilroy" w:hAnsi="Gilroy" w:cstheme="majorHAnsi"/>
                <w:bCs/>
              </w:rPr>
              <w:t>ktronisko iepirkumu sistēmā</w:t>
            </w:r>
            <w:r w:rsidR="00E17915">
              <w:rPr>
                <w:rFonts w:ascii="Gilroy" w:hAnsi="Gilroy" w:cstheme="majorHAnsi"/>
                <w:bCs/>
              </w:rPr>
              <w:t>;</w:t>
            </w:r>
            <w:r w:rsidR="00D44788" w:rsidRPr="00616DD1">
              <w:rPr>
                <w:rFonts w:ascii="Gilroy" w:hAnsi="Gilroy" w:cstheme="majorHAnsi"/>
                <w:bCs/>
              </w:rPr>
              <w:t xml:space="preserve">  </w:t>
            </w:r>
            <w:r w:rsidR="00D44788" w:rsidRPr="00616DD1">
              <w:rPr>
                <w:rFonts w:ascii="Gilroy" w:hAnsi="Gilroy" w:cstheme="majorHAnsi"/>
              </w:rPr>
              <w:t xml:space="preserve">Latvijas Arhitektu savienības (LAS) mājaslapā: </w:t>
            </w:r>
            <w:hyperlink r:id="rId8" w:history="1">
              <w:r w:rsidR="00D44788" w:rsidRPr="00E17915">
                <w:rPr>
                  <w:rStyle w:val="Hyperlink"/>
                  <w:rFonts w:ascii="Gilroy" w:hAnsi="Gilroy" w:cstheme="majorHAnsi"/>
                </w:rPr>
                <w:t>https://www.latarh.lv/konkursi/latvijas/</w:t>
              </w:r>
            </w:hyperlink>
            <w:r w:rsidR="00E17915">
              <w:rPr>
                <w:rStyle w:val="Hyperlink"/>
                <w:rFonts w:ascii="Gilroy" w:hAnsi="Gilroy" w:cstheme="majorHAnsi"/>
                <w:color w:val="auto"/>
              </w:rPr>
              <w:t xml:space="preserve"> un </w:t>
            </w:r>
            <w:r w:rsidR="00D44788" w:rsidRPr="00616DD1">
              <w:rPr>
                <w:rFonts w:ascii="Gilroy" w:hAnsi="Gilroy"/>
              </w:rPr>
              <w:t xml:space="preserve">Pasūtītāja tīmekļvietnē </w:t>
            </w:r>
            <w:hyperlink r:id="rId9" w:history="1">
              <w:r w:rsidR="00D44788" w:rsidRPr="00E17915">
                <w:rPr>
                  <w:rStyle w:val="Hyperlink"/>
                  <w:rFonts w:ascii="Gilroy" w:hAnsi="Gilroy"/>
                </w:rPr>
                <w:t>www.rigassatiksme.lv</w:t>
              </w:r>
            </w:hyperlink>
            <w:r w:rsidR="00D44788" w:rsidRPr="00616DD1">
              <w:rPr>
                <w:rFonts w:ascii="Gilroy" w:hAnsi="Gilroy"/>
              </w:rPr>
              <w:t xml:space="preserve">, sadaļa “Iepirkumi un izsoles” - </w:t>
            </w:r>
            <w:hyperlink r:id="rId10" w:history="1">
              <w:r w:rsidR="00D44788" w:rsidRPr="00E17915">
                <w:rPr>
                  <w:rStyle w:val="Hyperlink"/>
                  <w:rFonts w:ascii="Gilroy" w:hAnsi="Gilroy"/>
                </w:rPr>
                <w:t>https://www.rigassatiksme.lv/lv/par-mums/iepirkumi/</w:t>
              </w:r>
            </w:hyperlink>
            <w:r w:rsidR="00D44788" w:rsidRPr="00616DD1">
              <w:rPr>
                <w:rFonts w:ascii="Gilroy" w:hAnsi="Gilroy"/>
              </w:rPr>
              <w:t>.</w:t>
            </w:r>
            <w:r w:rsidR="00E17915">
              <w:rPr>
                <w:rFonts w:ascii="Gilroy" w:hAnsi="Gilroy"/>
              </w:rPr>
              <w:t xml:space="preserve"> </w:t>
            </w:r>
          </w:p>
          <w:p w14:paraId="406DF666" w14:textId="3A85B753" w:rsidR="00D44788" w:rsidRPr="00616DD1" w:rsidRDefault="00E17915" w:rsidP="00616DD1">
            <w:pPr>
              <w:spacing w:before="120" w:after="120"/>
              <w:jc w:val="both"/>
              <w:rPr>
                <w:rFonts w:ascii="Gilroy" w:hAnsi="Gilroy" w:cstheme="majorHAnsi"/>
                <w:bCs/>
              </w:rPr>
            </w:pPr>
            <w:r>
              <w:t>Lūdzam sekot informācijai minētajās tīmekļvietnēs</w:t>
            </w:r>
            <w:r w:rsidR="00D95FAD">
              <w:t xml:space="preserve">. </w:t>
            </w:r>
          </w:p>
          <w:p w14:paraId="3DEA57AC" w14:textId="55927F2B" w:rsidR="00D44788" w:rsidRDefault="00D44788" w:rsidP="00D5155B"/>
          <w:p w14:paraId="60C4FC0F" w14:textId="77777777" w:rsidR="00D44788" w:rsidRDefault="00D44788" w:rsidP="00D5155B"/>
          <w:p w14:paraId="25F97B29" w14:textId="537A39A6" w:rsidR="00B1156D" w:rsidRPr="00081CC7" w:rsidRDefault="00B1156D" w:rsidP="00D5155B">
            <w:r>
              <w:t xml:space="preserve"> </w:t>
            </w:r>
          </w:p>
        </w:tc>
      </w:tr>
      <w:tr w:rsidR="00D5155B" w:rsidRPr="00081CC7" w14:paraId="6211E6B4" w14:textId="77777777" w:rsidTr="00E86AE3">
        <w:trPr>
          <w:trHeight w:val="269"/>
        </w:trPr>
        <w:tc>
          <w:tcPr>
            <w:tcW w:w="9062" w:type="dxa"/>
            <w:gridSpan w:val="3"/>
            <w:shd w:val="clear" w:color="auto" w:fill="E7E6E6" w:themeFill="background2"/>
          </w:tcPr>
          <w:p w14:paraId="65329F30" w14:textId="57801EA9" w:rsidR="00D5155B" w:rsidRPr="00081CC7" w:rsidRDefault="00D5155B" w:rsidP="00D5155B">
            <w:pPr>
              <w:jc w:val="center"/>
            </w:pPr>
            <w:r>
              <w:t>JAUTĀJUMS UZDOTS 2025. GADA 9. MAIJĀ</w:t>
            </w:r>
          </w:p>
        </w:tc>
      </w:tr>
      <w:tr w:rsidR="00D5155B" w:rsidRPr="00081CC7" w14:paraId="779CCC11" w14:textId="77777777" w:rsidTr="00B829DD">
        <w:trPr>
          <w:trHeight w:val="269"/>
        </w:trPr>
        <w:tc>
          <w:tcPr>
            <w:tcW w:w="753" w:type="dxa"/>
          </w:tcPr>
          <w:p w14:paraId="77771CCC" w14:textId="4D37A7F5" w:rsidR="00D5155B" w:rsidRDefault="00D5155B" w:rsidP="00D5155B">
            <w:pPr>
              <w:jc w:val="center"/>
            </w:pPr>
            <w:r>
              <w:t>2.</w:t>
            </w:r>
          </w:p>
        </w:tc>
        <w:tc>
          <w:tcPr>
            <w:tcW w:w="3078" w:type="dxa"/>
          </w:tcPr>
          <w:p w14:paraId="3C5A24FB" w14:textId="77777777" w:rsidR="00D5155B" w:rsidRDefault="00D5155B" w:rsidP="00D5155B">
            <w:r>
              <w:t xml:space="preserve">Lūgums Pārskatīt Atklāta metu konkursa 2. trolejbusu parka pārbūves, Rīgā, Jelgavas ielā 37 Nolikumā minēto: </w:t>
            </w:r>
          </w:p>
          <w:p w14:paraId="6949785D" w14:textId="77777777" w:rsidR="00D5155B" w:rsidRDefault="00D5155B" w:rsidP="00D5155B">
            <w:r>
              <w:t>9.4 punktā: Tehniskās un profesionālās spējas. Minētās izvirzītās prasības kas iekļauj</w:t>
            </w:r>
          </w:p>
          <w:p w14:paraId="429B770E" w14:textId="77777777" w:rsidR="00D5155B" w:rsidRDefault="00D5155B" w:rsidP="00D5155B">
            <w:r>
              <w:t xml:space="preserve">Konkursa dalībnieks ne vairāk kā 7 (septiņos) iepriekšējos gados (2018., 2019., 2020., 2021., 2022., 2023. un 2024. gadā, kā  arī periodā līdz Meta iesniegšanas dienai) ir izstrādājis vismaz vienu būvprojektu Būvniecības informācijas modelēšanas (turpmāk – BIM) vidē, ar nosacījumu, ka  ir projektēta nedzīvojamas ēkas (izņemot noliktavu, garāžu un lauksaimniecības ēku) ar kopējo platību vismaz 3000 m2 izbūve un būvprojekts ir pilnībā pabeigts un akceptēts (saņemta atzīme par projektēšanas nosacījumu izpildi) </w:t>
            </w:r>
            <w:r>
              <w:lastRenderedPageBreak/>
              <w:t>normatīvajos aktos noteiktajā kārtībā.</w:t>
            </w:r>
          </w:p>
          <w:p w14:paraId="613323CF" w14:textId="77777777" w:rsidR="00D5155B" w:rsidRDefault="00D5155B" w:rsidP="00D5155B"/>
          <w:p w14:paraId="01F1A03C" w14:textId="77777777" w:rsidR="00D5155B" w:rsidRDefault="00D5155B" w:rsidP="00D5155B">
            <w:r>
              <w:t xml:space="preserve">Meta konkursa izstrādes koncepcijai uzskatām ka pieprasītais projektēšanas apjoms nav atbilstošs un pamatots. </w:t>
            </w:r>
          </w:p>
          <w:p w14:paraId="2D9CBDB8" w14:textId="77777777" w:rsidR="00D5155B" w:rsidRDefault="00D5155B" w:rsidP="00D5155B">
            <w:r>
              <w:t>Lai veicinātu kompetencei atbilstošu konkurenci iesakām pieredzes nosacījumus dalīt divās daļās – 1. BIM pieredze un 2. projektēšanas apjomu konkrētas būves projektēšanā (pēc būvju klasifikācijas)</w:t>
            </w:r>
          </w:p>
          <w:p w14:paraId="7126FDDB" w14:textId="77777777" w:rsidR="00D5155B" w:rsidRDefault="00D5155B" w:rsidP="00D5155B"/>
          <w:p w14:paraId="2F98AD9B" w14:textId="7FE5AC5F" w:rsidR="00D5155B" w:rsidRDefault="00D5155B" w:rsidP="00D5155B">
            <w:r>
              <w:t>Attiecīgi veicot izmaiņas 9.4.1 un 9.4.2 punktā.</w:t>
            </w:r>
          </w:p>
        </w:tc>
        <w:tc>
          <w:tcPr>
            <w:tcW w:w="5231" w:type="dxa"/>
          </w:tcPr>
          <w:p w14:paraId="3D539A99" w14:textId="60174F96" w:rsidR="00965B8C" w:rsidRDefault="00965B8C" w:rsidP="00965B8C">
            <w:pPr>
              <w:spacing w:before="120" w:after="120"/>
              <w:jc w:val="both"/>
              <w:rPr>
                <w:rStyle w:val="Hyperlink"/>
                <w:rFonts w:ascii="Gilroy" w:hAnsi="Gilroy" w:cstheme="majorHAnsi"/>
                <w:bCs/>
              </w:rPr>
            </w:pPr>
            <w:r>
              <w:lastRenderedPageBreak/>
              <w:t xml:space="preserve">Informējam, ka nolikumā tiks veikti grozījumi, kas tiks publicēti </w:t>
            </w:r>
            <w:r w:rsidRPr="00D44788">
              <w:rPr>
                <w:rFonts w:ascii="Gilroy" w:hAnsi="Gilroy" w:cstheme="majorHAnsi"/>
                <w:bCs/>
              </w:rPr>
              <w:t xml:space="preserve">Konkursa tīmekļvietnē: </w:t>
            </w:r>
            <w:hyperlink r:id="rId11" w:history="1">
              <w:r w:rsidRPr="00D44788">
                <w:rPr>
                  <w:rStyle w:val="Hyperlink"/>
                  <w:rFonts w:ascii="Gilroy" w:hAnsi="Gilroy" w:cstheme="majorHAnsi"/>
                  <w:bCs/>
                </w:rPr>
                <w:t>https://depo.metukonkurss.lv/</w:t>
              </w:r>
            </w:hyperlink>
            <w:r>
              <w:rPr>
                <w:rStyle w:val="Hyperlink"/>
                <w:rFonts w:ascii="Gilroy" w:hAnsi="Gilroy" w:cstheme="majorHAnsi"/>
                <w:bCs/>
              </w:rPr>
              <w:t>;</w:t>
            </w:r>
          </w:p>
          <w:p w14:paraId="4E129908" w14:textId="77777777" w:rsidR="00965B8C" w:rsidRDefault="00965B8C" w:rsidP="00965B8C">
            <w:pPr>
              <w:spacing w:before="120" w:after="120"/>
              <w:jc w:val="both"/>
              <w:rPr>
                <w:rFonts w:ascii="Gilroy" w:hAnsi="Gilroy"/>
              </w:rPr>
            </w:pPr>
            <w:r w:rsidRPr="00965B8C">
              <w:rPr>
                <w:rStyle w:val="Hyperlink"/>
                <w:rFonts w:ascii="Gilroy" w:hAnsi="Gilroy" w:cstheme="majorHAnsi"/>
                <w:bCs/>
                <w:color w:val="auto"/>
                <w:u w:val="none"/>
              </w:rPr>
              <w:t>E</w:t>
            </w:r>
            <w:r w:rsidRPr="00965B8C">
              <w:rPr>
                <w:rFonts w:ascii="Gilroy" w:hAnsi="Gilroy" w:cstheme="majorHAnsi"/>
                <w:bCs/>
              </w:rPr>
              <w:t>le</w:t>
            </w:r>
            <w:r w:rsidRPr="00616DD1">
              <w:rPr>
                <w:rFonts w:ascii="Gilroy" w:hAnsi="Gilroy" w:cstheme="majorHAnsi"/>
                <w:bCs/>
              </w:rPr>
              <w:t>ktronisko iepirkumu sistēmā</w:t>
            </w:r>
            <w:r>
              <w:rPr>
                <w:rFonts w:ascii="Gilroy" w:hAnsi="Gilroy" w:cstheme="majorHAnsi"/>
                <w:bCs/>
              </w:rPr>
              <w:t>;</w:t>
            </w:r>
            <w:r w:rsidRPr="00616DD1">
              <w:rPr>
                <w:rFonts w:ascii="Gilroy" w:hAnsi="Gilroy" w:cstheme="majorHAnsi"/>
                <w:bCs/>
              </w:rPr>
              <w:t xml:space="preserve">  </w:t>
            </w:r>
            <w:r w:rsidRPr="00616DD1">
              <w:rPr>
                <w:rFonts w:ascii="Gilroy" w:hAnsi="Gilroy" w:cstheme="majorHAnsi"/>
              </w:rPr>
              <w:t xml:space="preserve">Latvijas Arhitektu savienības (LAS) mājaslapā: </w:t>
            </w:r>
            <w:hyperlink r:id="rId12" w:history="1">
              <w:r w:rsidRPr="00E17915">
                <w:rPr>
                  <w:rStyle w:val="Hyperlink"/>
                  <w:rFonts w:ascii="Gilroy" w:hAnsi="Gilroy" w:cstheme="majorHAnsi"/>
                </w:rPr>
                <w:t>https://www.latarh.lv/konkursi/latvijas/</w:t>
              </w:r>
            </w:hyperlink>
            <w:r>
              <w:rPr>
                <w:rStyle w:val="Hyperlink"/>
                <w:rFonts w:ascii="Gilroy" w:hAnsi="Gilroy" w:cstheme="majorHAnsi"/>
                <w:color w:val="auto"/>
              </w:rPr>
              <w:t xml:space="preserve"> un </w:t>
            </w:r>
            <w:r w:rsidRPr="00616DD1">
              <w:rPr>
                <w:rFonts w:ascii="Gilroy" w:hAnsi="Gilroy"/>
              </w:rPr>
              <w:t xml:space="preserve">Pasūtītāja tīmekļvietnē </w:t>
            </w:r>
            <w:hyperlink r:id="rId13" w:history="1">
              <w:r w:rsidRPr="00E17915">
                <w:rPr>
                  <w:rStyle w:val="Hyperlink"/>
                  <w:rFonts w:ascii="Gilroy" w:hAnsi="Gilroy"/>
                </w:rPr>
                <w:t>www.rigassatiksme.lv</w:t>
              </w:r>
            </w:hyperlink>
            <w:r w:rsidRPr="00616DD1">
              <w:rPr>
                <w:rFonts w:ascii="Gilroy" w:hAnsi="Gilroy"/>
              </w:rPr>
              <w:t xml:space="preserve">, sadaļa “Iepirkumi un izsoles” - </w:t>
            </w:r>
            <w:hyperlink r:id="rId14" w:history="1">
              <w:r w:rsidRPr="00E17915">
                <w:rPr>
                  <w:rStyle w:val="Hyperlink"/>
                  <w:rFonts w:ascii="Gilroy" w:hAnsi="Gilroy"/>
                </w:rPr>
                <w:t>https://www.rigassatiksme.lv/lv/par-mums/iepirkumi/</w:t>
              </w:r>
            </w:hyperlink>
            <w:r w:rsidRPr="00616DD1">
              <w:rPr>
                <w:rFonts w:ascii="Gilroy" w:hAnsi="Gilroy"/>
              </w:rPr>
              <w:t>.</w:t>
            </w:r>
            <w:r>
              <w:rPr>
                <w:rFonts w:ascii="Gilroy" w:hAnsi="Gilroy"/>
              </w:rPr>
              <w:t xml:space="preserve"> </w:t>
            </w:r>
          </w:p>
          <w:p w14:paraId="4B5EAC75" w14:textId="795507A1" w:rsidR="00965B8C" w:rsidRPr="00616DD1" w:rsidRDefault="00965B8C" w:rsidP="00965B8C">
            <w:pPr>
              <w:spacing w:before="120" w:after="120"/>
              <w:jc w:val="both"/>
              <w:rPr>
                <w:rFonts w:ascii="Gilroy" w:hAnsi="Gilroy" w:cstheme="majorHAnsi"/>
                <w:bCs/>
              </w:rPr>
            </w:pPr>
            <w:r>
              <w:t xml:space="preserve">Lūdzam sekot informācijai minētajās tīmekļvietnēs. </w:t>
            </w:r>
          </w:p>
          <w:p w14:paraId="0F48D194" w14:textId="6823B7EB" w:rsidR="00D5155B" w:rsidRPr="00081CC7" w:rsidRDefault="00D5155B" w:rsidP="00D5155B"/>
        </w:tc>
      </w:tr>
    </w:tbl>
    <w:p w14:paraId="4E9581ED" w14:textId="77777777" w:rsidR="0009358F" w:rsidRDefault="0009358F"/>
    <w:sectPr w:rsidR="0009358F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DDAC" w14:textId="77777777" w:rsidR="002D16F4" w:rsidRDefault="002D16F4" w:rsidP="001471CC">
      <w:pPr>
        <w:spacing w:after="0" w:line="240" w:lineRule="auto"/>
      </w:pPr>
      <w:r>
        <w:separator/>
      </w:r>
    </w:p>
  </w:endnote>
  <w:endnote w:type="continuationSeparator" w:id="0">
    <w:p w14:paraId="0A1194ED" w14:textId="77777777" w:rsidR="002D16F4" w:rsidRDefault="002D16F4" w:rsidP="0014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ilero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ilro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FD67" w14:textId="77777777" w:rsidR="002D16F4" w:rsidRDefault="002D16F4" w:rsidP="001471CC">
      <w:pPr>
        <w:spacing w:after="0" w:line="240" w:lineRule="auto"/>
      </w:pPr>
      <w:r>
        <w:separator/>
      </w:r>
    </w:p>
  </w:footnote>
  <w:footnote w:type="continuationSeparator" w:id="0">
    <w:p w14:paraId="5F1BACD7" w14:textId="77777777" w:rsidR="002D16F4" w:rsidRDefault="002D16F4" w:rsidP="0014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5D10" w14:textId="77777777" w:rsidR="001471CC" w:rsidRDefault="001471CC" w:rsidP="001471CC">
    <w:pPr>
      <w:pStyle w:val="Header"/>
      <w:jc w:val="right"/>
    </w:pPr>
    <w:r>
      <w:t>METU KONKURSA</w:t>
    </w:r>
  </w:p>
  <w:p w14:paraId="59C7DCB7" w14:textId="66763F02" w:rsidR="001471CC" w:rsidRPr="001471CC" w:rsidRDefault="001471CC" w:rsidP="001471CC">
    <w:pPr>
      <w:pStyle w:val="Header"/>
      <w:jc w:val="right"/>
      <w:rPr>
        <w:b/>
        <w:bCs/>
      </w:rPr>
    </w:pPr>
    <w:r w:rsidRPr="001471CC">
      <w:rPr>
        <w:b/>
        <w:bCs/>
      </w:rPr>
      <w:t>„</w:t>
    </w:r>
    <w:r w:rsidR="00D5155B" w:rsidRPr="00D5155B">
      <w:rPr>
        <w:b/>
        <w:bCs/>
      </w:rPr>
      <w:t>2. TROLEJBUSU PARKA PĀRBŪVE RĪGĀ, JELGAVAS IELĀ 37</w:t>
    </w:r>
    <w:r w:rsidRPr="001471CC">
      <w:rPr>
        <w:b/>
        <w:bCs/>
      </w:rPr>
      <w:t>“</w:t>
    </w:r>
  </w:p>
  <w:p w14:paraId="7256F577" w14:textId="4119E423" w:rsidR="001471CC" w:rsidRDefault="001471CC" w:rsidP="001471CC">
    <w:pPr>
      <w:pStyle w:val="Header"/>
      <w:jc w:val="right"/>
    </w:pPr>
    <w:r>
      <w:t>JAUTĀJUMI/ATBILDES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85EC8"/>
    <w:multiLevelType w:val="multilevel"/>
    <w:tmpl w:val="1A242532"/>
    <w:lvl w:ilvl="0">
      <w:start w:val="1"/>
      <w:numFmt w:val="decimal"/>
      <w:lvlText w:val="%1."/>
      <w:lvlJc w:val="left"/>
      <w:pPr>
        <w:ind w:left="-118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402" w:hanging="432"/>
      </w:pPr>
      <w:rPr>
        <w:rFonts w:hint="default"/>
        <w:b w:val="0"/>
        <w:bCs w:val="0"/>
        <w:i w:val="0"/>
        <w:u w:val="single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Gileroy" w:hAnsi="Gileroy" w:cs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6" w:hanging="1440"/>
      </w:pPr>
      <w:rPr>
        <w:rFonts w:hint="default"/>
      </w:rPr>
    </w:lvl>
  </w:abstractNum>
  <w:num w:numId="1" w16cid:durableId="114492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74"/>
    <w:rsid w:val="0001416F"/>
    <w:rsid w:val="00064734"/>
    <w:rsid w:val="0006685E"/>
    <w:rsid w:val="0009358F"/>
    <w:rsid w:val="000A175A"/>
    <w:rsid w:val="00111678"/>
    <w:rsid w:val="0012653E"/>
    <w:rsid w:val="00126678"/>
    <w:rsid w:val="001471CC"/>
    <w:rsid w:val="00174FF3"/>
    <w:rsid w:val="00190CF6"/>
    <w:rsid w:val="0020074A"/>
    <w:rsid w:val="00293D27"/>
    <w:rsid w:val="002C627D"/>
    <w:rsid w:val="002D16F4"/>
    <w:rsid w:val="00344F74"/>
    <w:rsid w:val="003A6DAD"/>
    <w:rsid w:val="003B0FF4"/>
    <w:rsid w:val="0046324F"/>
    <w:rsid w:val="00495B27"/>
    <w:rsid w:val="0055091A"/>
    <w:rsid w:val="00555CFE"/>
    <w:rsid w:val="0056057E"/>
    <w:rsid w:val="005762AE"/>
    <w:rsid w:val="00577E1E"/>
    <w:rsid w:val="00616DD1"/>
    <w:rsid w:val="006731E3"/>
    <w:rsid w:val="006C18E7"/>
    <w:rsid w:val="007218D8"/>
    <w:rsid w:val="00724AA5"/>
    <w:rsid w:val="00740939"/>
    <w:rsid w:val="00747B57"/>
    <w:rsid w:val="007D1AEC"/>
    <w:rsid w:val="00921DFA"/>
    <w:rsid w:val="00933E48"/>
    <w:rsid w:val="00965B8C"/>
    <w:rsid w:val="009E4760"/>
    <w:rsid w:val="00A56EEA"/>
    <w:rsid w:val="00AD2D1C"/>
    <w:rsid w:val="00AD6F0F"/>
    <w:rsid w:val="00AE4D73"/>
    <w:rsid w:val="00B1156D"/>
    <w:rsid w:val="00B829DD"/>
    <w:rsid w:val="00BE0AB2"/>
    <w:rsid w:val="00CC6722"/>
    <w:rsid w:val="00D44788"/>
    <w:rsid w:val="00D5155B"/>
    <w:rsid w:val="00D95FAD"/>
    <w:rsid w:val="00E17915"/>
    <w:rsid w:val="00E43BC0"/>
    <w:rsid w:val="00ED4153"/>
    <w:rsid w:val="00F37F0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690140"/>
  <w15:chartTrackingRefBased/>
  <w15:docId w15:val="{FFB6728C-5E32-434E-AB5F-FE63360A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74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F7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CC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4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CC"/>
    <w:rPr>
      <w:lang w:val="lv-LV"/>
    </w:rPr>
  </w:style>
  <w:style w:type="paragraph" w:styleId="Revision">
    <w:name w:val="Revision"/>
    <w:hidden/>
    <w:uiPriority w:val="99"/>
    <w:semiHidden/>
    <w:rsid w:val="00B1156D"/>
    <w:pPr>
      <w:spacing w:after="0" w:line="240" w:lineRule="auto"/>
    </w:pPr>
    <w:rPr>
      <w:lang w:val="lv-LV"/>
    </w:rPr>
  </w:style>
  <w:style w:type="paragraph" w:styleId="ListParagraph">
    <w:name w:val="List Paragraph"/>
    <w:aliases w:val="H&amp;P List Paragraph,2,Strip,Normal bullet 2,Bullet list,Numbered Para 1,Dot pt,No Spacing1,List Paragraph Char Char Char,Indicator Text,Bullet Points,MAIN CONTENT,IFCL - List Paragraph,List Paragraph12,OBC Bullet,F5 List Paragraph,Syle 1"/>
    <w:basedOn w:val="Normal"/>
    <w:link w:val="ListParagraphChar"/>
    <w:uiPriority w:val="34"/>
    <w:qFormat/>
    <w:rsid w:val="00D44788"/>
    <w:pPr>
      <w:ind w:left="720"/>
      <w:contextualSpacing/>
    </w:pPr>
    <w:rPr>
      <w:lang w:val="de-DE"/>
    </w:rPr>
  </w:style>
  <w:style w:type="character" w:styleId="Hyperlink">
    <w:name w:val="Hyperlink"/>
    <w:basedOn w:val="DefaultParagraphFont"/>
    <w:uiPriority w:val="99"/>
    <w:unhideWhenUsed/>
    <w:rsid w:val="00D44788"/>
    <w:rPr>
      <w:color w:val="0563C1" w:themeColor="hyperlink"/>
      <w:u w:val="single"/>
    </w:rPr>
  </w:style>
  <w:style w:type="character" w:customStyle="1" w:styleId="ListParagraphChar">
    <w:name w:val="List Paragraph Char"/>
    <w:aliases w:val="H&amp;P List Paragraph Char,2 Char,Strip Char,Normal bullet 2 Char,Bullet list Char,Numbered Para 1 Char,Dot pt Char,No Spacing1 Char,List Paragraph Char Char Char Char,Indicator Text Char,Bullet Points Char,MAIN CONTENT Char,Syle 1 Char"/>
    <w:link w:val="ListParagraph"/>
    <w:uiPriority w:val="34"/>
    <w:qFormat/>
    <w:locked/>
    <w:rsid w:val="00D44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arh.lv/konkursi/latvijas/" TargetMode="External"/><Relationship Id="rId13" Type="http://schemas.openxmlformats.org/officeDocument/2006/relationships/hyperlink" Target="http://www.rigassatiksme.lv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depo.metukonkurss.lv/" TargetMode="External"/><Relationship Id="rId12" Type="http://schemas.openxmlformats.org/officeDocument/2006/relationships/hyperlink" Target="https://www.latarh.lv/konkursi/latvija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po.metukonkurss.lv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rigassatiksme.lv/lv/par-mums/iepirkumi/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rigassatiksme.lv" TargetMode="External"/><Relationship Id="rId14" Type="http://schemas.openxmlformats.org/officeDocument/2006/relationships/hyperlink" Target="https://www.rigassatiksme.lv/lv/par-mums/iepirkumi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04F1C8-B890-46C7-8006-CAAD5B7A8040}"/>
</file>

<file path=customXml/itemProps2.xml><?xml version="1.0" encoding="utf-8"?>
<ds:datastoreItem xmlns:ds="http://schemas.openxmlformats.org/officeDocument/2006/customXml" ds:itemID="{E6DDEA58-4CFE-4B9D-8A01-4CE04BA0503B}"/>
</file>

<file path=customXml/itemProps3.xml><?xml version="1.0" encoding="utf-8"?>
<ds:datastoreItem xmlns:ds="http://schemas.openxmlformats.org/officeDocument/2006/customXml" ds:itemID="{4E54C8A0-6C24-40C5-A7DC-A796E7E13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Kalvane</dc:creator>
  <cp:keywords/>
  <dc:description/>
  <cp:lastModifiedBy>Māra Volkova</cp:lastModifiedBy>
  <cp:revision>2</cp:revision>
  <dcterms:created xsi:type="dcterms:W3CDTF">2025-05-14T10:44:00Z</dcterms:created>
  <dcterms:modified xsi:type="dcterms:W3CDTF">2025-05-14T10:44:00Z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3ea56eb1-5202-4f12-89f2-73c3695ff686</vt:lpwstr>
  </property>
  <property fmtid="{D5CDD505-2E9C-101B-9397-08002B2CF9AE}" pid="3" name="ContentTypeId">
    <vt:lpwstr>0x0101007C98C035752B2E4F9BA001D238EDF9B9</vt:lpwstr>
  </property>
</Properties>
</file>