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753"/>
        <w:gridCol w:w="3637"/>
        <w:gridCol w:w="4672"/>
      </w:tblGrid>
      <w:tr w:rsidR="00344F74" w:rsidRPr="00081CC7" w14:paraId="1425187E" w14:textId="77777777" w:rsidTr="003E5EDF">
        <w:trPr>
          <w:trHeight w:val="269"/>
        </w:trPr>
        <w:tc>
          <w:tcPr>
            <w:tcW w:w="753" w:type="dxa"/>
          </w:tcPr>
          <w:p w14:paraId="499AE1CB" w14:textId="77777777" w:rsidR="00344F74" w:rsidRPr="00081CC7" w:rsidRDefault="00344F74" w:rsidP="00B77459">
            <w:r>
              <w:t>N.P.K.</w:t>
            </w:r>
          </w:p>
        </w:tc>
        <w:tc>
          <w:tcPr>
            <w:tcW w:w="3637" w:type="dxa"/>
          </w:tcPr>
          <w:p w14:paraId="55D4FBD7" w14:textId="0C6E7084" w:rsidR="00344F74" w:rsidRPr="00081CC7" w:rsidRDefault="0020074A" w:rsidP="0020074A">
            <w:pPr>
              <w:jc w:val="center"/>
            </w:pPr>
            <w:r>
              <w:t>JAUTĀJUMS</w:t>
            </w:r>
          </w:p>
        </w:tc>
        <w:tc>
          <w:tcPr>
            <w:tcW w:w="4672" w:type="dxa"/>
          </w:tcPr>
          <w:p w14:paraId="66CE51CD" w14:textId="040E1A90" w:rsidR="00344F74" w:rsidRPr="00081CC7" w:rsidRDefault="0020074A" w:rsidP="0020074A">
            <w:pPr>
              <w:jc w:val="center"/>
            </w:pPr>
            <w:r>
              <w:t>ATBILDE</w:t>
            </w:r>
          </w:p>
        </w:tc>
      </w:tr>
      <w:tr w:rsidR="00344F74" w:rsidRPr="00081CC7" w14:paraId="407A0DF3" w14:textId="77777777" w:rsidTr="00B77459">
        <w:trPr>
          <w:trHeight w:val="269"/>
        </w:trPr>
        <w:tc>
          <w:tcPr>
            <w:tcW w:w="9062" w:type="dxa"/>
            <w:gridSpan w:val="3"/>
            <w:shd w:val="clear" w:color="auto" w:fill="E7E6E6" w:themeFill="background2"/>
          </w:tcPr>
          <w:p w14:paraId="6E294647" w14:textId="4EFBB125" w:rsidR="00344F74" w:rsidRPr="00081CC7" w:rsidRDefault="00344F74" w:rsidP="00B77459">
            <w:pPr>
              <w:jc w:val="center"/>
            </w:pPr>
            <w:r>
              <w:t>JAUTĀJUMS UZDOTS 202</w:t>
            </w:r>
            <w:r w:rsidR="00D5155B">
              <w:t>5</w:t>
            </w:r>
            <w:r>
              <w:t xml:space="preserve">. GADA </w:t>
            </w:r>
            <w:r w:rsidR="0015232F">
              <w:t>10</w:t>
            </w:r>
            <w:r>
              <w:t xml:space="preserve">. </w:t>
            </w:r>
            <w:r w:rsidR="00806267">
              <w:t>JŪ</w:t>
            </w:r>
            <w:r w:rsidR="00D54CB9">
              <w:t>L</w:t>
            </w:r>
            <w:r w:rsidR="00806267">
              <w:t>IJĀ</w:t>
            </w:r>
          </w:p>
        </w:tc>
      </w:tr>
      <w:tr w:rsidR="00344F74" w:rsidRPr="00081CC7" w14:paraId="6EF69CA6" w14:textId="77777777" w:rsidTr="003E5EDF">
        <w:trPr>
          <w:trHeight w:val="269"/>
        </w:trPr>
        <w:tc>
          <w:tcPr>
            <w:tcW w:w="753" w:type="dxa"/>
          </w:tcPr>
          <w:p w14:paraId="2575FC5E" w14:textId="77777777" w:rsidR="00344F74" w:rsidRDefault="00344F74" w:rsidP="00B77459">
            <w:pPr>
              <w:jc w:val="center"/>
            </w:pPr>
          </w:p>
          <w:p w14:paraId="3A5F7ADD" w14:textId="77777777" w:rsidR="00344F74" w:rsidRPr="00081CC7" w:rsidRDefault="00344F74" w:rsidP="00B77459">
            <w:pPr>
              <w:jc w:val="center"/>
            </w:pPr>
            <w:r>
              <w:t>1.</w:t>
            </w:r>
          </w:p>
        </w:tc>
        <w:tc>
          <w:tcPr>
            <w:tcW w:w="3637" w:type="dxa"/>
          </w:tcPr>
          <w:p w14:paraId="7BF94C85" w14:textId="184C8F96" w:rsidR="00344F74" w:rsidRPr="00081CC7" w:rsidRDefault="00D54CB9" w:rsidP="00D54CB9">
            <w:r>
              <w:t xml:space="preserve">Vēlētos precizēt par vilces apakšstaciju. Vai esošā ēka ir jāsaglabā, vai jāpaplašina vai nepieciešama jauna ēka ar lielāku telpu platību? Pēc "5.4. Prasības vilces apakšstacija" nav viennozīmīgi skaidrs, vai tā ir domāta esošā apakšstacija no 2002.gada, vai ir jāplāno jauna atsevišķa ēka un esošās transformātoru ēkas nojaukšana.  </w:t>
            </w:r>
          </w:p>
        </w:tc>
        <w:tc>
          <w:tcPr>
            <w:tcW w:w="4672" w:type="dxa"/>
          </w:tcPr>
          <w:p w14:paraId="2E4B29EC" w14:textId="7BBB7AE2" w:rsidR="00A8531C" w:rsidRDefault="00B1156D" w:rsidP="00A8531C">
            <w:pPr>
              <w:jc w:val="both"/>
              <w:rPr>
                <w:rFonts w:ascii="Times New Roman" w:hAnsi="Times New Roman" w:cs="Times New Roman"/>
                <w:sz w:val="24"/>
                <w:szCs w:val="24"/>
                <w:lang w:eastAsia="lv-LV"/>
              </w:rPr>
            </w:pPr>
            <w:r>
              <w:t xml:space="preserve"> </w:t>
            </w:r>
            <w:r w:rsidR="00A8531C">
              <w:t>Skaidrojam, ka jāplāno jauna atsevišķa ēka un esošās apakšstacijas ēkas nojaukšana. Veicot pakāpenisku pāreju</w:t>
            </w:r>
            <w:r w:rsidR="00A8531C">
              <w:t xml:space="preserve"> </w:t>
            </w:r>
            <w:r w:rsidR="00A8531C">
              <w:t xml:space="preserve">uz jauno </w:t>
            </w:r>
            <w:r w:rsidR="00A8531C">
              <w:t>apakšstacijas</w:t>
            </w:r>
            <w:r w:rsidR="00A8531C">
              <w:t xml:space="preserve"> ēku, jāsaglabā</w:t>
            </w:r>
            <w:r w:rsidR="00A8531C">
              <w:t xml:space="preserve"> </w:t>
            </w:r>
            <w:r w:rsidR="00A8531C">
              <w:t xml:space="preserve">iespēju nepārtrauktai ierobežotai darba izpildei </w:t>
            </w:r>
            <w:r w:rsidR="00FE6A56">
              <w:t>remont</w:t>
            </w:r>
            <w:r w:rsidR="00A737DA">
              <w:t xml:space="preserve">a zonā </w:t>
            </w:r>
            <w:r w:rsidR="00A8531C">
              <w:t>un ekspluatācijas ēkā.</w:t>
            </w:r>
            <w:r w:rsidR="00A8531C">
              <w:rPr>
                <w:rFonts w:ascii="Times New Roman" w:hAnsi="Times New Roman" w:cs="Times New Roman"/>
                <w:sz w:val="24"/>
                <w:szCs w:val="24"/>
                <w:lang w:eastAsia="lv-LV"/>
              </w:rPr>
              <w:t xml:space="preserve"> </w:t>
            </w:r>
          </w:p>
          <w:p w14:paraId="25F97B29" w14:textId="14941921" w:rsidR="00B1156D" w:rsidRPr="00081CC7" w:rsidRDefault="00B1156D" w:rsidP="00D5155B"/>
        </w:tc>
      </w:tr>
      <w:tr w:rsidR="00D54CB9" w:rsidRPr="00081CC7" w14:paraId="713947B0" w14:textId="77777777" w:rsidTr="003E5EDF">
        <w:trPr>
          <w:trHeight w:val="269"/>
        </w:trPr>
        <w:tc>
          <w:tcPr>
            <w:tcW w:w="753" w:type="dxa"/>
          </w:tcPr>
          <w:p w14:paraId="7B3111EF" w14:textId="77777777" w:rsidR="00D54CB9" w:rsidRDefault="00D54CB9" w:rsidP="00B77459">
            <w:pPr>
              <w:jc w:val="center"/>
            </w:pPr>
          </w:p>
          <w:p w14:paraId="7A05EE2E" w14:textId="5BE06FED" w:rsidR="00D54CB9" w:rsidRDefault="00D54CB9" w:rsidP="00B77459">
            <w:pPr>
              <w:jc w:val="center"/>
            </w:pPr>
            <w:r>
              <w:t>2.</w:t>
            </w:r>
          </w:p>
        </w:tc>
        <w:tc>
          <w:tcPr>
            <w:tcW w:w="3637" w:type="dxa"/>
          </w:tcPr>
          <w:p w14:paraId="508F440F" w14:textId="086EC93E" w:rsidR="00D54CB9" w:rsidRDefault="00D54CB9" w:rsidP="00D54CB9">
            <w:r>
              <w:t>Vai varētu sniegt detalizētāku informāciju par ūdenraža uzpildes stacijas izmantošanu depo vajadzībām. Vai nākotnē paredzēts paplašināt ar ūdeņradi darbināmo trolejbusu skaitu? Vai jāparedz stacijas iekļaušana depo teritorijā?</w:t>
            </w:r>
          </w:p>
        </w:tc>
        <w:tc>
          <w:tcPr>
            <w:tcW w:w="4672" w:type="dxa"/>
          </w:tcPr>
          <w:p w14:paraId="2332DC47" w14:textId="0740A68C" w:rsidR="00D54CB9" w:rsidRDefault="00D262EF" w:rsidP="00D5155B">
            <w:r>
              <w:t>Skaidroja</w:t>
            </w:r>
            <w:r>
              <w:t>m</w:t>
            </w:r>
            <w:r>
              <w:t>, ka nav paredzēta ūdeņraža uzpildes stacijas iekļaušana teritorijā</w:t>
            </w:r>
            <w:r w:rsidR="005E23A9">
              <w:t>.</w:t>
            </w:r>
          </w:p>
        </w:tc>
      </w:tr>
      <w:tr w:rsidR="00D54CB9" w:rsidRPr="00081CC7" w14:paraId="13E81A70" w14:textId="77777777" w:rsidTr="003E5EDF">
        <w:trPr>
          <w:trHeight w:val="269"/>
        </w:trPr>
        <w:tc>
          <w:tcPr>
            <w:tcW w:w="753" w:type="dxa"/>
          </w:tcPr>
          <w:p w14:paraId="548BE161" w14:textId="77777777" w:rsidR="00D54CB9" w:rsidRDefault="00D54CB9" w:rsidP="00B77459">
            <w:pPr>
              <w:jc w:val="center"/>
            </w:pPr>
          </w:p>
          <w:p w14:paraId="129D09B2" w14:textId="0A189747" w:rsidR="00D54CB9" w:rsidRDefault="00D54CB9" w:rsidP="00B77459">
            <w:pPr>
              <w:jc w:val="center"/>
            </w:pPr>
            <w:r>
              <w:t>3.</w:t>
            </w:r>
          </w:p>
        </w:tc>
        <w:tc>
          <w:tcPr>
            <w:tcW w:w="3637" w:type="dxa"/>
          </w:tcPr>
          <w:p w14:paraId="2D89A391" w14:textId="2388847E" w:rsidR="00D54CB9" w:rsidRDefault="00D54CB9" w:rsidP="004019E8">
            <w:pPr>
              <w:jc w:val="both"/>
            </w:pPr>
            <w:r>
              <w:t>Cik būtiski ir plānot kontakttīklu visā trolejbusu stāvvietas un remonta zonā? Vai nākotnē nav plānots izmantot trolejbusus ar elektrisko bateriju un vai teritorijā nav nepieciešama uzlādes infrastruktūra?</w:t>
            </w:r>
          </w:p>
        </w:tc>
        <w:tc>
          <w:tcPr>
            <w:tcW w:w="4672" w:type="dxa"/>
          </w:tcPr>
          <w:p w14:paraId="3E00F106" w14:textId="2A0EB888" w:rsidR="002250EF" w:rsidRDefault="00181D5E" w:rsidP="00507CC2">
            <w:pPr>
              <w:jc w:val="both"/>
            </w:pPr>
            <w:r>
              <w:t>Skaidrojam</w:t>
            </w:r>
            <w:r>
              <w:t xml:space="preserve">, </w:t>
            </w:r>
            <w:r>
              <w:t>ka kontakttīkls plānots visā parka stāvlaukumā</w:t>
            </w:r>
            <w:r>
              <w:t>.</w:t>
            </w:r>
            <w:r>
              <w:t xml:space="preserve"> Gadījumos, ja trolejbuss nevar izmantot neatkarīgo barošanas avotu, tas tiek norīkots maršrutā, kur nav nepieciešams neatkarīgais barošanas avots.</w:t>
            </w:r>
          </w:p>
          <w:p w14:paraId="1454CA78" w14:textId="5D48F9FC" w:rsidR="005E23A9" w:rsidRDefault="008B6E9D" w:rsidP="001F79A0">
            <w:pPr>
              <w:jc w:val="both"/>
            </w:pPr>
            <w:r>
              <w:t>Šobrīd nav jā</w:t>
            </w:r>
            <w:r w:rsidR="0094141B">
              <w:t>plāno</w:t>
            </w:r>
            <w:r w:rsidR="006B4A55">
              <w:t xml:space="preserve"> </w:t>
            </w:r>
            <w:r w:rsidR="0094141B">
              <w:t>uzlāde</w:t>
            </w:r>
            <w:r w:rsidR="001F79A0">
              <w:t>s infrastruktūra</w:t>
            </w:r>
            <w:r w:rsidR="00E73E2F">
              <w:t>s izbūve.</w:t>
            </w:r>
          </w:p>
        </w:tc>
      </w:tr>
      <w:tr w:rsidR="00D54CB9" w:rsidRPr="00081CC7" w14:paraId="256E0E59" w14:textId="77777777" w:rsidTr="003E5EDF">
        <w:trPr>
          <w:trHeight w:val="269"/>
        </w:trPr>
        <w:tc>
          <w:tcPr>
            <w:tcW w:w="753" w:type="dxa"/>
          </w:tcPr>
          <w:p w14:paraId="28B8220F" w14:textId="77777777" w:rsidR="00D54CB9" w:rsidRDefault="00D54CB9" w:rsidP="00B77459">
            <w:pPr>
              <w:jc w:val="center"/>
            </w:pPr>
          </w:p>
          <w:p w14:paraId="18BE946E" w14:textId="6FFA68F9" w:rsidR="00D54CB9" w:rsidRDefault="00D54CB9" w:rsidP="00B77459">
            <w:pPr>
              <w:jc w:val="center"/>
            </w:pPr>
            <w:r>
              <w:t>4.</w:t>
            </w:r>
          </w:p>
        </w:tc>
        <w:tc>
          <w:tcPr>
            <w:tcW w:w="3637" w:type="dxa"/>
          </w:tcPr>
          <w:p w14:paraId="6250F72E" w14:textId="5836A387" w:rsidR="00D54CB9" w:rsidRPr="00806267" w:rsidRDefault="00D54CB9" w:rsidP="004019E8">
            <w:pPr>
              <w:jc w:val="both"/>
            </w:pPr>
            <w:r>
              <w:t>Dažādās valstīs pastāv dažādi trolejbusu iebraukšanas/izbraukšanas kontroles principi un dispičera pozīcijas novietojumi depo teritorijā. Vai dispičera postenim jābūt novietotam pie trolejbusu iebraukšanas un izbraukšanas vārtiem ar vizuālu trolejbusu kontroli?</w:t>
            </w:r>
          </w:p>
        </w:tc>
        <w:tc>
          <w:tcPr>
            <w:tcW w:w="4672" w:type="dxa"/>
          </w:tcPr>
          <w:p w14:paraId="57279AE4" w14:textId="218DBB0E" w:rsidR="005E23A9" w:rsidRDefault="00A45AF6" w:rsidP="00D5155B">
            <w:r>
              <w:t xml:space="preserve">Skaidrojam, ka </w:t>
            </w:r>
            <w:r w:rsidR="004A61A8">
              <w:t>parka dispečeram</w:t>
            </w:r>
            <w:r w:rsidR="004A61A8">
              <w:t xml:space="preserve"> </w:t>
            </w:r>
            <w:r w:rsidR="00D30410">
              <w:t>n</w:t>
            </w:r>
            <w:r w:rsidR="005E23A9">
              <w:t>av obligāt</w:t>
            </w:r>
            <w:r w:rsidR="00381C60">
              <w:t>i jābūt</w:t>
            </w:r>
            <w:r w:rsidR="0015232F">
              <w:t xml:space="preserve"> pie</w:t>
            </w:r>
            <w:r w:rsidR="005E23A9">
              <w:t xml:space="preserve"> </w:t>
            </w:r>
            <w:r w:rsidR="00381C60">
              <w:t>trolejbusu iebraukšanas</w:t>
            </w:r>
            <w:r w:rsidR="00381C60">
              <w:t>/</w:t>
            </w:r>
            <w:r w:rsidR="00381C60">
              <w:t xml:space="preserve"> izbraukšanas vārtiem ar vizuālu trolejbusu kontroli</w:t>
            </w:r>
            <w:r w:rsidR="00381C60">
              <w:t>.</w:t>
            </w:r>
          </w:p>
        </w:tc>
      </w:tr>
      <w:tr w:rsidR="0075669A" w:rsidRPr="00081CC7" w14:paraId="6664A420" w14:textId="77777777" w:rsidTr="003E5EDF">
        <w:trPr>
          <w:trHeight w:val="269"/>
        </w:trPr>
        <w:tc>
          <w:tcPr>
            <w:tcW w:w="753" w:type="dxa"/>
          </w:tcPr>
          <w:p w14:paraId="7198F66E" w14:textId="22821DD4" w:rsidR="0075669A" w:rsidRDefault="0075669A" w:rsidP="00B77459">
            <w:pPr>
              <w:jc w:val="center"/>
            </w:pPr>
            <w:r>
              <w:t>5.</w:t>
            </w:r>
          </w:p>
        </w:tc>
        <w:tc>
          <w:tcPr>
            <w:tcW w:w="3637" w:type="dxa"/>
          </w:tcPr>
          <w:p w14:paraId="1432C69C" w14:textId="260BE1C8" w:rsidR="0075669A" w:rsidRDefault="0075669A" w:rsidP="00D5155B">
            <w:r>
              <w:t xml:space="preserve">Kādi būtu optimālie izmēri 18 m garo transportlīdzekļu novietojumam stāvlaukumā, jo datorprogrammas piedāvā atšķirīgu trajektoriju no Projektēšanas programmā minētās. </w:t>
            </w:r>
          </w:p>
        </w:tc>
        <w:tc>
          <w:tcPr>
            <w:tcW w:w="4672" w:type="dxa"/>
          </w:tcPr>
          <w:p w14:paraId="7AFA10D5" w14:textId="544618EB" w:rsidR="0075669A" w:rsidRDefault="004A61A8" w:rsidP="00093045">
            <w:pPr>
              <w:jc w:val="both"/>
            </w:pPr>
            <w:r>
              <w:t xml:space="preserve">Skaidrojam, ka </w:t>
            </w:r>
            <w:r w:rsidR="0075669A">
              <w:t>18 m transportlīdzekļu novietojumam stāvlaukumā vajadzētu būt analogam pievienotajai shēmai</w:t>
            </w:r>
            <w:r w:rsidR="00093045">
              <w:t xml:space="preserve"> (</w:t>
            </w:r>
            <w:proofErr w:type="spellStart"/>
            <w:r w:rsidR="00093045">
              <w:t>skat.zemāk</w:t>
            </w:r>
            <w:proofErr w:type="spellEnd"/>
            <w:r w:rsidR="00093045">
              <w:t>).</w:t>
            </w:r>
          </w:p>
        </w:tc>
      </w:tr>
      <w:tr w:rsidR="0075669A" w:rsidRPr="00081CC7" w14:paraId="1E5F0301" w14:textId="77777777" w:rsidTr="00591359">
        <w:trPr>
          <w:trHeight w:val="269"/>
        </w:trPr>
        <w:tc>
          <w:tcPr>
            <w:tcW w:w="9062" w:type="dxa"/>
            <w:gridSpan w:val="3"/>
          </w:tcPr>
          <w:p w14:paraId="600797FF" w14:textId="16ABADAE" w:rsidR="0075669A" w:rsidRDefault="0075669A" w:rsidP="00D5155B">
            <w:r>
              <w:rPr>
                <w:noProof/>
              </w:rPr>
              <w:lastRenderedPageBreak/>
              <w:drawing>
                <wp:inline distT="0" distB="0" distL="0" distR="0" wp14:anchorId="1E6B53B3" wp14:editId="5F4FE25B">
                  <wp:extent cx="5334000" cy="5715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5715000"/>
                          </a:xfrm>
                          <a:prstGeom prst="rect">
                            <a:avLst/>
                          </a:prstGeom>
                          <a:noFill/>
                        </pic:spPr>
                      </pic:pic>
                    </a:graphicData>
                  </a:graphic>
                </wp:inline>
              </w:drawing>
            </w:r>
          </w:p>
        </w:tc>
      </w:tr>
    </w:tbl>
    <w:p w14:paraId="4E9581ED" w14:textId="77777777" w:rsidR="0009358F" w:rsidRDefault="0009358F"/>
    <w:sectPr w:rsidR="0009358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6548F" w14:textId="77777777" w:rsidR="00E55844" w:rsidRDefault="00E55844" w:rsidP="001471CC">
      <w:pPr>
        <w:spacing w:after="0" w:line="240" w:lineRule="auto"/>
      </w:pPr>
      <w:r>
        <w:separator/>
      </w:r>
    </w:p>
  </w:endnote>
  <w:endnote w:type="continuationSeparator" w:id="0">
    <w:p w14:paraId="7A87E795" w14:textId="77777777" w:rsidR="00E55844" w:rsidRDefault="00E55844" w:rsidP="00147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ileroy">
    <w:altName w:val="Cambria"/>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990D7" w14:textId="77777777" w:rsidR="00E55844" w:rsidRDefault="00E55844" w:rsidP="001471CC">
      <w:pPr>
        <w:spacing w:after="0" w:line="240" w:lineRule="auto"/>
      </w:pPr>
      <w:r>
        <w:separator/>
      </w:r>
    </w:p>
  </w:footnote>
  <w:footnote w:type="continuationSeparator" w:id="0">
    <w:p w14:paraId="1368B86A" w14:textId="77777777" w:rsidR="00E55844" w:rsidRDefault="00E55844" w:rsidP="00147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35D10" w14:textId="77777777" w:rsidR="001471CC" w:rsidRDefault="001471CC" w:rsidP="001471CC">
    <w:pPr>
      <w:pStyle w:val="Header"/>
      <w:jc w:val="right"/>
    </w:pPr>
    <w:r>
      <w:t>METU KONKURSA</w:t>
    </w:r>
  </w:p>
  <w:p w14:paraId="59C7DCB7" w14:textId="66763F02" w:rsidR="001471CC" w:rsidRPr="001471CC" w:rsidRDefault="001471CC" w:rsidP="001471CC">
    <w:pPr>
      <w:pStyle w:val="Header"/>
      <w:jc w:val="right"/>
      <w:rPr>
        <w:b/>
        <w:bCs/>
      </w:rPr>
    </w:pPr>
    <w:r w:rsidRPr="001471CC">
      <w:rPr>
        <w:b/>
        <w:bCs/>
      </w:rPr>
      <w:t>„</w:t>
    </w:r>
    <w:r w:rsidR="00D5155B" w:rsidRPr="00D5155B">
      <w:rPr>
        <w:b/>
        <w:bCs/>
      </w:rPr>
      <w:t>2. TROLEJBUSU PARKA PĀRBŪVE RĪGĀ, JELGAVAS IELĀ 37</w:t>
    </w:r>
    <w:r w:rsidRPr="001471CC">
      <w:rPr>
        <w:b/>
        <w:bCs/>
      </w:rPr>
      <w:t>“</w:t>
    </w:r>
  </w:p>
  <w:p w14:paraId="7256F577" w14:textId="4119E423" w:rsidR="001471CC" w:rsidRDefault="001471CC" w:rsidP="001471CC">
    <w:pPr>
      <w:pStyle w:val="Header"/>
      <w:jc w:val="right"/>
    </w:pPr>
    <w:r>
      <w:t>JAUTĀJUMI/ATBILDES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85EC8"/>
    <w:multiLevelType w:val="multilevel"/>
    <w:tmpl w:val="1A242532"/>
    <w:lvl w:ilvl="0">
      <w:start w:val="1"/>
      <w:numFmt w:val="decimal"/>
      <w:lvlText w:val="%1."/>
      <w:lvlJc w:val="left"/>
      <w:pPr>
        <w:ind w:left="-1184" w:hanging="360"/>
      </w:pPr>
      <w:rPr>
        <w:rFonts w:hint="default"/>
        <w:b/>
      </w:rPr>
    </w:lvl>
    <w:lvl w:ilvl="1">
      <w:start w:val="1"/>
      <w:numFmt w:val="decimal"/>
      <w:lvlText w:val="%1.%2."/>
      <w:lvlJc w:val="left"/>
      <w:pPr>
        <w:ind w:left="-402" w:hanging="432"/>
      </w:pPr>
      <w:rPr>
        <w:rFonts w:hint="default"/>
        <w:b w:val="0"/>
        <w:bCs w:val="0"/>
        <w:i w:val="0"/>
        <w:u w:val="single"/>
      </w:rPr>
    </w:lvl>
    <w:lvl w:ilvl="2">
      <w:start w:val="1"/>
      <w:numFmt w:val="decimal"/>
      <w:lvlText w:val="%1.%2.%3."/>
      <w:lvlJc w:val="left"/>
      <w:pPr>
        <w:ind w:left="1071" w:hanging="504"/>
      </w:pPr>
      <w:rPr>
        <w:rFonts w:ascii="Gileroy" w:hAnsi="Gileroy" w:cstheme="minorHAnsi" w:hint="default"/>
        <w:b w:val="0"/>
        <w:sz w:val="22"/>
        <w:szCs w:val="22"/>
      </w:rPr>
    </w:lvl>
    <w:lvl w:ilvl="3">
      <w:start w:val="1"/>
      <w:numFmt w:val="decimal"/>
      <w:lvlText w:val="%1.%2.%3.%4."/>
      <w:lvlJc w:val="left"/>
      <w:pPr>
        <w:ind w:left="1499" w:hanging="648"/>
      </w:pPr>
      <w:rPr>
        <w:rFonts w:hint="default"/>
      </w:rPr>
    </w:lvl>
    <w:lvl w:ilvl="4">
      <w:start w:val="1"/>
      <w:numFmt w:val="decimal"/>
      <w:lvlText w:val="%1.%2.%3.%4.%5."/>
      <w:lvlJc w:val="left"/>
      <w:pPr>
        <w:ind w:left="688" w:hanging="792"/>
      </w:pPr>
      <w:rPr>
        <w:rFonts w:hint="default"/>
      </w:rPr>
    </w:lvl>
    <w:lvl w:ilvl="5">
      <w:start w:val="1"/>
      <w:numFmt w:val="decimal"/>
      <w:lvlText w:val="%1.%2.%3.%4.%5.%6."/>
      <w:lvlJc w:val="left"/>
      <w:pPr>
        <w:ind w:left="1192" w:hanging="936"/>
      </w:pPr>
      <w:rPr>
        <w:rFonts w:hint="default"/>
      </w:rPr>
    </w:lvl>
    <w:lvl w:ilvl="6">
      <w:start w:val="1"/>
      <w:numFmt w:val="decimal"/>
      <w:lvlText w:val="%1.%2.%3.%4.%5.%6.%7."/>
      <w:lvlJc w:val="left"/>
      <w:pPr>
        <w:ind w:left="1696" w:hanging="1080"/>
      </w:pPr>
      <w:rPr>
        <w:rFonts w:hint="default"/>
      </w:rPr>
    </w:lvl>
    <w:lvl w:ilvl="7">
      <w:start w:val="1"/>
      <w:numFmt w:val="decimal"/>
      <w:lvlText w:val="%1.%2.%3.%4.%5.%6.%7.%8."/>
      <w:lvlJc w:val="left"/>
      <w:pPr>
        <w:ind w:left="2200" w:hanging="1224"/>
      </w:pPr>
      <w:rPr>
        <w:rFonts w:hint="default"/>
      </w:rPr>
    </w:lvl>
    <w:lvl w:ilvl="8">
      <w:start w:val="1"/>
      <w:numFmt w:val="decimal"/>
      <w:lvlText w:val="%1.%2.%3.%4.%5.%6.%7.%8.%9."/>
      <w:lvlJc w:val="left"/>
      <w:pPr>
        <w:ind w:left="2776" w:hanging="1440"/>
      </w:pPr>
      <w:rPr>
        <w:rFonts w:hint="default"/>
      </w:rPr>
    </w:lvl>
  </w:abstractNum>
  <w:num w:numId="1" w16cid:durableId="1144926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74"/>
    <w:rsid w:val="00064734"/>
    <w:rsid w:val="0006685E"/>
    <w:rsid w:val="00077A2E"/>
    <w:rsid w:val="00093045"/>
    <w:rsid w:val="0009358F"/>
    <w:rsid w:val="000A175A"/>
    <w:rsid w:val="000A6CFC"/>
    <w:rsid w:val="00106CDC"/>
    <w:rsid w:val="00111678"/>
    <w:rsid w:val="0012653E"/>
    <w:rsid w:val="00126678"/>
    <w:rsid w:val="001471CC"/>
    <w:rsid w:val="0015232F"/>
    <w:rsid w:val="00174FF3"/>
    <w:rsid w:val="00181D5E"/>
    <w:rsid w:val="00190CF6"/>
    <w:rsid w:val="001F79A0"/>
    <w:rsid w:val="0020074A"/>
    <w:rsid w:val="002250EF"/>
    <w:rsid w:val="002674EC"/>
    <w:rsid w:val="00293D27"/>
    <w:rsid w:val="002C627D"/>
    <w:rsid w:val="002D505B"/>
    <w:rsid w:val="00344F74"/>
    <w:rsid w:val="0035230D"/>
    <w:rsid w:val="00381C60"/>
    <w:rsid w:val="003A6DAD"/>
    <w:rsid w:val="003B0FF4"/>
    <w:rsid w:val="003D0407"/>
    <w:rsid w:val="003E5EDF"/>
    <w:rsid w:val="004019E8"/>
    <w:rsid w:val="004101AE"/>
    <w:rsid w:val="0046324F"/>
    <w:rsid w:val="00495B27"/>
    <w:rsid w:val="004A61A8"/>
    <w:rsid w:val="00503306"/>
    <w:rsid w:val="00507CC2"/>
    <w:rsid w:val="00525EBF"/>
    <w:rsid w:val="0055091A"/>
    <w:rsid w:val="0056057E"/>
    <w:rsid w:val="005762AE"/>
    <w:rsid w:val="00577E1E"/>
    <w:rsid w:val="005E23A9"/>
    <w:rsid w:val="00616DD1"/>
    <w:rsid w:val="006731E3"/>
    <w:rsid w:val="006B4A55"/>
    <w:rsid w:val="006C18E7"/>
    <w:rsid w:val="00724AA5"/>
    <w:rsid w:val="00740939"/>
    <w:rsid w:val="00747B57"/>
    <w:rsid w:val="0075669A"/>
    <w:rsid w:val="007832AD"/>
    <w:rsid w:val="007D1AEC"/>
    <w:rsid w:val="00806267"/>
    <w:rsid w:val="008256F1"/>
    <w:rsid w:val="0084368D"/>
    <w:rsid w:val="008B6E9D"/>
    <w:rsid w:val="008C54BF"/>
    <w:rsid w:val="00921DFA"/>
    <w:rsid w:val="00933E48"/>
    <w:rsid w:val="0094141B"/>
    <w:rsid w:val="00973D18"/>
    <w:rsid w:val="009A213F"/>
    <w:rsid w:val="009E4760"/>
    <w:rsid w:val="00A11B74"/>
    <w:rsid w:val="00A45AF6"/>
    <w:rsid w:val="00A56EEA"/>
    <w:rsid w:val="00A737DA"/>
    <w:rsid w:val="00A8531C"/>
    <w:rsid w:val="00AD2D1C"/>
    <w:rsid w:val="00AD6F0F"/>
    <w:rsid w:val="00AE3450"/>
    <w:rsid w:val="00AE4D73"/>
    <w:rsid w:val="00B1156D"/>
    <w:rsid w:val="00B75D5D"/>
    <w:rsid w:val="00BE0AB2"/>
    <w:rsid w:val="00CC6722"/>
    <w:rsid w:val="00CF7242"/>
    <w:rsid w:val="00D11506"/>
    <w:rsid w:val="00D262EF"/>
    <w:rsid w:val="00D30410"/>
    <w:rsid w:val="00D44788"/>
    <w:rsid w:val="00D5155B"/>
    <w:rsid w:val="00D54CB9"/>
    <w:rsid w:val="00D95FAD"/>
    <w:rsid w:val="00E17915"/>
    <w:rsid w:val="00E34CB4"/>
    <w:rsid w:val="00E43BC0"/>
    <w:rsid w:val="00E55844"/>
    <w:rsid w:val="00E73E2F"/>
    <w:rsid w:val="00EA4E8D"/>
    <w:rsid w:val="00ED4153"/>
    <w:rsid w:val="00F12F7A"/>
    <w:rsid w:val="00F13940"/>
    <w:rsid w:val="00F37F06"/>
    <w:rsid w:val="00FE6A56"/>
    <w:rsid w:val="00FF73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90140"/>
  <w15:chartTrackingRefBased/>
  <w15:docId w15:val="{FFB6728C-5E32-434E-AB5F-FE63360A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74"/>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F74"/>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71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71CC"/>
    <w:rPr>
      <w:lang w:val="lv-LV"/>
    </w:rPr>
  </w:style>
  <w:style w:type="paragraph" w:styleId="Footer">
    <w:name w:val="footer"/>
    <w:basedOn w:val="Normal"/>
    <w:link w:val="FooterChar"/>
    <w:uiPriority w:val="99"/>
    <w:unhideWhenUsed/>
    <w:rsid w:val="001471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71CC"/>
    <w:rPr>
      <w:lang w:val="lv-LV"/>
    </w:rPr>
  </w:style>
  <w:style w:type="paragraph" w:styleId="Revision">
    <w:name w:val="Revision"/>
    <w:hidden/>
    <w:uiPriority w:val="99"/>
    <w:semiHidden/>
    <w:rsid w:val="00B1156D"/>
    <w:pPr>
      <w:spacing w:after="0" w:line="240" w:lineRule="auto"/>
    </w:pPr>
    <w:rPr>
      <w:lang w:val="lv-LV"/>
    </w:rPr>
  </w:style>
  <w:style w:type="paragraph" w:styleId="ListParagraph">
    <w:name w:val="List Paragraph"/>
    <w:aliases w:val="H&amp;P List Paragraph,2,Strip,Normal bullet 2,Bullet list,Numbered Para 1,Dot pt,No Spacing1,List Paragraph Char Char Char,Indicator Text,Bullet Points,MAIN CONTENT,IFCL - List Paragraph,List Paragraph12,OBC Bullet,F5 List Paragraph,Syle 1"/>
    <w:basedOn w:val="Normal"/>
    <w:link w:val="ListParagraphChar"/>
    <w:uiPriority w:val="34"/>
    <w:qFormat/>
    <w:rsid w:val="00D44788"/>
    <w:pPr>
      <w:ind w:left="720"/>
      <w:contextualSpacing/>
    </w:pPr>
    <w:rPr>
      <w:lang w:val="de-DE"/>
    </w:rPr>
  </w:style>
  <w:style w:type="character" w:styleId="Hyperlink">
    <w:name w:val="Hyperlink"/>
    <w:basedOn w:val="DefaultParagraphFont"/>
    <w:uiPriority w:val="99"/>
    <w:unhideWhenUsed/>
    <w:rsid w:val="00D44788"/>
    <w:rPr>
      <w:color w:val="0563C1" w:themeColor="hyperlink"/>
      <w:u w:val="single"/>
    </w:rPr>
  </w:style>
  <w:style w:type="character" w:customStyle="1" w:styleId="ListParagraphChar">
    <w:name w:val="List Paragraph Char"/>
    <w:aliases w:val="H&amp;P List Paragraph Char,2 Char,Strip Char,Normal bullet 2 Char,Bullet list Char,Numbered Para 1 Char,Dot pt Char,No Spacing1 Char,List Paragraph Char Char Char Char,Indicator Text Char,Bullet Points Char,MAIN CONTENT Char,Syle 1 Char"/>
    <w:link w:val="ListParagraph"/>
    <w:uiPriority w:val="34"/>
    <w:qFormat/>
    <w:locked/>
    <w:rsid w:val="00D44788"/>
  </w:style>
  <w:style w:type="paragraph" w:styleId="CommentText">
    <w:name w:val="annotation text"/>
    <w:basedOn w:val="Normal"/>
    <w:link w:val="CommentTextChar"/>
    <w:uiPriority w:val="99"/>
    <w:semiHidden/>
    <w:unhideWhenUsed/>
    <w:rsid w:val="00A8531C"/>
    <w:pPr>
      <w:spacing w:line="240" w:lineRule="auto"/>
    </w:pPr>
    <w:rPr>
      <w:sz w:val="20"/>
      <w:szCs w:val="20"/>
    </w:rPr>
  </w:style>
  <w:style w:type="character" w:customStyle="1" w:styleId="CommentTextChar">
    <w:name w:val="Comment Text Char"/>
    <w:basedOn w:val="DefaultParagraphFont"/>
    <w:link w:val="CommentText"/>
    <w:uiPriority w:val="99"/>
    <w:semiHidden/>
    <w:rsid w:val="00A8531C"/>
    <w:rPr>
      <w:sz w:val="20"/>
      <w:szCs w:val="20"/>
      <w:lang w:val="lv-LV"/>
    </w:rPr>
  </w:style>
  <w:style w:type="character" w:styleId="CommentReference">
    <w:name w:val="annotation reference"/>
    <w:basedOn w:val="DefaultParagraphFont"/>
    <w:uiPriority w:val="99"/>
    <w:semiHidden/>
    <w:unhideWhenUsed/>
    <w:rsid w:val="00A8531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721188">
      <w:bodyDiv w:val="1"/>
      <w:marLeft w:val="0"/>
      <w:marRight w:val="0"/>
      <w:marTop w:val="0"/>
      <w:marBottom w:val="0"/>
      <w:divBdr>
        <w:top w:val="none" w:sz="0" w:space="0" w:color="auto"/>
        <w:left w:val="none" w:sz="0" w:space="0" w:color="auto"/>
        <w:bottom w:val="none" w:sz="0" w:space="0" w:color="auto"/>
        <w:right w:val="none" w:sz="0" w:space="0" w:color="auto"/>
      </w:divBdr>
    </w:div>
    <w:div w:id="1682659378">
      <w:bodyDiv w:val="1"/>
      <w:marLeft w:val="0"/>
      <w:marRight w:val="0"/>
      <w:marTop w:val="0"/>
      <w:marBottom w:val="0"/>
      <w:divBdr>
        <w:top w:val="none" w:sz="0" w:space="0" w:color="auto"/>
        <w:left w:val="none" w:sz="0" w:space="0" w:color="auto"/>
        <w:bottom w:val="none" w:sz="0" w:space="0" w:color="auto"/>
        <w:right w:val="none" w:sz="0" w:space="0" w:color="auto"/>
      </w:divBdr>
    </w:div>
    <w:div w:id="205639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1349</Words>
  <Characters>769</Characters>
  <Application>Microsoft Office Word</Application>
  <DocSecurity>0</DocSecurity>
  <Lines>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Kalvane</dc:creator>
  <cp:keywords/>
  <dc:description/>
  <cp:lastModifiedBy>Inta Novika</cp:lastModifiedBy>
  <cp:revision>25</cp:revision>
  <dcterms:created xsi:type="dcterms:W3CDTF">2025-07-11T11:03:00Z</dcterms:created>
  <dcterms:modified xsi:type="dcterms:W3CDTF">2025-07-11T11:23:00Z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3ea56eb1-5202-4f12-89f2-73c3695ff686</vt:lpwstr>
  </property>
</Properties>
</file>