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4E3E" w14:textId="77777777" w:rsidR="00A00FEA" w:rsidRPr="002E13FF" w:rsidRDefault="00A00FEA" w:rsidP="00A00FEA">
      <w:pPr>
        <w:spacing w:after="0" w:line="240" w:lineRule="auto"/>
        <w:jc w:val="right"/>
        <w:rPr>
          <w:rFonts w:ascii="Gilroy" w:hAnsi="Gilroy" w:cstheme="majorHAnsi"/>
          <w:lang w:val="lv-LV"/>
        </w:rPr>
      </w:pPr>
      <w:r w:rsidRPr="002E13FF">
        <w:rPr>
          <w:rFonts w:ascii="Gilroy" w:hAnsi="Gilroy" w:cstheme="majorHAnsi"/>
          <w:lang w:val="lv-LV"/>
        </w:rPr>
        <w:t>APSTIPRINĀTS:</w:t>
      </w:r>
    </w:p>
    <w:p w14:paraId="1CE18AB3" w14:textId="77777777" w:rsidR="00A00FEA" w:rsidRPr="002E13FF" w:rsidRDefault="00A00FEA" w:rsidP="00A00FEA">
      <w:pPr>
        <w:spacing w:line="240" w:lineRule="auto"/>
        <w:jc w:val="right"/>
        <w:rPr>
          <w:rFonts w:ascii="Gilroy" w:hAnsi="Gilroy" w:cstheme="majorHAnsi"/>
          <w:lang w:val="lv-LV"/>
        </w:rPr>
      </w:pPr>
      <w:r>
        <w:rPr>
          <w:rFonts w:ascii="Gilroy" w:hAnsi="Gilroy" w:cstheme="majorHAnsi"/>
          <w:lang w:val="lv-LV"/>
        </w:rPr>
        <w:t xml:space="preserve">Ar </w:t>
      </w:r>
      <w:r w:rsidRPr="002E13FF">
        <w:rPr>
          <w:rFonts w:ascii="Gilroy" w:hAnsi="Gilroy" w:cstheme="majorHAnsi"/>
          <w:lang w:val="lv-LV"/>
        </w:rPr>
        <w:t>Rīgas pašvaldības sabiedrība</w:t>
      </w:r>
      <w:r>
        <w:rPr>
          <w:rFonts w:ascii="Gilroy" w:hAnsi="Gilroy" w:cstheme="majorHAnsi"/>
          <w:lang w:val="lv-LV"/>
        </w:rPr>
        <w:t>s</w:t>
      </w:r>
      <w:r w:rsidRPr="002E13FF">
        <w:rPr>
          <w:rFonts w:ascii="Gilroy" w:hAnsi="Gilroy" w:cstheme="majorHAnsi"/>
          <w:lang w:val="lv-LV"/>
        </w:rPr>
        <w:t xml:space="preserve"> </w:t>
      </w:r>
    </w:p>
    <w:p w14:paraId="1392B744" w14:textId="77777777" w:rsidR="00A00FEA" w:rsidRPr="002E13FF" w:rsidRDefault="00A00FEA" w:rsidP="00A00FEA">
      <w:pPr>
        <w:spacing w:line="240" w:lineRule="auto"/>
        <w:jc w:val="right"/>
        <w:rPr>
          <w:rFonts w:ascii="Gilroy" w:hAnsi="Gilroy" w:cstheme="majorHAnsi"/>
          <w:lang w:val="lv-LV"/>
        </w:rPr>
      </w:pPr>
      <w:r w:rsidRPr="002E13FF">
        <w:rPr>
          <w:rFonts w:ascii="Gilroy" w:hAnsi="Gilroy" w:cstheme="majorHAnsi"/>
          <w:lang w:val="lv-LV"/>
        </w:rPr>
        <w:t xml:space="preserve">ar ierobežotu atbildību „Rīgas satiksme” </w:t>
      </w:r>
    </w:p>
    <w:p w14:paraId="7E8D750E" w14:textId="44E8ADF8" w:rsidR="00A00FEA" w:rsidRDefault="00A00FEA" w:rsidP="00A00FEA">
      <w:pPr>
        <w:spacing w:line="240" w:lineRule="auto"/>
        <w:jc w:val="right"/>
        <w:rPr>
          <w:rFonts w:ascii="Gilroy" w:hAnsi="Gilroy" w:cstheme="majorHAnsi"/>
          <w:lang w:val="lv-LV"/>
        </w:rPr>
      </w:pPr>
      <w:r>
        <w:rPr>
          <w:rFonts w:ascii="Gilroy" w:hAnsi="Gilroy" w:cstheme="majorHAnsi"/>
          <w:lang w:val="lv-LV"/>
        </w:rPr>
        <w:t>valdes 2025. gada 15.maija lēmumu</w:t>
      </w:r>
    </w:p>
    <w:p w14:paraId="5E47CDB8" w14:textId="77777777" w:rsidR="00A00FEA" w:rsidRDefault="00A00FEA" w:rsidP="00A00FEA">
      <w:pPr>
        <w:spacing w:line="240" w:lineRule="auto"/>
        <w:jc w:val="right"/>
        <w:rPr>
          <w:rFonts w:ascii="Gilroy" w:hAnsi="Gilroy" w:cstheme="majorHAnsi"/>
          <w:lang w:val="lv-LV"/>
        </w:rPr>
      </w:pPr>
    </w:p>
    <w:p w14:paraId="7BAD93C7" w14:textId="77777777" w:rsidR="00A00FEA" w:rsidRDefault="00A00FEA" w:rsidP="00A00FEA">
      <w:pPr>
        <w:spacing w:line="240" w:lineRule="auto"/>
        <w:jc w:val="right"/>
        <w:rPr>
          <w:rFonts w:ascii="Gilroy" w:hAnsi="Gilroy" w:cstheme="majorHAnsi"/>
          <w:lang w:val="lv-LV"/>
        </w:rPr>
      </w:pPr>
    </w:p>
    <w:p w14:paraId="7AEBAB15" w14:textId="77777777" w:rsidR="00A00FEA" w:rsidRPr="00A00FEA" w:rsidRDefault="00A00FEA" w:rsidP="00A00FEA">
      <w:pPr>
        <w:spacing w:line="240" w:lineRule="auto"/>
        <w:jc w:val="center"/>
        <w:rPr>
          <w:rFonts w:ascii="Gilroy" w:hAnsi="Gilroy" w:cstheme="majorHAnsi"/>
          <w:b/>
          <w:bCs/>
          <w:sz w:val="24"/>
          <w:szCs w:val="24"/>
          <w:lang w:val="lv-LV"/>
        </w:rPr>
      </w:pPr>
      <w:r w:rsidRPr="00A00FEA">
        <w:rPr>
          <w:rFonts w:ascii="Gilroy" w:hAnsi="Gilroy" w:cstheme="majorHAnsi"/>
          <w:b/>
          <w:bCs/>
          <w:sz w:val="24"/>
          <w:szCs w:val="24"/>
          <w:lang w:val="lv-LV"/>
        </w:rPr>
        <w:t>GROZĪJUMI</w:t>
      </w:r>
    </w:p>
    <w:p w14:paraId="6962E047" w14:textId="09A786D1" w:rsidR="00A00FEA" w:rsidRPr="002E13FF" w:rsidRDefault="00A00FEA" w:rsidP="00A00FEA">
      <w:pPr>
        <w:spacing w:line="240" w:lineRule="auto"/>
        <w:jc w:val="center"/>
        <w:rPr>
          <w:rFonts w:ascii="Gilroy" w:hAnsi="Gilroy" w:cstheme="majorHAnsi"/>
          <w:lang w:val="lv-LV"/>
        </w:rPr>
      </w:pPr>
      <w:r>
        <w:rPr>
          <w:rFonts w:ascii="Gilroy" w:hAnsi="Gilroy" w:cstheme="majorHAnsi"/>
          <w:lang w:val="lv-LV"/>
        </w:rPr>
        <w:t xml:space="preserve"> </w:t>
      </w:r>
      <w:r w:rsidRPr="002E13FF">
        <w:rPr>
          <w:rFonts w:ascii="Gilroy" w:hAnsi="Gilroy" w:cstheme="majorHAnsi"/>
          <w:lang w:val="lv-LV"/>
        </w:rPr>
        <w:t xml:space="preserve">ATKLĀTA METU KONKURSA </w:t>
      </w:r>
    </w:p>
    <w:p w14:paraId="1142FEAE" w14:textId="77777777" w:rsidR="00A00FEA" w:rsidRPr="002E13FF" w:rsidRDefault="00A00FEA" w:rsidP="00A00FEA">
      <w:pPr>
        <w:spacing w:line="240" w:lineRule="auto"/>
        <w:jc w:val="center"/>
        <w:rPr>
          <w:rFonts w:ascii="Gilroy" w:hAnsi="Gilroy" w:cstheme="majorHAnsi"/>
          <w:b/>
          <w:bCs/>
          <w:lang w:val="lv-LV"/>
        </w:rPr>
      </w:pPr>
      <w:bookmarkStart w:id="0" w:name="_Hlk188527434"/>
      <w:r w:rsidRPr="002E13FF">
        <w:rPr>
          <w:rFonts w:ascii="Gilroy" w:hAnsi="Gilroy" w:cstheme="majorHAnsi"/>
          <w:b/>
          <w:bCs/>
          <w:lang w:val="lv-LV"/>
        </w:rPr>
        <w:t>„2. TROLEJBUSU PARKA PĀRBŪVE RĪGĀ, JELGAVAS IELĀ 37“</w:t>
      </w:r>
    </w:p>
    <w:bookmarkEnd w:id="0"/>
    <w:p w14:paraId="5C9E492F" w14:textId="2FEEC00D" w:rsidR="00A00FEA" w:rsidRPr="002E13FF" w:rsidRDefault="00A00FEA" w:rsidP="00A00FEA">
      <w:pPr>
        <w:spacing w:line="240" w:lineRule="auto"/>
        <w:jc w:val="center"/>
        <w:rPr>
          <w:rFonts w:ascii="Gilroy" w:hAnsi="Gilroy" w:cstheme="majorHAnsi"/>
          <w:lang w:val="lv-LV"/>
        </w:rPr>
      </w:pPr>
      <w:r w:rsidRPr="002E13FF">
        <w:rPr>
          <w:rFonts w:ascii="Gilroy" w:hAnsi="Gilroy" w:cstheme="minorHAnsi"/>
          <w:lang w:val="lv-LV"/>
        </w:rPr>
        <w:t>ID. Nr. RS/2025/24</w:t>
      </w:r>
      <w:r>
        <w:rPr>
          <w:rFonts w:ascii="Gilroy" w:hAnsi="Gilroy" w:cstheme="minorHAnsi"/>
          <w:lang w:val="lv-LV"/>
        </w:rPr>
        <w:t xml:space="preserve">    </w:t>
      </w:r>
      <w:r w:rsidRPr="002E13FF">
        <w:rPr>
          <w:rFonts w:ascii="Gilroy" w:hAnsi="Gilroy" w:cstheme="majorHAnsi"/>
          <w:lang w:val="lv-LV"/>
        </w:rPr>
        <w:t>NOLIKUM</w:t>
      </w:r>
      <w:r>
        <w:rPr>
          <w:rFonts w:ascii="Gilroy" w:hAnsi="Gilroy" w:cstheme="majorHAnsi"/>
          <w:lang w:val="lv-LV"/>
        </w:rPr>
        <w:t>Ā</w:t>
      </w:r>
    </w:p>
    <w:p w14:paraId="40B28571" w14:textId="77777777" w:rsidR="00A00FEA" w:rsidRPr="00A00FEA" w:rsidRDefault="00A00FEA" w:rsidP="00A00FEA">
      <w:pPr>
        <w:spacing w:line="240" w:lineRule="auto"/>
        <w:ind w:left="-426"/>
        <w:jc w:val="center"/>
        <w:rPr>
          <w:rFonts w:ascii="Gilroy" w:hAnsi="Gilroy" w:cstheme="majorHAnsi"/>
          <w:sz w:val="24"/>
          <w:szCs w:val="24"/>
          <w:lang w:val="lv-LV"/>
        </w:rPr>
      </w:pPr>
    </w:p>
    <w:p w14:paraId="02ED55FA" w14:textId="77777777" w:rsidR="00A00FEA" w:rsidRPr="00A00FEA" w:rsidRDefault="00A00FEA" w:rsidP="00A00FEA">
      <w:pPr>
        <w:pStyle w:val="ListParagraph"/>
        <w:numPr>
          <w:ilvl w:val="0"/>
          <w:numId w:val="3"/>
        </w:numPr>
        <w:spacing w:before="120" w:after="120"/>
        <w:jc w:val="both"/>
        <w:rPr>
          <w:rFonts w:ascii="Times New Roman" w:hAnsi="Times New Roman"/>
          <w:sz w:val="24"/>
          <w:szCs w:val="24"/>
          <w:lang w:val="lv-LV"/>
        </w:rPr>
      </w:pPr>
      <w:bookmarkStart w:id="1" w:name="_Hlk198042700"/>
      <w:r w:rsidRPr="00A00FEA">
        <w:rPr>
          <w:rFonts w:ascii="Times New Roman" w:hAnsi="Times New Roman"/>
          <w:sz w:val="24"/>
          <w:szCs w:val="24"/>
          <w:lang w:val="lv-LV" w:eastAsia="de-DE"/>
        </w:rPr>
        <w:t xml:space="preserve">Izteikt jaunā redakcijā </w:t>
      </w:r>
      <w:r w:rsidRPr="00A00FEA">
        <w:rPr>
          <w:rFonts w:ascii="Times New Roman" w:hAnsi="Times New Roman"/>
          <w:sz w:val="24"/>
          <w:szCs w:val="24"/>
          <w:lang w:val="lv-LV"/>
        </w:rPr>
        <w:t>atklāta metu konkursa</w:t>
      </w:r>
      <w:bookmarkEnd w:id="1"/>
      <w:r w:rsidRPr="00A00FEA">
        <w:rPr>
          <w:rFonts w:ascii="Times New Roman" w:hAnsi="Times New Roman"/>
          <w:sz w:val="24"/>
          <w:szCs w:val="24"/>
          <w:lang w:val="lv-LV"/>
        </w:rPr>
        <w:t xml:space="preserve"> nolikuma 9.4.punktu:</w:t>
      </w:r>
    </w:p>
    <w:p w14:paraId="66080B38" w14:textId="77777777" w:rsidR="00A00FEA" w:rsidRPr="00A00FEA" w:rsidRDefault="00A00FEA" w:rsidP="00A00FEA">
      <w:pPr>
        <w:pStyle w:val="ListParagraph"/>
        <w:spacing w:before="120" w:after="120" w:line="240" w:lineRule="auto"/>
        <w:ind w:left="567"/>
        <w:contextualSpacing w:val="0"/>
        <w:jc w:val="both"/>
        <w:rPr>
          <w:rFonts w:ascii="Times New Roman" w:hAnsi="Times New Roman"/>
          <w:sz w:val="24"/>
          <w:szCs w:val="24"/>
          <w:lang w:val="lv-LV"/>
        </w:rPr>
      </w:pPr>
      <w:r w:rsidRPr="00A00FEA">
        <w:rPr>
          <w:rFonts w:ascii="Times New Roman" w:hAnsi="Times New Roman"/>
          <w:sz w:val="24"/>
          <w:szCs w:val="24"/>
          <w:lang w:val="lv-LV"/>
        </w:rPr>
        <w:t xml:space="preserve">“9.4. Tehniskās un profesionālās spējas: </w:t>
      </w:r>
    </w:p>
    <w:tbl>
      <w:tblPr>
        <w:tblStyle w:val="TableGrid"/>
        <w:tblW w:w="9780" w:type="dxa"/>
        <w:tblInd w:w="421" w:type="dxa"/>
        <w:tblLayout w:type="fixed"/>
        <w:tblLook w:val="04A0" w:firstRow="1" w:lastRow="0" w:firstColumn="1" w:lastColumn="0" w:noHBand="0" w:noVBand="1"/>
      </w:tblPr>
      <w:tblGrid>
        <w:gridCol w:w="992"/>
        <w:gridCol w:w="5670"/>
        <w:gridCol w:w="3118"/>
      </w:tblGrid>
      <w:tr w:rsidR="00A00FEA" w:rsidRPr="00A00FEA" w14:paraId="10C140D0" w14:textId="77777777" w:rsidTr="00A00FEA">
        <w:trPr>
          <w:trHeight w:val="744"/>
        </w:trPr>
        <w:tc>
          <w:tcPr>
            <w:tcW w:w="992" w:type="dxa"/>
            <w:shd w:val="clear" w:color="auto" w:fill="E8E8E8" w:themeFill="background2"/>
          </w:tcPr>
          <w:p w14:paraId="5DA35469" w14:textId="77777777" w:rsidR="00A00FEA" w:rsidRPr="00A00FEA" w:rsidRDefault="00A00FEA" w:rsidP="00673F06">
            <w:pPr>
              <w:rPr>
                <w:rFonts w:ascii="Times New Roman" w:hAnsi="Times New Roman" w:cs="Times New Roman"/>
                <w:sz w:val="24"/>
                <w:szCs w:val="24"/>
                <w:lang w:val="lv-LV"/>
              </w:rPr>
            </w:pPr>
            <w:proofErr w:type="spellStart"/>
            <w:r w:rsidRPr="00A00FEA">
              <w:rPr>
                <w:rFonts w:ascii="Times New Roman" w:hAnsi="Times New Roman" w:cs="Times New Roman"/>
                <w:b/>
                <w:bCs/>
                <w:sz w:val="24"/>
                <w:szCs w:val="24"/>
                <w:lang w:val="lv-LV"/>
              </w:rPr>
              <w:t>Nr.p.k</w:t>
            </w:r>
            <w:proofErr w:type="spellEnd"/>
            <w:r w:rsidRPr="00A00FEA">
              <w:rPr>
                <w:rFonts w:ascii="Times New Roman" w:hAnsi="Times New Roman" w:cs="Times New Roman"/>
                <w:b/>
                <w:bCs/>
                <w:sz w:val="24"/>
                <w:szCs w:val="24"/>
                <w:lang w:val="lv-LV"/>
              </w:rPr>
              <w:t>.</w:t>
            </w:r>
          </w:p>
        </w:tc>
        <w:tc>
          <w:tcPr>
            <w:tcW w:w="5670" w:type="dxa"/>
            <w:shd w:val="clear" w:color="auto" w:fill="E8E8E8" w:themeFill="background2"/>
          </w:tcPr>
          <w:p w14:paraId="5DEA34A8" w14:textId="77777777" w:rsidR="00A00FEA" w:rsidRPr="00A00FEA" w:rsidRDefault="00A00FEA" w:rsidP="00673F06">
            <w:pPr>
              <w:ind w:left="993" w:hanging="633"/>
              <w:rPr>
                <w:rFonts w:ascii="Times New Roman" w:hAnsi="Times New Roman" w:cs="Times New Roman"/>
                <w:sz w:val="24"/>
                <w:szCs w:val="24"/>
                <w:lang w:val="lv-LV"/>
              </w:rPr>
            </w:pPr>
            <w:r w:rsidRPr="00A00FEA">
              <w:rPr>
                <w:rFonts w:ascii="Times New Roman" w:hAnsi="Times New Roman" w:cs="Times New Roman"/>
                <w:b/>
                <w:bCs/>
                <w:sz w:val="24"/>
                <w:szCs w:val="24"/>
                <w:lang w:val="lv-LV"/>
              </w:rPr>
              <w:t>Pasūtītāja izvirzīta prasība</w:t>
            </w:r>
          </w:p>
        </w:tc>
        <w:tc>
          <w:tcPr>
            <w:tcW w:w="3118" w:type="dxa"/>
            <w:shd w:val="clear" w:color="auto" w:fill="E8E8E8" w:themeFill="background2"/>
          </w:tcPr>
          <w:p w14:paraId="7CF2FC2D" w14:textId="77777777" w:rsidR="00A00FEA" w:rsidRPr="00A00FEA" w:rsidRDefault="00A00FEA" w:rsidP="00673F06">
            <w:pPr>
              <w:ind w:left="993" w:hanging="633"/>
              <w:rPr>
                <w:rFonts w:ascii="Times New Roman" w:hAnsi="Times New Roman" w:cs="Times New Roman"/>
                <w:sz w:val="24"/>
                <w:szCs w:val="24"/>
                <w:lang w:val="lv-LV"/>
              </w:rPr>
            </w:pPr>
            <w:r w:rsidRPr="00A00FEA">
              <w:rPr>
                <w:rFonts w:ascii="Times New Roman" w:hAnsi="Times New Roman" w:cs="Times New Roman"/>
                <w:b/>
                <w:bCs/>
                <w:sz w:val="24"/>
                <w:szCs w:val="24"/>
                <w:lang w:val="lv-LV"/>
              </w:rPr>
              <w:t>Konkursa dalībniekam jāiesniedz</w:t>
            </w:r>
          </w:p>
        </w:tc>
      </w:tr>
      <w:tr w:rsidR="00A00FEA" w:rsidRPr="00A00FEA" w14:paraId="74F891E7" w14:textId="77777777" w:rsidTr="00A00FEA">
        <w:trPr>
          <w:trHeight w:val="839"/>
        </w:trPr>
        <w:tc>
          <w:tcPr>
            <w:tcW w:w="992" w:type="dxa"/>
            <w:shd w:val="clear" w:color="auto" w:fill="auto"/>
          </w:tcPr>
          <w:p w14:paraId="60E025C8" w14:textId="77777777" w:rsidR="00A00FEA" w:rsidRPr="00A00FEA" w:rsidRDefault="00A00FEA" w:rsidP="00673F06">
            <w:pPr>
              <w:pStyle w:val="ListParagraph"/>
              <w:ind w:left="0"/>
              <w:contextualSpacing w:val="0"/>
              <w:jc w:val="both"/>
              <w:rPr>
                <w:rFonts w:ascii="Times New Roman" w:hAnsi="Times New Roman" w:cs="Times New Roman"/>
                <w:sz w:val="24"/>
                <w:szCs w:val="24"/>
                <w:lang w:val="lv-LV"/>
              </w:rPr>
            </w:pPr>
            <w:r w:rsidRPr="00A00FEA">
              <w:rPr>
                <w:rFonts w:ascii="Times New Roman" w:hAnsi="Times New Roman" w:cs="Times New Roman"/>
                <w:sz w:val="24"/>
                <w:szCs w:val="24"/>
                <w:lang w:val="lv-LV"/>
              </w:rPr>
              <w:t>9.4.1.</w:t>
            </w:r>
          </w:p>
        </w:tc>
        <w:tc>
          <w:tcPr>
            <w:tcW w:w="5670" w:type="dxa"/>
            <w:shd w:val="clear" w:color="auto" w:fill="auto"/>
          </w:tcPr>
          <w:p w14:paraId="121648AB" w14:textId="77777777" w:rsidR="00A00FEA" w:rsidRPr="00A00FEA" w:rsidRDefault="00A00FEA" w:rsidP="00673F06">
            <w:pPr>
              <w:jc w:val="both"/>
              <w:rPr>
                <w:rFonts w:ascii="Times New Roman" w:hAnsi="Times New Roman" w:cs="Times New Roman"/>
                <w:sz w:val="24"/>
                <w:szCs w:val="24"/>
                <w:lang w:val="lv-LV"/>
              </w:rPr>
            </w:pPr>
            <w:r w:rsidRPr="00A00FEA">
              <w:rPr>
                <w:rFonts w:ascii="Times New Roman" w:hAnsi="Times New Roman" w:cs="Times New Roman"/>
                <w:sz w:val="24"/>
                <w:szCs w:val="24"/>
                <w:lang w:val="lv-LV"/>
              </w:rPr>
              <w:t>Konkursa dalībnieks ne vairāk kā 7 (septiņos) iepriekšējos gados (2018., 2019., 2020., 2021., 2022., 2023. un 2024. gadā, kā  arī periodā līdz Meta iesniegšanas dienai) ir izstrādājis:</w:t>
            </w:r>
          </w:p>
          <w:p w14:paraId="7BEE87E2" w14:textId="77777777" w:rsidR="00A00FEA" w:rsidRPr="00A00FEA" w:rsidRDefault="00A00FEA" w:rsidP="00A00FEA">
            <w:pPr>
              <w:pStyle w:val="ListParagraph"/>
              <w:numPr>
                <w:ilvl w:val="3"/>
                <w:numId w:val="2"/>
              </w:numPr>
              <w:spacing w:after="160" w:line="259" w:lineRule="auto"/>
              <w:ind w:left="0" w:firstLine="0"/>
              <w:jc w:val="both"/>
              <w:rPr>
                <w:rFonts w:ascii="Times New Roman" w:hAnsi="Times New Roman" w:cs="Times New Roman"/>
                <w:sz w:val="24"/>
                <w:szCs w:val="24"/>
                <w:lang w:val="lv-LV"/>
              </w:rPr>
            </w:pPr>
            <w:r w:rsidRPr="00A00FEA">
              <w:rPr>
                <w:rFonts w:ascii="Times New Roman" w:hAnsi="Times New Roman" w:cs="Times New Roman"/>
                <w:sz w:val="24"/>
                <w:szCs w:val="24"/>
                <w:lang w:val="lv-LV"/>
              </w:rPr>
              <w:t>vismaz vienu būvprojektu, ar nosacījumu, ka  ir projektēta nedzīvojamas ēkas (izņemot noliktavu, garāžu un lauksaimniecības ēku) ar kopējo platību vismaz 3000 m</w:t>
            </w:r>
            <w:r w:rsidRPr="00A00FEA">
              <w:rPr>
                <w:rFonts w:ascii="Times New Roman" w:hAnsi="Times New Roman" w:cs="Times New Roman"/>
                <w:sz w:val="24"/>
                <w:szCs w:val="24"/>
                <w:vertAlign w:val="superscript"/>
                <w:lang w:val="lv-LV"/>
              </w:rPr>
              <w:t>2</w:t>
            </w:r>
            <w:r w:rsidRPr="00A00FEA">
              <w:rPr>
                <w:rFonts w:ascii="Times New Roman" w:hAnsi="Times New Roman" w:cs="Times New Roman"/>
                <w:sz w:val="24"/>
                <w:szCs w:val="24"/>
                <w:lang w:val="lv-LV"/>
              </w:rPr>
              <w:t xml:space="preserve"> izbūve un būvprojekts ir pilnībā pabeigts un akceptēts (saņemta atzīme par projektēšanas nosacījumu izpildi) normatīvajos aktos noteiktajā kārtībā;</w:t>
            </w:r>
          </w:p>
          <w:p w14:paraId="08DFD90C" w14:textId="77777777" w:rsidR="00A00FEA" w:rsidRPr="00A00FEA" w:rsidRDefault="00A00FEA" w:rsidP="00A00FEA">
            <w:pPr>
              <w:pStyle w:val="ListParagraph"/>
              <w:numPr>
                <w:ilvl w:val="3"/>
                <w:numId w:val="2"/>
              </w:numPr>
              <w:spacing w:after="160" w:line="259" w:lineRule="auto"/>
              <w:ind w:left="0" w:firstLine="0"/>
              <w:jc w:val="both"/>
              <w:rPr>
                <w:rFonts w:ascii="Times New Roman" w:hAnsi="Times New Roman" w:cs="Times New Roman"/>
                <w:sz w:val="24"/>
                <w:szCs w:val="24"/>
                <w:lang w:val="lv-LV"/>
              </w:rPr>
            </w:pPr>
            <w:r w:rsidRPr="00A00FEA">
              <w:rPr>
                <w:rFonts w:ascii="Times New Roman" w:hAnsi="Times New Roman" w:cs="Times New Roman"/>
                <w:sz w:val="24"/>
                <w:szCs w:val="24"/>
                <w:lang w:val="lv-LV"/>
              </w:rPr>
              <w:t xml:space="preserve"> vismaz vienu būvprojektu Būvniecības informācijas modelēšanas (turpmāk – BIM) vidē ar nosacījumu, ka  ir projektēta ēkas (izņemot noliktavu, garāžu, lauksaimniecības ēku, viena dzīvokļa mājas, divu dzīvokļu mājas) ar kopējo platību vismaz 1500 m</w:t>
            </w:r>
            <w:r w:rsidRPr="00A00FEA">
              <w:rPr>
                <w:rFonts w:ascii="Times New Roman" w:hAnsi="Times New Roman" w:cs="Times New Roman"/>
                <w:sz w:val="24"/>
                <w:szCs w:val="24"/>
                <w:vertAlign w:val="superscript"/>
                <w:lang w:val="lv-LV"/>
              </w:rPr>
              <w:t>2</w:t>
            </w:r>
            <w:r w:rsidRPr="00A00FEA">
              <w:rPr>
                <w:rFonts w:ascii="Times New Roman" w:hAnsi="Times New Roman" w:cs="Times New Roman"/>
                <w:sz w:val="24"/>
                <w:szCs w:val="24"/>
                <w:lang w:val="lv-LV"/>
              </w:rPr>
              <w:t xml:space="preserve">  izbūve  un būvprojekts ir pilnībā pabeigts un akceptēts (saņemta atzīme par projektēšanas nosacījumu izpildi) normatīvajos aktos noteiktajā kārtībā.</w:t>
            </w:r>
          </w:p>
          <w:p w14:paraId="0E96633A" w14:textId="77777777" w:rsidR="00A00FEA" w:rsidRPr="00A00FEA" w:rsidRDefault="00A00FEA" w:rsidP="00673F06">
            <w:pPr>
              <w:pStyle w:val="ListParagraph"/>
              <w:ind w:left="31"/>
              <w:jc w:val="both"/>
              <w:rPr>
                <w:rFonts w:ascii="Times New Roman" w:hAnsi="Times New Roman" w:cs="Times New Roman"/>
                <w:b/>
                <w:bCs/>
                <w:sz w:val="24"/>
                <w:szCs w:val="24"/>
                <w:lang w:val="lv-LV"/>
              </w:rPr>
            </w:pPr>
            <w:r w:rsidRPr="00A00FEA">
              <w:rPr>
                <w:rFonts w:ascii="Times New Roman" w:hAnsi="Times New Roman" w:cs="Times New Roman"/>
                <w:color w:val="000000" w:themeColor="text1"/>
                <w:sz w:val="24"/>
                <w:szCs w:val="24"/>
                <w:lang w:val="lv-LV"/>
              </w:rPr>
              <w:t>Konkursa dalībnieka pieredze tiks atzīta par atbilstošu nolikuma 9.4.1. punktam arī tad, ja nolikuma 9.4.1.1. un 9.4.1.2.  punktā norādītie darbi būs veikti vienā un tajā pašā objektā.</w:t>
            </w:r>
          </w:p>
        </w:tc>
        <w:tc>
          <w:tcPr>
            <w:tcW w:w="3118" w:type="dxa"/>
            <w:shd w:val="clear" w:color="auto" w:fill="auto"/>
          </w:tcPr>
          <w:p w14:paraId="3A694E96" w14:textId="77777777" w:rsidR="00A00FEA" w:rsidRPr="00A00FEA" w:rsidRDefault="00A00FEA" w:rsidP="00673F06">
            <w:pPr>
              <w:widowControl w:val="0"/>
              <w:jc w:val="both"/>
              <w:rPr>
                <w:rFonts w:ascii="Times New Roman" w:hAnsi="Times New Roman" w:cs="Times New Roman"/>
                <w:b/>
                <w:bCs/>
                <w:sz w:val="24"/>
                <w:szCs w:val="24"/>
                <w:lang w:val="lv-LV"/>
              </w:rPr>
            </w:pPr>
            <w:r w:rsidRPr="00A00FEA">
              <w:rPr>
                <w:rFonts w:ascii="Times New Roman" w:hAnsi="Times New Roman" w:cs="Times New Roman"/>
                <w:sz w:val="24"/>
                <w:szCs w:val="24"/>
                <w:lang w:val="lv-LV"/>
              </w:rPr>
              <w:t xml:space="preserve">Pieredzi apliecinoša informācijā saskaņā ar Nolikuma 4. pielikumā norādīto veidni. </w:t>
            </w:r>
          </w:p>
        </w:tc>
      </w:tr>
    </w:tbl>
    <w:tbl>
      <w:tblPr>
        <w:tblStyle w:val="TableGrid1"/>
        <w:tblW w:w="9780" w:type="dxa"/>
        <w:tblInd w:w="421" w:type="dxa"/>
        <w:tblLayout w:type="fixed"/>
        <w:tblLook w:val="04A0" w:firstRow="1" w:lastRow="0" w:firstColumn="1" w:lastColumn="0" w:noHBand="0" w:noVBand="1"/>
      </w:tblPr>
      <w:tblGrid>
        <w:gridCol w:w="992"/>
        <w:gridCol w:w="4678"/>
        <w:gridCol w:w="4110"/>
      </w:tblGrid>
      <w:tr w:rsidR="00A00FEA" w:rsidRPr="00A00FEA" w14:paraId="4FE3407F" w14:textId="77777777" w:rsidTr="00A00FEA">
        <w:trPr>
          <w:trHeight w:val="4241"/>
        </w:trPr>
        <w:tc>
          <w:tcPr>
            <w:tcW w:w="992" w:type="dxa"/>
            <w:shd w:val="clear" w:color="auto" w:fill="auto"/>
          </w:tcPr>
          <w:p w14:paraId="7F023AB5" w14:textId="77777777" w:rsidR="00A00FEA" w:rsidRPr="00A00FEA" w:rsidDel="005A05A2" w:rsidRDefault="00A00FEA" w:rsidP="00673F06">
            <w:pPr>
              <w:pStyle w:val="ListParagraph"/>
              <w:ind w:left="597" w:hanging="563"/>
              <w:jc w:val="both"/>
              <w:rPr>
                <w:sz w:val="24"/>
                <w:szCs w:val="24"/>
                <w:lang w:val="lv-LV"/>
              </w:rPr>
            </w:pPr>
            <w:r w:rsidRPr="00A00FEA">
              <w:rPr>
                <w:sz w:val="24"/>
                <w:szCs w:val="24"/>
                <w:lang w:val="lv-LV"/>
              </w:rPr>
              <w:lastRenderedPageBreak/>
              <w:t xml:space="preserve">9.4.2 </w:t>
            </w:r>
          </w:p>
        </w:tc>
        <w:tc>
          <w:tcPr>
            <w:tcW w:w="4678" w:type="dxa"/>
            <w:shd w:val="clear" w:color="auto" w:fill="auto"/>
          </w:tcPr>
          <w:p w14:paraId="13933242" w14:textId="77777777" w:rsidR="00A00FEA" w:rsidRPr="00A00FEA" w:rsidRDefault="00A00FEA" w:rsidP="00673F06">
            <w:pPr>
              <w:jc w:val="both"/>
              <w:rPr>
                <w:sz w:val="24"/>
                <w:szCs w:val="24"/>
                <w:lang w:val="lv-LV"/>
              </w:rPr>
            </w:pPr>
            <w:r w:rsidRPr="00A00FEA">
              <w:rPr>
                <w:sz w:val="24"/>
                <w:szCs w:val="24"/>
                <w:lang w:val="lv-LV"/>
              </w:rPr>
              <w:t>Konkursa dalībnieka rīcībā Meta sagatavošanas brīdī ir un līguma slēgšanas gadījumā tiks piesaistīts:</w:t>
            </w:r>
          </w:p>
          <w:p w14:paraId="10FBD53D" w14:textId="77777777" w:rsidR="00A00FEA" w:rsidRPr="00A00FEA" w:rsidRDefault="00A00FEA" w:rsidP="00A00FEA">
            <w:pPr>
              <w:pStyle w:val="ListParagraph"/>
              <w:numPr>
                <w:ilvl w:val="3"/>
                <w:numId w:val="4"/>
              </w:numPr>
              <w:ind w:left="0" w:firstLine="0"/>
              <w:jc w:val="both"/>
              <w:rPr>
                <w:sz w:val="24"/>
                <w:szCs w:val="24"/>
                <w:lang w:val="lv-LV"/>
              </w:rPr>
            </w:pPr>
            <w:r w:rsidRPr="00A00FEA">
              <w:rPr>
                <w:b/>
                <w:bCs/>
                <w:sz w:val="24"/>
                <w:szCs w:val="24"/>
                <w:lang w:val="lv-LV"/>
              </w:rPr>
              <w:t xml:space="preserve">Arhitekts, </w:t>
            </w:r>
            <w:r w:rsidRPr="00A00FEA">
              <w:rPr>
                <w:sz w:val="24"/>
                <w:szCs w:val="24"/>
                <w:lang w:val="lv-LV"/>
              </w:rPr>
              <w:t>kuram ir sertifikāts arhitekta praksē un pieredze ne vairāk kā 7 (septiņos) iepriekšējos gados (2018., 2019., 2020., 2021., 2022., 2023. un 2024. gadā, kā  arī periodā līdz Meta iesniegšanas dienai)  vismaz viena būvprojekta izstrādē ar nosacījumu, ka  ir projektēta nedzīvojamas ēkas (izņemot noliktavu, garāžu un lauksaimniecības ēku)   ar kopējā platība ir vismaz 3000 m</w:t>
            </w:r>
            <w:r w:rsidRPr="00A00FEA">
              <w:rPr>
                <w:sz w:val="24"/>
                <w:szCs w:val="24"/>
                <w:vertAlign w:val="superscript"/>
                <w:lang w:val="lv-LV"/>
              </w:rPr>
              <w:t xml:space="preserve">2 </w:t>
            </w:r>
            <w:r w:rsidRPr="00A00FEA">
              <w:rPr>
                <w:sz w:val="24"/>
                <w:szCs w:val="24"/>
                <w:lang w:val="lv-LV"/>
              </w:rPr>
              <w:t>izbūve un būvprojekts ir pilnībā pabeigts un akceptēts (saņemta atzīme par projektēšanas nosacījumu izpildi) normatīvajos aktos noteiktajā kārtībā.</w:t>
            </w:r>
          </w:p>
          <w:p w14:paraId="28302EAC" w14:textId="77777777" w:rsidR="00A00FEA" w:rsidRPr="00A00FEA" w:rsidRDefault="00A00FEA" w:rsidP="00673F06">
            <w:pPr>
              <w:pStyle w:val="ListParagraph"/>
              <w:ind w:left="39"/>
              <w:jc w:val="both"/>
              <w:rPr>
                <w:sz w:val="24"/>
                <w:szCs w:val="24"/>
                <w:lang w:val="lv-LV"/>
              </w:rPr>
            </w:pPr>
            <w:r w:rsidRPr="00A00FEA">
              <w:rPr>
                <w:sz w:val="24"/>
                <w:szCs w:val="24"/>
                <w:lang w:val="lv-LV"/>
              </w:rPr>
              <w:t>9.4.2.2.</w:t>
            </w:r>
            <w:r w:rsidRPr="00A00FEA">
              <w:rPr>
                <w:b/>
                <w:bCs/>
                <w:sz w:val="24"/>
                <w:szCs w:val="24"/>
                <w:lang w:val="lv-LV"/>
              </w:rPr>
              <w:t xml:space="preserve"> Arhitekts, </w:t>
            </w:r>
            <w:r w:rsidRPr="00A00FEA">
              <w:rPr>
                <w:sz w:val="24"/>
                <w:szCs w:val="24"/>
                <w:lang w:val="lv-LV"/>
              </w:rPr>
              <w:t>kuram ir sertifikāts arhitekta praksē un pieredze ne vairāk kā 7 (septiņos) iepriekšējos gados (2018., 2019., 2020., 2021., 2022., 2023. un 2024. gadā, kā  arī periodā līdz Meta iesniegšanas dienai)  vismaz viena būvprojekta izstrādē Būvniecības informācijas modelēšanas (turpmāk – BIM) vidē ar nosacījumu, ka  ir projektēta ēkas (izņemot noliktavu, garāžu, lauksaimniecības ēku, viena dzīvokļa mājas, divu dzīvokļu mājas) ar kopējo platību vismaz 1500 m</w:t>
            </w:r>
            <w:r w:rsidRPr="00A00FEA">
              <w:rPr>
                <w:sz w:val="24"/>
                <w:szCs w:val="24"/>
                <w:vertAlign w:val="superscript"/>
                <w:lang w:val="lv-LV"/>
              </w:rPr>
              <w:t>2</w:t>
            </w:r>
            <w:r w:rsidRPr="00A00FEA">
              <w:rPr>
                <w:sz w:val="24"/>
                <w:szCs w:val="24"/>
                <w:lang w:val="lv-LV"/>
              </w:rPr>
              <w:t xml:space="preserve">  izbūve  un būvprojekts ir pilnībā pabeigts un akceptēts (saņemta atzīme par projektēšanas nosacījumu izpildi) normatīvajos aktos noteiktajā kārtībā.</w:t>
            </w:r>
          </w:p>
          <w:p w14:paraId="5B7B4816" w14:textId="77777777" w:rsidR="00A00FEA" w:rsidRPr="00A00FEA" w:rsidRDefault="00A00FEA" w:rsidP="00673F06">
            <w:pPr>
              <w:pStyle w:val="ListParagraph"/>
              <w:ind w:left="39"/>
              <w:jc w:val="both"/>
              <w:rPr>
                <w:sz w:val="24"/>
                <w:szCs w:val="24"/>
                <w:lang w:val="lv-LV"/>
              </w:rPr>
            </w:pPr>
          </w:p>
          <w:p w14:paraId="23895866" w14:textId="77777777" w:rsidR="00A00FEA" w:rsidRPr="00A00FEA" w:rsidRDefault="00A00FEA" w:rsidP="00673F06">
            <w:pPr>
              <w:pStyle w:val="ListParagraph"/>
              <w:ind w:left="39"/>
              <w:jc w:val="both"/>
              <w:rPr>
                <w:sz w:val="24"/>
                <w:szCs w:val="24"/>
                <w:lang w:val="lv-LV"/>
              </w:rPr>
            </w:pPr>
            <w:r w:rsidRPr="00A00FEA">
              <w:rPr>
                <w:bCs/>
                <w:sz w:val="24"/>
                <w:szCs w:val="24"/>
                <w:lang w:val="lv-LV"/>
              </w:rPr>
              <w:t>Konkursa dalībnieks</w:t>
            </w:r>
            <w:r w:rsidRPr="00A00FEA">
              <w:rPr>
                <w:sz w:val="24"/>
                <w:szCs w:val="24"/>
                <w:lang w:val="lv-LV"/>
              </w:rPr>
              <w:t xml:space="preserve"> atbilstību nolikuma  9.4.2.1. un 9.4.2.2. punkta prasībām var pierādīt, iesniedzot informāciju par vienu un to pašu speciālistu, ja šī speciālista kvalifikācija un pieredze atbilst nolikuma 9.4.2.1. un 9.4.2.2. punkta prasībām.</w:t>
            </w:r>
          </w:p>
          <w:p w14:paraId="671103D0" w14:textId="77777777" w:rsidR="00A00FEA" w:rsidRPr="00A00FEA" w:rsidRDefault="00A00FEA" w:rsidP="00673F06">
            <w:pPr>
              <w:pStyle w:val="ListParagraph"/>
              <w:ind w:left="39"/>
              <w:jc w:val="both"/>
              <w:rPr>
                <w:sz w:val="24"/>
                <w:szCs w:val="24"/>
                <w:lang w:val="lv-LV"/>
              </w:rPr>
            </w:pPr>
          </w:p>
          <w:p w14:paraId="12CC3CB3" w14:textId="77777777" w:rsidR="00A00FEA" w:rsidRPr="00A00FEA" w:rsidRDefault="00A00FEA" w:rsidP="00673F06">
            <w:pPr>
              <w:pStyle w:val="ListParagraph"/>
              <w:ind w:left="39"/>
              <w:jc w:val="both"/>
              <w:rPr>
                <w:sz w:val="24"/>
                <w:szCs w:val="24"/>
                <w:lang w:val="lv-LV"/>
              </w:rPr>
            </w:pPr>
            <w:r w:rsidRPr="00A00FEA">
              <w:rPr>
                <w:color w:val="000000" w:themeColor="text1"/>
                <w:sz w:val="24"/>
                <w:szCs w:val="24"/>
                <w:lang w:val="lv-LV"/>
              </w:rPr>
              <w:t>Konkursa dalībnieka speciālista pieredze tiks atzīta par atbilstošu nolikuma 9.4.2. punktam arī tad, ja nolikuma 9.4.2.1. un 9.4.2.2.  punktā norādītie darbi būs veikti vienā un tajā pašā objektā.</w:t>
            </w:r>
          </w:p>
        </w:tc>
        <w:tc>
          <w:tcPr>
            <w:tcW w:w="4110" w:type="dxa"/>
            <w:tcBorders>
              <w:bottom w:val="single" w:sz="4" w:space="0" w:color="auto"/>
            </w:tcBorders>
            <w:shd w:val="clear" w:color="auto" w:fill="auto"/>
          </w:tcPr>
          <w:p w14:paraId="4041555A" w14:textId="77777777" w:rsidR="00A00FEA" w:rsidRPr="00A00FEA" w:rsidRDefault="00A00FEA" w:rsidP="00673F06">
            <w:pPr>
              <w:spacing w:after="120"/>
              <w:jc w:val="both"/>
              <w:rPr>
                <w:sz w:val="24"/>
                <w:szCs w:val="24"/>
                <w:lang w:val="lv-LV"/>
              </w:rPr>
            </w:pPr>
            <w:r w:rsidRPr="00A00FEA">
              <w:rPr>
                <w:sz w:val="24"/>
                <w:szCs w:val="24"/>
                <w:lang w:val="lv-LV"/>
              </w:rPr>
              <w:t>Pieredzi apliecinoša informācija  saskaņā ar Nolikuma 5. pielikumu.</w:t>
            </w:r>
          </w:p>
          <w:p w14:paraId="74BA4900" w14:textId="77777777" w:rsidR="00A00FEA" w:rsidRPr="00A00FEA" w:rsidRDefault="00A00FEA" w:rsidP="00673F06">
            <w:pPr>
              <w:pStyle w:val="ListParagraph"/>
              <w:spacing w:before="120" w:after="120"/>
              <w:ind w:left="0"/>
              <w:contextualSpacing w:val="0"/>
              <w:jc w:val="both"/>
              <w:rPr>
                <w:sz w:val="24"/>
                <w:szCs w:val="24"/>
                <w:lang w:val="lv-LV"/>
              </w:rPr>
            </w:pPr>
            <w:r w:rsidRPr="00A00FEA">
              <w:rPr>
                <w:sz w:val="24"/>
                <w:szCs w:val="24"/>
                <w:lang w:val="lv-LV"/>
              </w:rPr>
              <w:t>Par arhitektu, kuram izsniegts Latvijas Republikas kompetentās iestādes sertifikāts, Pasūtītājs pārliecināsies publiskajās datu bāzēs.</w:t>
            </w:r>
          </w:p>
          <w:p w14:paraId="298F87D4" w14:textId="77777777" w:rsidR="00A00FEA" w:rsidRPr="00A00FEA" w:rsidRDefault="00A00FEA" w:rsidP="00673F06">
            <w:pPr>
              <w:pStyle w:val="ListParagraph"/>
              <w:spacing w:before="120" w:after="120"/>
              <w:ind w:left="30" w:hanging="30"/>
              <w:contextualSpacing w:val="0"/>
              <w:jc w:val="both"/>
              <w:rPr>
                <w:sz w:val="24"/>
                <w:szCs w:val="24"/>
                <w:lang w:val="lv-LV"/>
              </w:rPr>
            </w:pPr>
            <w:r w:rsidRPr="00A00FEA">
              <w:rPr>
                <w:sz w:val="24"/>
                <w:szCs w:val="24"/>
                <w:lang w:val="lv-LV"/>
              </w:rPr>
              <w:t>Ja arhitekts patstāvīgās prakses tiesības ieguvis ārvalstīs, papildus Nolikuma 5. pielikumā norādītajai informācijai jāpievieno:</w:t>
            </w:r>
          </w:p>
          <w:p w14:paraId="025A8931" w14:textId="77777777" w:rsidR="00A00FEA" w:rsidRPr="00A00FEA" w:rsidRDefault="00A00FEA" w:rsidP="00A00FEA">
            <w:pPr>
              <w:pStyle w:val="ListParagraph"/>
              <w:numPr>
                <w:ilvl w:val="0"/>
                <w:numId w:val="1"/>
              </w:numPr>
              <w:spacing w:before="120" w:after="120"/>
              <w:ind w:left="30" w:hanging="30"/>
              <w:contextualSpacing w:val="0"/>
              <w:jc w:val="both"/>
              <w:rPr>
                <w:sz w:val="24"/>
                <w:szCs w:val="24"/>
                <w:lang w:val="lv-LV"/>
              </w:rPr>
            </w:pPr>
            <w:r w:rsidRPr="00A00FEA">
              <w:rPr>
                <w:sz w:val="24"/>
                <w:szCs w:val="24"/>
                <w:lang w:val="lv-LV"/>
              </w:rPr>
              <w:t>ja ārvalstu speciālista mītnes valsts ir Eiropas Savienības dalībvalsts vai Eiropas Brīvās tirdzniecības asociācijas dalībvalsts - ārvalstu speciālista kvalifikācijai ir jāatbilst speciālista reģistrācijas valsts, kurā speciālists pastāvīgi strādā, attiecīgajā profesijā prasībām noteiktu pakalpojumu sniegšanai. Konkursa dalībniekam ir jāiesniedz apliecinājums, ka tā piesaistītais ārvalstu speciālisti ir tiesīgi sniegt nolikuma 9.4.2. punktā  norādītos pakalpojumus, un gadījumā, ja ar Konkursa dalībnieku tiks noslēgts līgums, tas līdz iepirkuma līguma noslēgšanai iesniegs atzīšanas institūcijai deklarāciju par īslaicīgu profesionālo pakalpojumu sniegšanu Latvijas Republikas reglamentētajā profesijā;</w:t>
            </w:r>
          </w:p>
          <w:p w14:paraId="664DC09D" w14:textId="77777777" w:rsidR="00A00FEA" w:rsidRPr="00A00FEA" w:rsidRDefault="00A00FEA" w:rsidP="00A00FEA">
            <w:pPr>
              <w:pStyle w:val="ListParagraph"/>
              <w:widowControl w:val="0"/>
              <w:numPr>
                <w:ilvl w:val="0"/>
                <w:numId w:val="1"/>
              </w:numPr>
              <w:ind w:left="30" w:firstLine="0"/>
              <w:jc w:val="both"/>
              <w:rPr>
                <w:sz w:val="24"/>
                <w:szCs w:val="24"/>
                <w:lang w:val="lv-LV"/>
              </w:rPr>
            </w:pPr>
            <w:r w:rsidRPr="00A00FEA">
              <w:rPr>
                <w:sz w:val="24"/>
                <w:szCs w:val="24"/>
                <w:lang w:val="lv-LV"/>
              </w:rPr>
              <w:t xml:space="preserve">ja ārvalstu speciālista mītnes valsts nav Eiropas Savienības dalībvalsts vai Eiropas Brīvās tirdzniecības asociācijas dalībvalsts – Konkursa dalībniekam jāiesniedz atbilstoši attiecīgās valsts normatīvajiem aktiem izsniegts dokuments, kas apliecina speciālistu profesionālo kvalifikāciju sniegt nolikuma 9.4.2. punktā norādītos pakalpojumus un apliecinājumu, ka gadījumā, ja Konkursa dalībnieks  iegūst tiesības slēgt līgumu, līdz līguma noslēgšanai tie iesniegs dokumentu, kas apliecina, ka ārvalstu speciālista profesionālā kvalifikācija atbilst Latvijas Republikā noteiktajām prasībām un ir atzīta atbilstoši likuma „Par reglamentētajām profesijām un profesionālās kvalifikācijas atzīšanu” prasībām. </w:t>
            </w:r>
          </w:p>
        </w:tc>
      </w:tr>
    </w:tbl>
    <w:p w14:paraId="3020FB48" w14:textId="77777777" w:rsidR="00A00FEA" w:rsidRPr="004C47D5" w:rsidRDefault="00A00FEA" w:rsidP="00A00FEA">
      <w:pPr>
        <w:spacing w:before="120" w:after="120"/>
        <w:ind w:left="182"/>
        <w:jc w:val="both"/>
        <w:rPr>
          <w:lang w:val="lv-LV"/>
        </w:rPr>
      </w:pPr>
      <w:r w:rsidRPr="004C47D5">
        <w:rPr>
          <w:lang w:val="lv-LV" w:eastAsia="de-DE"/>
        </w:rPr>
        <w:lastRenderedPageBreak/>
        <w:t xml:space="preserve">2.Izteikt jaunā redakcijā </w:t>
      </w:r>
      <w:r w:rsidRPr="004C47D5">
        <w:rPr>
          <w:lang w:val="lv-LV"/>
        </w:rPr>
        <w:t>atklāta metu konkursa nolikuma 4.pielikumu:</w:t>
      </w:r>
    </w:p>
    <w:p w14:paraId="7C54C641" w14:textId="441B7968" w:rsidR="00A00FEA" w:rsidRPr="004C47D5" w:rsidRDefault="00A00FEA" w:rsidP="00A00FEA">
      <w:pPr>
        <w:spacing w:before="120" w:after="120"/>
        <w:jc w:val="both"/>
        <w:rPr>
          <w:rFonts w:ascii="Gilroy" w:hAnsi="Gilroy" w:cstheme="majorHAnsi"/>
          <w:lang w:val="lv-LV"/>
        </w:rPr>
      </w:pPr>
      <w:r>
        <w:rPr>
          <w:rFonts w:ascii="Gilroy" w:hAnsi="Gilroy" w:cstheme="majorHAnsi"/>
          <w:lang w:val="lv-LV"/>
        </w:rPr>
        <w:t>“</w:t>
      </w:r>
      <w:r w:rsidRPr="003B72D7">
        <w:rPr>
          <w:noProof/>
        </w:rPr>
        <w:drawing>
          <wp:inline distT="0" distB="0" distL="0" distR="0" wp14:anchorId="6D0D67D7" wp14:editId="365593E0">
            <wp:extent cx="5400040" cy="8517890"/>
            <wp:effectExtent l="0" t="0" r="0" b="0"/>
            <wp:docPr id="836706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8517890"/>
                    </a:xfrm>
                    <a:prstGeom prst="rect">
                      <a:avLst/>
                    </a:prstGeom>
                    <a:noFill/>
                    <a:ln>
                      <a:noFill/>
                    </a:ln>
                  </pic:spPr>
                </pic:pic>
              </a:graphicData>
            </a:graphic>
          </wp:inline>
        </w:drawing>
      </w:r>
    </w:p>
    <w:p w14:paraId="68A889F4" w14:textId="77777777" w:rsidR="00A00FEA" w:rsidRPr="00A00FEA" w:rsidRDefault="00A00FEA" w:rsidP="00A00FEA">
      <w:pPr>
        <w:spacing w:line="240" w:lineRule="auto"/>
        <w:jc w:val="both"/>
        <w:rPr>
          <w:rFonts w:ascii="Gilroy" w:hAnsi="Gilroy" w:cstheme="majorHAnsi"/>
          <w:sz w:val="24"/>
          <w:szCs w:val="24"/>
          <w:lang w:val="lv-LV"/>
        </w:rPr>
      </w:pPr>
    </w:p>
    <w:p w14:paraId="60A6DA65" w14:textId="77777777" w:rsidR="00A00FEA" w:rsidRPr="004C47D5" w:rsidRDefault="00A00FEA" w:rsidP="00A00FEA">
      <w:pPr>
        <w:spacing w:before="120" w:after="120"/>
        <w:ind w:left="182"/>
        <w:jc w:val="both"/>
        <w:rPr>
          <w:lang w:val="lv-LV"/>
        </w:rPr>
      </w:pPr>
      <w:r>
        <w:rPr>
          <w:lang w:val="lv-LV" w:eastAsia="de-DE"/>
        </w:rPr>
        <w:lastRenderedPageBreak/>
        <w:t>3</w:t>
      </w:r>
      <w:r w:rsidRPr="004C47D5">
        <w:rPr>
          <w:lang w:val="lv-LV" w:eastAsia="de-DE"/>
        </w:rPr>
        <w:t xml:space="preserve">.Izteikt jaunā redakcijā </w:t>
      </w:r>
      <w:r w:rsidRPr="004C47D5">
        <w:rPr>
          <w:lang w:val="lv-LV"/>
        </w:rPr>
        <w:t xml:space="preserve">atklāta metu konkursa nolikuma </w:t>
      </w:r>
      <w:r>
        <w:rPr>
          <w:lang w:val="lv-LV"/>
        </w:rPr>
        <w:t>5</w:t>
      </w:r>
      <w:r w:rsidRPr="004C47D5">
        <w:rPr>
          <w:lang w:val="lv-LV"/>
        </w:rPr>
        <w:t>.pielikumu:</w:t>
      </w:r>
    </w:p>
    <w:p w14:paraId="11F0B277" w14:textId="4D1B0146" w:rsidR="00A00FEA" w:rsidRPr="002E13FF" w:rsidRDefault="00A00FEA" w:rsidP="00A00FEA">
      <w:pPr>
        <w:pStyle w:val="ListParagraph"/>
        <w:tabs>
          <w:tab w:val="left" w:pos="8931"/>
        </w:tabs>
        <w:spacing w:after="0" w:line="240" w:lineRule="auto"/>
        <w:ind w:left="360"/>
        <w:rPr>
          <w:rFonts w:ascii="Gilroy" w:hAnsi="Gilroy" w:cstheme="majorHAnsi"/>
          <w:b/>
          <w:bCs/>
          <w:lang w:eastAsia="lv-LV"/>
        </w:rPr>
      </w:pPr>
      <w:r>
        <w:rPr>
          <w:rFonts w:ascii="Gilroy" w:hAnsi="Gilroy" w:cstheme="majorHAnsi"/>
        </w:rPr>
        <w:t xml:space="preserve">“                                                                                                                                                             </w:t>
      </w:r>
      <w:r w:rsidRPr="002E13FF">
        <w:rPr>
          <w:rFonts w:ascii="Gilroy" w:hAnsi="Gilroy" w:cstheme="majorHAnsi"/>
          <w:b/>
          <w:bCs/>
          <w:lang w:eastAsia="lv-LV"/>
        </w:rPr>
        <w:t>NOLIKUMA</w:t>
      </w:r>
    </w:p>
    <w:p w14:paraId="59FB4B43" w14:textId="77777777" w:rsidR="00A00FEA" w:rsidRPr="002E13FF" w:rsidRDefault="00A00FEA" w:rsidP="00A00FEA">
      <w:pPr>
        <w:ind w:right="708"/>
        <w:jc w:val="right"/>
        <w:rPr>
          <w:rFonts w:ascii="Gilroy" w:hAnsi="Gilroy" w:cstheme="majorHAnsi"/>
          <w:bCs/>
          <w:lang w:val="lv-LV" w:eastAsia="lv-LV"/>
        </w:rPr>
      </w:pPr>
      <w:r w:rsidRPr="002E13FF">
        <w:rPr>
          <w:rFonts w:ascii="Gilroy" w:hAnsi="Gilroy" w:cstheme="majorHAnsi"/>
          <w:kern w:val="2"/>
          <w:lang w:val="lv-LV" w:eastAsia="lv-LV"/>
        </w:rPr>
        <w:t>5. pielikums</w:t>
      </w:r>
    </w:p>
    <w:p w14:paraId="1883390B" w14:textId="77777777" w:rsidR="00A00FEA" w:rsidRPr="002E13FF" w:rsidRDefault="00A00FEA" w:rsidP="00A00FEA">
      <w:pPr>
        <w:pStyle w:val="NoSpacing"/>
        <w:jc w:val="center"/>
        <w:rPr>
          <w:rFonts w:ascii="Gilroy" w:hAnsi="Gilroy" w:cstheme="majorHAnsi"/>
          <w:lang w:val="lv-LV"/>
        </w:rPr>
      </w:pPr>
      <w:r w:rsidRPr="002E13FF">
        <w:rPr>
          <w:rFonts w:ascii="Gilroy" w:hAnsi="Gilroy" w:cstheme="majorHAnsi"/>
          <w:lang w:val="lv-LV"/>
        </w:rPr>
        <w:t>(VEIDNE)</w:t>
      </w:r>
    </w:p>
    <w:p w14:paraId="7D300FAB" w14:textId="77777777" w:rsidR="00A00FEA" w:rsidRPr="002E13FF" w:rsidRDefault="00A00FEA" w:rsidP="00A00FEA">
      <w:pPr>
        <w:pStyle w:val="NoSpacing"/>
        <w:jc w:val="center"/>
        <w:rPr>
          <w:rFonts w:ascii="Gilroy" w:hAnsi="Gilroy" w:cstheme="majorHAnsi"/>
          <w:b/>
          <w:bCs/>
          <w:lang w:val="lv-LV"/>
        </w:rPr>
      </w:pPr>
      <w:r w:rsidRPr="002E13FF">
        <w:rPr>
          <w:rFonts w:ascii="Gilroy" w:hAnsi="Gilroy" w:cstheme="majorHAnsi"/>
          <w:b/>
          <w:bCs/>
          <w:lang w:val="lv-LV"/>
        </w:rPr>
        <w:t>KONKURSA DALĪBNIEKA INFORMĀCIJA PAR PERSONĀLA PIESAISTI</w:t>
      </w:r>
    </w:p>
    <w:p w14:paraId="37D6078F" w14:textId="77777777" w:rsidR="00A00FEA" w:rsidRPr="002E13FF" w:rsidRDefault="00A00FEA" w:rsidP="00A00FEA">
      <w:pPr>
        <w:jc w:val="center"/>
        <w:rPr>
          <w:rFonts w:ascii="Gilroy" w:hAnsi="Gilroy" w:cstheme="majorHAnsi"/>
          <w:lang w:val="lv-LV"/>
        </w:rPr>
      </w:pPr>
    </w:p>
    <w:p w14:paraId="28ECDD48" w14:textId="77777777" w:rsidR="00A00FEA" w:rsidRPr="002E13FF" w:rsidRDefault="00A00FEA" w:rsidP="00A00FEA">
      <w:pPr>
        <w:jc w:val="center"/>
        <w:rPr>
          <w:rFonts w:ascii="Gilroy" w:hAnsi="Gilroy" w:cstheme="majorHAnsi"/>
          <w:lang w:val="lv-LV"/>
        </w:rPr>
      </w:pPr>
      <w:r w:rsidRPr="002E13FF">
        <w:rPr>
          <w:rFonts w:ascii="Gilroy" w:hAnsi="Gilroy" w:cstheme="majorHAnsi"/>
          <w:lang w:val="lv-LV"/>
        </w:rPr>
        <w:t xml:space="preserve">ATKLĀTĀ METU KONKURSĀ </w:t>
      </w:r>
    </w:p>
    <w:p w14:paraId="21F1CEF4" w14:textId="77777777" w:rsidR="00A00FEA" w:rsidRPr="002E13FF" w:rsidRDefault="00A00FEA" w:rsidP="00A00FEA">
      <w:pPr>
        <w:pStyle w:val="NoSpacing"/>
        <w:jc w:val="center"/>
        <w:rPr>
          <w:rFonts w:ascii="Gilroy" w:hAnsi="Gilroy" w:cstheme="majorHAnsi"/>
          <w:lang w:val="lv-LV"/>
        </w:rPr>
      </w:pPr>
      <w:r w:rsidRPr="002E13FF">
        <w:rPr>
          <w:rFonts w:ascii="Gilroy" w:hAnsi="Gilroy" w:cstheme="majorHAnsi"/>
          <w:b/>
          <w:bCs/>
          <w:lang w:val="lv-LV"/>
        </w:rPr>
        <w:t>„2. TROLEJBUSU PARKA PĀRBŪVE RĪGĀ, JELGAVAS IELĀ 37“</w:t>
      </w:r>
    </w:p>
    <w:p w14:paraId="549D182B" w14:textId="77777777" w:rsidR="00A00FEA" w:rsidRPr="002E13FF" w:rsidRDefault="00A00FEA" w:rsidP="00A00FEA">
      <w:pPr>
        <w:pStyle w:val="NoSpacing"/>
        <w:jc w:val="right"/>
        <w:rPr>
          <w:rFonts w:ascii="Gilroy" w:hAnsi="Gilroy" w:cstheme="majorHAnsi"/>
          <w:lang w:val="lv-LV"/>
        </w:rPr>
      </w:pPr>
      <w:r w:rsidRPr="002E13FF">
        <w:rPr>
          <w:rFonts w:ascii="Gilroy" w:hAnsi="Gilroy" w:cstheme="majorHAnsi"/>
          <w:lang w:val="lv-LV"/>
        </w:rPr>
        <w:t>____________________/DEVĪZE/</w:t>
      </w:r>
    </w:p>
    <w:p w14:paraId="29B505EF" w14:textId="77777777" w:rsidR="00A00FEA" w:rsidRPr="002E13FF" w:rsidRDefault="00A00FEA" w:rsidP="00A00FEA">
      <w:pPr>
        <w:pStyle w:val="NoSpacing"/>
        <w:spacing w:before="240" w:after="120"/>
        <w:jc w:val="both"/>
        <w:rPr>
          <w:rFonts w:ascii="Gilroy" w:hAnsi="Gilroy" w:cstheme="majorBidi"/>
          <w:kern w:val="2"/>
          <w:lang w:val="lv-LV" w:eastAsia="lv-LV"/>
        </w:rPr>
      </w:pPr>
      <w:r w:rsidRPr="002E13FF">
        <w:rPr>
          <w:rFonts w:ascii="Gilroy" w:hAnsi="Gilroy" w:cstheme="majorBidi"/>
          <w:kern w:val="2"/>
          <w:lang w:val="lv-LV" w:eastAsia="lv-LV"/>
        </w:rPr>
        <w:t>Ar šo apliecinām, ka ____________(</w:t>
      </w:r>
      <w:r w:rsidRPr="002E13FF">
        <w:rPr>
          <w:rFonts w:ascii="Gilroy" w:hAnsi="Gilroy" w:cstheme="majorBidi"/>
          <w:i/>
          <w:iCs/>
          <w:kern w:val="2"/>
          <w:lang w:val="lv-LV" w:eastAsia="lv-LV"/>
        </w:rPr>
        <w:t>dalībnieka nosaukums</w:t>
      </w:r>
      <w:r w:rsidRPr="002E13FF">
        <w:rPr>
          <w:rFonts w:ascii="Gilroy" w:hAnsi="Gilroy" w:cstheme="majorBidi"/>
          <w:kern w:val="2"/>
          <w:lang w:val="lv-LV" w:eastAsia="lv-LV"/>
        </w:rPr>
        <w:t xml:space="preserve">) rīcībā uz sarunu procedūras brīdi un līguma izpildē, ja Konkursa dalībniekam tiks piešķirtas līguma slēgšanas tiesības, būs šāds Konkursā piedāvātais speciālists, kurš atbilst Nolikuma 9.4.2. apakšpunktā noteiktajām prasībām: </w:t>
      </w:r>
    </w:p>
    <w:tbl>
      <w:tblPr>
        <w:tblStyle w:val="TableGrid"/>
        <w:tblW w:w="8784" w:type="dxa"/>
        <w:tblLayout w:type="fixed"/>
        <w:tblLook w:val="04A0" w:firstRow="1" w:lastRow="0" w:firstColumn="1" w:lastColumn="0" w:noHBand="0" w:noVBand="1"/>
      </w:tblPr>
      <w:tblGrid>
        <w:gridCol w:w="988"/>
        <w:gridCol w:w="4819"/>
        <w:gridCol w:w="2977"/>
      </w:tblGrid>
      <w:tr w:rsidR="00A00FEA" w:rsidRPr="00B336F0" w14:paraId="15FC5F37" w14:textId="77777777" w:rsidTr="00673F06">
        <w:tc>
          <w:tcPr>
            <w:tcW w:w="988" w:type="dxa"/>
            <w:shd w:val="clear" w:color="auto" w:fill="C1E4F5" w:themeFill="accent1" w:themeFillTint="33"/>
            <w:vAlign w:val="center"/>
          </w:tcPr>
          <w:p w14:paraId="20B17346" w14:textId="77777777" w:rsidR="00A00FEA" w:rsidRPr="002E13FF" w:rsidRDefault="00A00FEA" w:rsidP="00673F06">
            <w:pPr>
              <w:pStyle w:val="ListParagraph"/>
              <w:ind w:left="0"/>
              <w:contextualSpacing w:val="0"/>
              <w:jc w:val="center"/>
              <w:rPr>
                <w:rFonts w:ascii="Gilroy" w:hAnsi="Gilroy" w:cstheme="majorHAnsi"/>
              </w:rPr>
            </w:pPr>
            <w:r w:rsidRPr="002E13FF">
              <w:rPr>
                <w:rFonts w:ascii="Gilroy" w:hAnsi="Gilroy" w:cstheme="majorHAnsi"/>
              </w:rPr>
              <w:t>1.</w:t>
            </w:r>
          </w:p>
        </w:tc>
        <w:tc>
          <w:tcPr>
            <w:tcW w:w="4819" w:type="dxa"/>
            <w:shd w:val="clear" w:color="auto" w:fill="C1E4F5" w:themeFill="accent1" w:themeFillTint="33"/>
            <w:vAlign w:val="center"/>
          </w:tcPr>
          <w:p w14:paraId="52A008EA" w14:textId="77777777" w:rsidR="00A00FEA" w:rsidRPr="002E13FF" w:rsidRDefault="00A00FEA" w:rsidP="00673F06">
            <w:pPr>
              <w:pStyle w:val="ListParagraph"/>
              <w:ind w:left="0"/>
              <w:contextualSpacing w:val="0"/>
              <w:jc w:val="center"/>
              <w:rPr>
                <w:rFonts w:ascii="Gilroy" w:hAnsi="Gilroy" w:cstheme="majorHAnsi"/>
              </w:rPr>
            </w:pPr>
            <w:proofErr w:type="spellStart"/>
            <w:r w:rsidRPr="002E13FF">
              <w:rPr>
                <w:rFonts w:ascii="Gilroy" w:hAnsi="Gilroy" w:cstheme="majorHAnsi"/>
              </w:rPr>
              <w:t>Pasūtītāja</w:t>
            </w:r>
            <w:proofErr w:type="spellEnd"/>
            <w:r w:rsidRPr="002E13FF">
              <w:rPr>
                <w:rFonts w:ascii="Gilroy" w:hAnsi="Gilroy" w:cstheme="majorHAnsi"/>
              </w:rPr>
              <w:t xml:space="preserve"> </w:t>
            </w:r>
            <w:proofErr w:type="spellStart"/>
            <w:r w:rsidRPr="002E13FF">
              <w:rPr>
                <w:rFonts w:ascii="Gilroy" w:hAnsi="Gilroy" w:cstheme="majorHAnsi"/>
              </w:rPr>
              <w:t>izvirzīta</w:t>
            </w:r>
            <w:proofErr w:type="spellEnd"/>
            <w:r w:rsidRPr="002E13FF">
              <w:rPr>
                <w:rFonts w:ascii="Gilroy" w:hAnsi="Gilroy" w:cstheme="majorHAnsi"/>
              </w:rPr>
              <w:t xml:space="preserve"> </w:t>
            </w:r>
            <w:proofErr w:type="spellStart"/>
            <w:r w:rsidRPr="002E13FF">
              <w:rPr>
                <w:rFonts w:ascii="Gilroy" w:hAnsi="Gilroy" w:cstheme="majorHAnsi"/>
              </w:rPr>
              <w:t>prasība</w:t>
            </w:r>
            <w:proofErr w:type="spellEnd"/>
          </w:p>
        </w:tc>
        <w:tc>
          <w:tcPr>
            <w:tcW w:w="2977" w:type="dxa"/>
            <w:shd w:val="clear" w:color="auto" w:fill="C1E4F5" w:themeFill="accent1" w:themeFillTint="33"/>
            <w:vAlign w:val="center"/>
          </w:tcPr>
          <w:p w14:paraId="6082D398" w14:textId="77777777" w:rsidR="00A00FEA" w:rsidRPr="002E13FF" w:rsidRDefault="00A00FEA" w:rsidP="00673F06">
            <w:pPr>
              <w:jc w:val="center"/>
              <w:rPr>
                <w:rFonts w:ascii="Gilroy" w:hAnsi="Gilroy" w:cstheme="majorHAnsi"/>
                <w:lang w:val="lv-LV"/>
              </w:rPr>
            </w:pPr>
            <w:r w:rsidRPr="002E13FF">
              <w:rPr>
                <w:rFonts w:ascii="Gilroy" w:hAnsi="Gilroy" w:cstheme="majorHAnsi"/>
                <w:lang w:val="lv-LV"/>
              </w:rPr>
              <w:t>Aizpilda Konkursa dalībnieks atbilstoši 9.4.2. punkta prasībām:</w:t>
            </w:r>
          </w:p>
        </w:tc>
      </w:tr>
      <w:tr w:rsidR="00A00FEA" w:rsidRPr="002E13FF" w14:paraId="434E899B" w14:textId="77777777" w:rsidTr="00673F06">
        <w:tc>
          <w:tcPr>
            <w:tcW w:w="988" w:type="dxa"/>
            <w:shd w:val="clear" w:color="auto" w:fill="FFFFFF" w:themeFill="background1"/>
          </w:tcPr>
          <w:p w14:paraId="0DDD712A" w14:textId="77777777" w:rsidR="00A00FEA" w:rsidRPr="002E13FF" w:rsidRDefault="00A00FEA" w:rsidP="00673F06">
            <w:pPr>
              <w:ind w:left="29"/>
              <w:jc w:val="both"/>
              <w:rPr>
                <w:rFonts w:ascii="Gilroy" w:hAnsi="Gilroy" w:cstheme="majorHAnsi"/>
                <w:lang w:val="lv-LV"/>
              </w:rPr>
            </w:pPr>
            <w:r w:rsidRPr="002E13FF">
              <w:rPr>
                <w:rFonts w:ascii="Gilroy" w:hAnsi="Gilroy" w:cstheme="majorHAnsi"/>
                <w:lang w:val="lv-LV"/>
              </w:rPr>
              <w:t>1.1.</w:t>
            </w:r>
          </w:p>
        </w:tc>
        <w:tc>
          <w:tcPr>
            <w:tcW w:w="4819" w:type="dxa"/>
            <w:shd w:val="clear" w:color="auto" w:fill="FFFFFF" w:themeFill="background1"/>
          </w:tcPr>
          <w:p w14:paraId="034B03DF" w14:textId="77777777" w:rsidR="00A00FEA" w:rsidRPr="008962C1" w:rsidRDefault="00A00FEA" w:rsidP="00673F06">
            <w:pPr>
              <w:pStyle w:val="ListParagraph"/>
              <w:ind w:left="0"/>
              <w:contextualSpacing w:val="0"/>
              <w:jc w:val="both"/>
              <w:rPr>
                <w:rFonts w:ascii="Gilroy" w:hAnsi="Gilroy" w:cstheme="majorBidi"/>
              </w:rPr>
            </w:pPr>
            <w:proofErr w:type="spellStart"/>
            <w:r w:rsidRPr="008962C1">
              <w:rPr>
                <w:rFonts w:ascii="Gilroy" w:hAnsi="Gilroy" w:cstheme="majorHAnsi"/>
                <w:b/>
                <w:bCs/>
              </w:rPr>
              <w:t>Arhitekts</w:t>
            </w:r>
            <w:proofErr w:type="spellEnd"/>
            <w:r w:rsidRPr="008962C1">
              <w:rPr>
                <w:rFonts w:ascii="Gilroy" w:hAnsi="Gilroy" w:cstheme="majorHAnsi"/>
                <w:b/>
                <w:bCs/>
              </w:rPr>
              <w:t xml:space="preserve">, </w:t>
            </w:r>
            <w:proofErr w:type="spellStart"/>
            <w:r w:rsidRPr="008962C1">
              <w:rPr>
                <w:rFonts w:ascii="Gilroy" w:hAnsi="Gilroy" w:cstheme="majorHAnsi"/>
              </w:rPr>
              <w:t>kuram</w:t>
            </w:r>
            <w:proofErr w:type="spellEnd"/>
            <w:r w:rsidRPr="008962C1">
              <w:rPr>
                <w:rFonts w:ascii="Gilroy" w:hAnsi="Gilroy" w:cstheme="majorHAnsi"/>
              </w:rPr>
              <w:t xml:space="preserve"> </w:t>
            </w:r>
            <w:proofErr w:type="spellStart"/>
            <w:r w:rsidRPr="008962C1">
              <w:rPr>
                <w:rFonts w:ascii="Gilroy" w:hAnsi="Gilroy" w:cstheme="majorHAnsi"/>
              </w:rPr>
              <w:t>ir</w:t>
            </w:r>
            <w:proofErr w:type="spellEnd"/>
            <w:r w:rsidRPr="008962C1">
              <w:rPr>
                <w:rFonts w:ascii="Gilroy" w:hAnsi="Gilroy" w:cstheme="majorHAnsi"/>
              </w:rPr>
              <w:t xml:space="preserve"> </w:t>
            </w:r>
            <w:proofErr w:type="spellStart"/>
            <w:r w:rsidRPr="008962C1">
              <w:rPr>
                <w:rFonts w:ascii="Gilroy" w:hAnsi="Gilroy" w:cstheme="majorHAnsi"/>
              </w:rPr>
              <w:t>sertifikāts</w:t>
            </w:r>
            <w:proofErr w:type="spellEnd"/>
            <w:r w:rsidRPr="008962C1">
              <w:rPr>
                <w:rFonts w:ascii="Gilroy" w:hAnsi="Gilroy" w:cstheme="majorHAnsi"/>
              </w:rPr>
              <w:t xml:space="preserve"> </w:t>
            </w:r>
            <w:proofErr w:type="spellStart"/>
            <w:r w:rsidRPr="008962C1">
              <w:rPr>
                <w:rFonts w:ascii="Gilroy" w:hAnsi="Gilroy" w:cstheme="majorHAnsi"/>
              </w:rPr>
              <w:t>arhitekta</w:t>
            </w:r>
            <w:proofErr w:type="spellEnd"/>
            <w:r w:rsidRPr="008962C1">
              <w:rPr>
                <w:rFonts w:ascii="Gilroy" w:hAnsi="Gilroy" w:cstheme="majorHAnsi"/>
              </w:rPr>
              <w:t xml:space="preserve"> </w:t>
            </w:r>
            <w:proofErr w:type="spellStart"/>
            <w:r w:rsidRPr="008962C1">
              <w:rPr>
                <w:rFonts w:ascii="Gilroy" w:hAnsi="Gilroy" w:cstheme="majorHAnsi"/>
              </w:rPr>
              <w:t>praksē</w:t>
            </w:r>
            <w:proofErr w:type="spellEnd"/>
            <w:r w:rsidRPr="008962C1">
              <w:rPr>
                <w:rFonts w:ascii="Gilroy" w:hAnsi="Gilroy" w:cstheme="majorHAnsi"/>
              </w:rPr>
              <w:t xml:space="preserve"> </w:t>
            </w:r>
            <w:proofErr w:type="spellStart"/>
            <w:r w:rsidRPr="008962C1">
              <w:rPr>
                <w:rFonts w:ascii="Gilroy" w:hAnsi="Gilroy" w:cstheme="majorHAnsi"/>
              </w:rPr>
              <w:t>un</w:t>
            </w:r>
            <w:proofErr w:type="spellEnd"/>
            <w:r w:rsidRPr="008962C1">
              <w:rPr>
                <w:rFonts w:ascii="Gilroy" w:hAnsi="Gilroy" w:cstheme="majorHAnsi"/>
              </w:rPr>
              <w:t xml:space="preserve"> </w:t>
            </w:r>
            <w:proofErr w:type="spellStart"/>
            <w:r w:rsidRPr="008962C1">
              <w:rPr>
                <w:rFonts w:ascii="Gilroy" w:hAnsi="Gilroy" w:cstheme="majorHAnsi"/>
              </w:rPr>
              <w:t>pieredze</w:t>
            </w:r>
            <w:proofErr w:type="spellEnd"/>
            <w:r w:rsidRPr="008962C1">
              <w:rPr>
                <w:rFonts w:ascii="Gilroy" w:hAnsi="Gilroy" w:cstheme="majorHAnsi"/>
              </w:rPr>
              <w:t xml:space="preserve"> </w:t>
            </w:r>
            <w:r w:rsidRPr="008962C1">
              <w:rPr>
                <w:rFonts w:ascii="Gilroy" w:hAnsi="Gilroy" w:cstheme="majorBidi"/>
              </w:rPr>
              <w:t xml:space="preserve">ne </w:t>
            </w:r>
            <w:proofErr w:type="spellStart"/>
            <w:r w:rsidRPr="008962C1">
              <w:rPr>
                <w:rFonts w:ascii="Gilroy" w:hAnsi="Gilroy" w:cstheme="majorBidi"/>
              </w:rPr>
              <w:t>vairāk</w:t>
            </w:r>
            <w:proofErr w:type="spellEnd"/>
            <w:r w:rsidRPr="008962C1">
              <w:rPr>
                <w:rFonts w:ascii="Gilroy" w:hAnsi="Gilroy" w:cstheme="majorBidi"/>
              </w:rPr>
              <w:t xml:space="preserve"> </w:t>
            </w:r>
            <w:proofErr w:type="spellStart"/>
            <w:r w:rsidRPr="008962C1">
              <w:rPr>
                <w:rFonts w:ascii="Gilroy" w:hAnsi="Gilroy" w:cstheme="majorBidi"/>
              </w:rPr>
              <w:t>kā</w:t>
            </w:r>
            <w:proofErr w:type="spellEnd"/>
            <w:r w:rsidRPr="008962C1">
              <w:rPr>
                <w:rFonts w:ascii="Gilroy" w:hAnsi="Gilroy" w:cstheme="majorBidi"/>
              </w:rPr>
              <w:t xml:space="preserve"> 7 (</w:t>
            </w:r>
            <w:proofErr w:type="spellStart"/>
            <w:r w:rsidRPr="008962C1">
              <w:rPr>
                <w:rFonts w:ascii="Gilroy" w:hAnsi="Gilroy" w:cstheme="majorBidi"/>
              </w:rPr>
              <w:t>septiņos</w:t>
            </w:r>
            <w:proofErr w:type="spellEnd"/>
            <w:r w:rsidRPr="008962C1">
              <w:rPr>
                <w:rFonts w:ascii="Gilroy" w:hAnsi="Gilroy" w:cstheme="majorBidi"/>
              </w:rPr>
              <w:t xml:space="preserve">) </w:t>
            </w:r>
            <w:proofErr w:type="spellStart"/>
            <w:r w:rsidRPr="008962C1">
              <w:rPr>
                <w:rFonts w:ascii="Gilroy" w:hAnsi="Gilroy" w:cstheme="majorBidi"/>
              </w:rPr>
              <w:t>iepriekšējos</w:t>
            </w:r>
            <w:proofErr w:type="spellEnd"/>
            <w:r w:rsidRPr="008962C1">
              <w:rPr>
                <w:rFonts w:ascii="Gilroy" w:hAnsi="Gilroy" w:cstheme="majorBidi"/>
              </w:rPr>
              <w:t xml:space="preserve"> </w:t>
            </w:r>
            <w:proofErr w:type="spellStart"/>
            <w:r w:rsidRPr="008962C1">
              <w:rPr>
                <w:rFonts w:ascii="Gilroy" w:hAnsi="Gilroy" w:cstheme="majorBidi"/>
              </w:rPr>
              <w:t>gados</w:t>
            </w:r>
            <w:proofErr w:type="spellEnd"/>
            <w:r w:rsidRPr="008962C1">
              <w:rPr>
                <w:rFonts w:ascii="Gilroy" w:hAnsi="Gilroy" w:cstheme="majorBidi"/>
              </w:rPr>
              <w:t xml:space="preserve"> (2018., 2019., 2020., 2021., 2022., 2023. </w:t>
            </w:r>
            <w:proofErr w:type="spellStart"/>
            <w:r w:rsidRPr="008962C1">
              <w:rPr>
                <w:rFonts w:ascii="Gilroy" w:hAnsi="Gilroy" w:cstheme="majorBidi"/>
              </w:rPr>
              <w:t>un</w:t>
            </w:r>
            <w:proofErr w:type="spellEnd"/>
            <w:r w:rsidRPr="008962C1">
              <w:rPr>
                <w:rFonts w:ascii="Gilroy" w:hAnsi="Gilroy" w:cstheme="majorBidi"/>
              </w:rPr>
              <w:t xml:space="preserve"> 2024. </w:t>
            </w:r>
            <w:proofErr w:type="spellStart"/>
            <w:r w:rsidRPr="008962C1">
              <w:rPr>
                <w:rFonts w:ascii="Gilroy" w:hAnsi="Gilroy" w:cstheme="majorBidi"/>
              </w:rPr>
              <w:t>gadā</w:t>
            </w:r>
            <w:proofErr w:type="spellEnd"/>
            <w:r w:rsidRPr="008962C1">
              <w:rPr>
                <w:rFonts w:ascii="Gilroy" w:hAnsi="Gilroy" w:cstheme="majorBidi"/>
              </w:rPr>
              <w:t xml:space="preserve"> </w:t>
            </w:r>
            <w:proofErr w:type="spellStart"/>
            <w:proofErr w:type="gramStart"/>
            <w:r w:rsidRPr="008962C1">
              <w:rPr>
                <w:rFonts w:ascii="Gilroy" w:hAnsi="Gilroy" w:cstheme="majorBidi"/>
              </w:rPr>
              <w:t>kā</w:t>
            </w:r>
            <w:proofErr w:type="spellEnd"/>
            <w:r w:rsidRPr="008962C1">
              <w:rPr>
                <w:rFonts w:ascii="Gilroy" w:hAnsi="Gilroy" w:cstheme="majorBidi"/>
              </w:rPr>
              <w:t xml:space="preserve">  </w:t>
            </w:r>
            <w:proofErr w:type="spellStart"/>
            <w:r w:rsidRPr="008962C1">
              <w:rPr>
                <w:rFonts w:ascii="Gilroy" w:hAnsi="Gilroy" w:cstheme="majorBidi"/>
              </w:rPr>
              <w:t>arī</w:t>
            </w:r>
            <w:proofErr w:type="spellEnd"/>
            <w:proofErr w:type="gramEnd"/>
            <w:r w:rsidRPr="008962C1">
              <w:rPr>
                <w:rFonts w:ascii="Gilroy" w:hAnsi="Gilroy" w:cstheme="majorBidi"/>
              </w:rPr>
              <w:t xml:space="preserve"> </w:t>
            </w:r>
            <w:proofErr w:type="spellStart"/>
            <w:r w:rsidRPr="008962C1">
              <w:rPr>
                <w:rFonts w:ascii="Gilroy" w:hAnsi="Gilroy" w:cstheme="majorBidi"/>
              </w:rPr>
              <w:t>periodā</w:t>
            </w:r>
            <w:proofErr w:type="spellEnd"/>
            <w:r w:rsidRPr="008962C1">
              <w:rPr>
                <w:rFonts w:ascii="Gilroy" w:hAnsi="Gilroy" w:cstheme="majorBidi"/>
              </w:rPr>
              <w:t xml:space="preserve"> </w:t>
            </w:r>
            <w:proofErr w:type="spellStart"/>
            <w:r w:rsidRPr="008962C1">
              <w:rPr>
                <w:rFonts w:ascii="Gilroy" w:hAnsi="Gilroy" w:cstheme="majorBidi"/>
              </w:rPr>
              <w:t>līdz</w:t>
            </w:r>
            <w:proofErr w:type="spellEnd"/>
            <w:r w:rsidRPr="008962C1">
              <w:rPr>
                <w:rFonts w:ascii="Gilroy" w:hAnsi="Gilroy" w:cstheme="majorBidi"/>
              </w:rPr>
              <w:t xml:space="preserve"> </w:t>
            </w:r>
            <w:proofErr w:type="spellStart"/>
            <w:r w:rsidRPr="008962C1">
              <w:rPr>
                <w:rFonts w:ascii="Gilroy" w:hAnsi="Gilroy" w:cstheme="majorBidi"/>
              </w:rPr>
              <w:t>Meta</w:t>
            </w:r>
            <w:proofErr w:type="spellEnd"/>
            <w:r w:rsidRPr="008962C1">
              <w:rPr>
                <w:rFonts w:ascii="Gilroy" w:hAnsi="Gilroy" w:cstheme="majorBidi"/>
              </w:rPr>
              <w:t xml:space="preserve"> </w:t>
            </w:r>
            <w:proofErr w:type="spellStart"/>
            <w:r w:rsidRPr="008962C1">
              <w:rPr>
                <w:rFonts w:ascii="Gilroy" w:hAnsi="Gilroy" w:cstheme="majorBidi"/>
              </w:rPr>
              <w:t>iesniegšanas</w:t>
            </w:r>
            <w:proofErr w:type="spellEnd"/>
            <w:r w:rsidRPr="008962C1">
              <w:rPr>
                <w:rFonts w:ascii="Gilroy" w:hAnsi="Gilroy" w:cstheme="majorBidi"/>
              </w:rPr>
              <w:t xml:space="preserve"> </w:t>
            </w:r>
            <w:proofErr w:type="spellStart"/>
            <w:r w:rsidRPr="008962C1">
              <w:rPr>
                <w:rFonts w:ascii="Gilroy" w:hAnsi="Gilroy" w:cstheme="majorBidi"/>
              </w:rPr>
              <w:t>dienai</w:t>
            </w:r>
            <w:proofErr w:type="spellEnd"/>
            <w:r w:rsidRPr="008962C1">
              <w:rPr>
                <w:rFonts w:ascii="Gilroy" w:hAnsi="Gilroy" w:cstheme="majorBidi"/>
              </w:rPr>
              <w:t>)</w:t>
            </w:r>
            <w:r w:rsidRPr="008962C1">
              <w:rPr>
                <w:rFonts w:ascii="Gilroy" w:hAnsi="Gilroy" w:cstheme="majorHAnsi"/>
              </w:rPr>
              <w:t xml:space="preserve">  </w:t>
            </w:r>
            <w:proofErr w:type="spellStart"/>
            <w:r w:rsidRPr="008962C1">
              <w:rPr>
                <w:rFonts w:ascii="Gilroy" w:hAnsi="Gilroy" w:cstheme="majorBidi"/>
              </w:rPr>
              <w:t>vismaz</w:t>
            </w:r>
            <w:proofErr w:type="spellEnd"/>
            <w:r w:rsidRPr="008962C1">
              <w:rPr>
                <w:rFonts w:ascii="Gilroy" w:hAnsi="Gilroy" w:cstheme="majorBidi"/>
              </w:rPr>
              <w:t xml:space="preserve"> </w:t>
            </w:r>
            <w:proofErr w:type="spellStart"/>
            <w:r w:rsidRPr="008962C1">
              <w:rPr>
                <w:rFonts w:ascii="Gilroy" w:hAnsi="Gilroy" w:cstheme="majorBidi"/>
              </w:rPr>
              <w:t>viena</w:t>
            </w:r>
            <w:proofErr w:type="spellEnd"/>
            <w:r w:rsidRPr="008962C1">
              <w:rPr>
                <w:rFonts w:ascii="Gilroy" w:hAnsi="Gilroy" w:cstheme="majorBidi"/>
              </w:rPr>
              <w:t xml:space="preserve"> </w:t>
            </w:r>
            <w:proofErr w:type="spellStart"/>
            <w:r w:rsidRPr="008962C1">
              <w:rPr>
                <w:rFonts w:ascii="Gilroy" w:hAnsi="Gilroy" w:cstheme="majorBidi"/>
              </w:rPr>
              <w:t>būvprojekta</w:t>
            </w:r>
            <w:proofErr w:type="spellEnd"/>
            <w:r w:rsidRPr="008962C1">
              <w:rPr>
                <w:rFonts w:ascii="Gilroy" w:hAnsi="Gilroy" w:cstheme="majorBidi"/>
              </w:rPr>
              <w:t xml:space="preserve"> </w:t>
            </w:r>
            <w:proofErr w:type="spellStart"/>
            <w:r w:rsidRPr="008962C1">
              <w:rPr>
                <w:rFonts w:ascii="Gilroy" w:hAnsi="Gilroy" w:cstheme="majorBidi"/>
              </w:rPr>
              <w:t>izstrādē</w:t>
            </w:r>
            <w:proofErr w:type="spellEnd"/>
            <w:r w:rsidRPr="008962C1">
              <w:rPr>
                <w:rFonts w:ascii="Gilroy" w:hAnsi="Gilroy" w:cstheme="majorBidi"/>
              </w:rPr>
              <w:t xml:space="preserve"> </w:t>
            </w:r>
            <w:proofErr w:type="spellStart"/>
            <w:r w:rsidRPr="008962C1">
              <w:rPr>
                <w:rFonts w:ascii="Gilroy" w:hAnsi="Gilroy" w:cstheme="majorBidi"/>
              </w:rPr>
              <w:t>ar</w:t>
            </w:r>
            <w:proofErr w:type="spellEnd"/>
            <w:r w:rsidRPr="008962C1">
              <w:rPr>
                <w:rFonts w:ascii="Gilroy" w:hAnsi="Gilroy" w:cstheme="majorBidi"/>
              </w:rPr>
              <w:t xml:space="preserve"> </w:t>
            </w:r>
            <w:proofErr w:type="spellStart"/>
            <w:r w:rsidRPr="008962C1">
              <w:rPr>
                <w:rFonts w:ascii="Gilroy" w:hAnsi="Gilroy" w:cstheme="majorBidi"/>
              </w:rPr>
              <w:t>nosacījumu</w:t>
            </w:r>
            <w:proofErr w:type="spellEnd"/>
            <w:r w:rsidRPr="008962C1">
              <w:rPr>
                <w:rFonts w:ascii="Gilroy" w:hAnsi="Gilroy" w:cstheme="majorBidi"/>
              </w:rPr>
              <w:t xml:space="preserve">, </w:t>
            </w:r>
            <w:proofErr w:type="spellStart"/>
            <w:r w:rsidRPr="008962C1">
              <w:rPr>
                <w:rFonts w:ascii="Gilroy" w:hAnsi="Gilroy" w:cstheme="majorBidi"/>
              </w:rPr>
              <w:t>ka</w:t>
            </w:r>
            <w:proofErr w:type="spellEnd"/>
            <w:r w:rsidRPr="008962C1">
              <w:rPr>
                <w:rFonts w:ascii="Gilroy" w:hAnsi="Gilroy" w:cstheme="majorBidi"/>
              </w:rPr>
              <w:t xml:space="preserve">  </w:t>
            </w:r>
            <w:proofErr w:type="spellStart"/>
            <w:r w:rsidRPr="008962C1">
              <w:rPr>
                <w:rFonts w:ascii="Gilroy" w:hAnsi="Gilroy" w:cstheme="majorBidi"/>
              </w:rPr>
              <w:t>ir</w:t>
            </w:r>
            <w:proofErr w:type="spellEnd"/>
            <w:r w:rsidRPr="008962C1">
              <w:rPr>
                <w:rFonts w:ascii="Gilroy" w:hAnsi="Gilroy" w:cstheme="majorBidi"/>
              </w:rPr>
              <w:t xml:space="preserve"> </w:t>
            </w:r>
            <w:proofErr w:type="spellStart"/>
            <w:r w:rsidRPr="008962C1">
              <w:rPr>
                <w:rFonts w:ascii="Gilroy" w:hAnsi="Gilroy" w:cstheme="majorBidi"/>
              </w:rPr>
              <w:t>projektēta</w:t>
            </w:r>
            <w:proofErr w:type="spellEnd"/>
            <w:r w:rsidRPr="008962C1">
              <w:rPr>
                <w:rFonts w:ascii="Gilroy" w:hAnsi="Gilroy" w:cstheme="majorBidi"/>
              </w:rPr>
              <w:t xml:space="preserve"> </w:t>
            </w:r>
            <w:proofErr w:type="spellStart"/>
            <w:r w:rsidRPr="008962C1">
              <w:rPr>
                <w:rFonts w:ascii="Gilroy" w:hAnsi="Gilroy" w:cstheme="majorBidi"/>
              </w:rPr>
              <w:t>nedzīvojamas</w:t>
            </w:r>
            <w:proofErr w:type="spellEnd"/>
            <w:r w:rsidRPr="008962C1">
              <w:rPr>
                <w:rFonts w:ascii="Gilroy" w:hAnsi="Gilroy" w:cstheme="majorBidi"/>
              </w:rPr>
              <w:t xml:space="preserve"> </w:t>
            </w:r>
            <w:proofErr w:type="spellStart"/>
            <w:r w:rsidRPr="008962C1">
              <w:rPr>
                <w:rFonts w:ascii="Gilroy" w:hAnsi="Gilroy" w:cstheme="majorBidi"/>
              </w:rPr>
              <w:t>ēkas</w:t>
            </w:r>
            <w:proofErr w:type="spellEnd"/>
            <w:r w:rsidRPr="008962C1">
              <w:rPr>
                <w:rFonts w:ascii="Gilroy" w:hAnsi="Gilroy" w:cstheme="majorBidi"/>
              </w:rPr>
              <w:t xml:space="preserve"> (</w:t>
            </w:r>
            <w:proofErr w:type="spellStart"/>
            <w:r w:rsidRPr="008962C1">
              <w:rPr>
                <w:rFonts w:ascii="Gilroy" w:hAnsi="Gilroy" w:cstheme="majorBidi"/>
              </w:rPr>
              <w:t>izņemot</w:t>
            </w:r>
            <w:proofErr w:type="spellEnd"/>
            <w:r w:rsidRPr="008962C1">
              <w:rPr>
                <w:rFonts w:ascii="Gilroy" w:hAnsi="Gilroy" w:cstheme="majorBidi"/>
              </w:rPr>
              <w:t xml:space="preserve"> </w:t>
            </w:r>
            <w:proofErr w:type="spellStart"/>
            <w:r w:rsidRPr="008962C1">
              <w:rPr>
                <w:rFonts w:ascii="Gilroy" w:hAnsi="Gilroy" w:cstheme="majorBidi"/>
              </w:rPr>
              <w:t>noliktavu</w:t>
            </w:r>
            <w:proofErr w:type="spellEnd"/>
            <w:r w:rsidRPr="008962C1">
              <w:rPr>
                <w:rFonts w:ascii="Gilroy" w:hAnsi="Gilroy" w:cstheme="majorBidi"/>
              </w:rPr>
              <w:t xml:space="preserve">, </w:t>
            </w:r>
            <w:proofErr w:type="spellStart"/>
            <w:r w:rsidRPr="008962C1">
              <w:rPr>
                <w:rFonts w:ascii="Gilroy" w:hAnsi="Gilroy" w:cstheme="majorBidi"/>
              </w:rPr>
              <w:t>garāžu</w:t>
            </w:r>
            <w:proofErr w:type="spellEnd"/>
            <w:r w:rsidRPr="008962C1">
              <w:rPr>
                <w:rFonts w:ascii="Gilroy" w:hAnsi="Gilroy" w:cstheme="majorBidi"/>
              </w:rPr>
              <w:t xml:space="preserve"> </w:t>
            </w:r>
            <w:proofErr w:type="spellStart"/>
            <w:r w:rsidRPr="008962C1">
              <w:rPr>
                <w:rFonts w:ascii="Gilroy" w:hAnsi="Gilroy" w:cstheme="majorBidi"/>
              </w:rPr>
              <w:t>un</w:t>
            </w:r>
            <w:proofErr w:type="spellEnd"/>
            <w:r w:rsidRPr="008962C1">
              <w:rPr>
                <w:rFonts w:ascii="Gilroy" w:hAnsi="Gilroy" w:cstheme="majorBidi"/>
              </w:rPr>
              <w:t xml:space="preserve"> </w:t>
            </w:r>
            <w:proofErr w:type="spellStart"/>
            <w:r w:rsidRPr="008962C1">
              <w:rPr>
                <w:rFonts w:ascii="Gilroy" w:hAnsi="Gilroy" w:cstheme="majorBidi"/>
              </w:rPr>
              <w:t>lauksaimniecības</w:t>
            </w:r>
            <w:proofErr w:type="spellEnd"/>
            <w:r w:rsidRPr="008962C1">
              <w:rPr>
                <w:rFonts w:ascii="Gilroy" w:hAnsi="Gilroy" w:cstheme="majorBidi"/>
              </w:rPr>
              <w:t xml:space="preserve"> </w:t>
            </w:r>
            <w:proofErr w:type="spellStart"/>
            <w:r w:rsidRPr="008962C1">
              <w:rPr>
                <w:rFonts w:ascii="Gilroy" w:hAnsi="Gilroy" w:cstheme="majorBidi"/>
              </w:rPr>
              <w:t>ēku</w:t>
            </w:r>
            <w:proofErr w:type="spellEnd"/>
            <w:r w:rsidRPr="008962C1">
              <w:rPr>
                <w:rFonts w:ascii="Gilroy" w:hAnsi="Gilroy" w:cstheme="majorBidi"/>
              </w:rPr>
              <w:t xml:space="preserve">) </w:t>
            </w:r>
            <w:r w:rsidRPr="008962C1">
              <w:rPr>
                <w:rFonts w:ascii="Gilroy" w:hAnsi="Gilroy" w:cstheme="majorHAnsi"/>
              </w:rPr>
              <w:t xml:space="preserve"> </w:t>
            </w:r>
            <w:proofErr w:type="spellStart"/>
            <w:r w:rsidRPr="008962C1">
              <w:rPr>
                <w:rFonts w:ascii="Gilroy" w:hAnsi="Gilroy" w:cstheme="majorHAnsi"/>
              </w:rPr>
              <w:t>ar</w:t>
            </w:r>
            <w:proofErr w:type="spellEnd"/>
            <w:r w:rsidRPr="008962C1">
              <w:rPr>
                <w:rFonts w:ascii="Gilroy" w:hAnsi="Gilroy" w:cstheme="majorHAnsi"/>
              </w:rPr>
              <w:t xml:space="preserve"> </w:t>
            </w:r>
            <w:proofErr w:type="spellStart"/>
            <w:r w:rsidRPr="008962C1">
              <w:rPr>
                <w:rFonts w:ascii="Gilroy" w:hAnsi="Gilroy" w:cstheme="majorBidi"/>
              </w:rPr>
              <w:t>kopējo</w:t>
            </w:r>
            <w:proofErr w:type="spellEnd"/>
            <w:r w:rsidRPr="008962C1">
              <w:rPr>
                <w:rFonts w:ascii="Gilroy" w:hAnsi="Gilroy" w:cstheme="majorBidi"/>
              </w:rPr>
              <w:t xml:space="preserve"> </w:t>
            </w:r>
            <w:proofErr w:type="spellStart"/>
            <w:r w:rsidRPr="008962C1">
              <w:rPr>
                <w:rFonts w:ascii="Gilroy" w:hAnsi="Gilroy" w:cstheme="majorBidi"/>
              </w:rPr>
              <w:t>platību</w:t>
            </w:r>
            <w:proofErr w:type="spellEnd"/>
            <w:r w:rsidRPr="008962C1">
              <w:rPr>
                <w:rFonts w:ascii="Gilroy" w:hAnsi="Gilroy" w:cstheme="majorBidi"/>
              </w:rPr>
              <w:t xml:space="preserve"> </w:t>
            </w:r>
            <w:proofErr w:type="spellStart"/>
            <w:r w:rsidRPr="008962C1">
              <w:rPr>
                <w:rFonts w:ascii="Gilroy" w:hAnsi="Gilroy" w:cstheme="majorBidi"/>
              </w:rPr>
              <w:t>vismaz</w:t>
            </w:r>
            <w:proofErr w:type="spellEnd"/>
            <w:r w:rsidRPr="008962C1">
              <w:rPr>
                <w:rFonts w:ascii="Gilroy" w:hAnsi="Gilroy" w:cstheme="majorBidi"/>
              </w:rPr>
              <w:t xml:space="preserve"> 3000 m</w:t>
            </w:r>
            <w:r w:rsidRPr="008962C1">
              <w:rPr>
                <w:rFonts w:ascii="Gilroy" w:hAnsi="Gilroy" w:cstheme="majorBidi"/>
                <w:vertAlign w:val="superscript"/>
              </w:rPr>
              <w:t>2</w:t>
            </w:r>
            <w:r w:rsidRPr="008962C1">
              <w:rPr>
                <w:rFonts w:ascii="Gilroy" w:hAnsi="Gilroy" w:cstheme="majorBidi"/>
              </w:rPr>
              <w:t xml:space="preserve"> </w:t>
            </w:r>
            <w:proofErr w:type="spellStart"/>
            <w:r w:rsidRPr="008962C1">
              <w:rPr>
                <w:rFonts w:ascii="Gilroy" w:hAnsi="Gilroy" w:cstheme="majorBidi"/>
              </w:rPr>
              <w:t>izbūve</w:t>
            </w:r>
            <w:proofErr w:type="spellEnd"/>
            <w:r w:rsidRPr="008962C1">
              <w:rPr>
                <w:rFonts w:ascii="Gilroy" w:hAnsi="Gilroy" w:cstheme="majorBidi"/>
              </w:rPr>
              <w:t xml:space="preserve"> </w:t>
            </w:r>
            <w:proofErr w:type="spellStart"/>
            <w:r w:rsidRPr="008962C1">
              <w:rPr>
                <w:rFonts w:ascii="Gilroy" w:hAnsi="Gilroy" w:cstheme="majorBidi"/>
              </w:rPr>
              <w:t>un</w:t>
            </w:r>
            <w:proofErr w:type="spellEnd"/>
            <w:r w:rsidRPr="008962C1">
              <w:rPr>
                <w:rFonts w:ascii="Gilroy" w:hAnsi="Gilroy" w:cstheme="majorBidi"/>
              </w:rPr>
              <w:t xml:space="preserve"> </w:t>
            </w:r>
            <w:proofErr w:type="spellStart"/>
            <w:r w:rsidRPr="008962C1">
              <w:rPr>
                <w:rFonts w:ascii="Gilroy" w:hAnsi="Gilroy" w:cstheme="majorBidi"/>
              </w:rPr>
              <w:t>būvprojekts</w:t>
            </w:r>
            <w:proofErr w:type="spellEnd"/>
            <w:r w:rsidRPr="008962C1">
              <w:rPr>
                <w:rFonts w:ascii="Gilroy" w:hAnsi="Gilroy" w:cstheme="majorBidi"/>
              </w:rPr>
              <w:t xml:space="preserve"> </w:t>
            </w:r>
            <w:proofErr w:type="spellStart"/>
            <w:r w:rsidRPr="008962C1">
              <w:rPr>
                <w:rFonts w:ascii="Gilroy" w:hAnsi="Gilroy"/>
              </w:rPr>
              <w:t>ir</w:t>
            </w:r>
            <w:proofErr w:type="spellEnd"/>
            <w:r w:rsidRPr="008962C1">
              <w:rPr>
                <w:rFonts w:ascii="Gilroy" w:hAnsi="Gilroy"/>
              </w:rPr>
              <w:t xml:space="preserve"> </w:t>
            </w:r>
            <w:proofErr w:type="spellStart"/>
            <w:r w:rsidRPr="008962C1">
              <w:rPr>
                <w:rFonts w:ascii="Gilroy" w:hAnsi="Gilroy"/>
              </w:rPr>
              <w:t>pilnībā</w:t>
            </w:r>
            <w:proofErr w:type="spellEnd"/>
            <w:r w:rsidRPr="008962C1">
              <w:rPr>
                <w:rFonts w:ascii="Gilroy" w:hAnsi="Gilroy"/>
              </w:rPr>
              <w:t xml:space="preserve"> </w:t>
            </w:r>
            <w:proofErr w:type="spellStart"/>
            <w:r w:rsidRPr="008962C1">
              <w:rPr>
                <w:rFonts w:ascii="Gilroy" w:hAnsi="Gilroy"/>
              </w:rPr>
              <w:t>pabeigts</w:t>
            </w:r>
            <w:proofErr w:type="spellEnd"/>
            <w:r w:rsidRPr="008962C1">
              <w:rPr>
                <w:rFonts w:ascii="Gilroy" w:hAnsi="Gilroy"/>
              </w:rPr>
              <w:t xml:space="preserve"> </w:t>
            </w:r>
            <w:proofErr w:type="spellStart"/>
            <w:r w:rsidRPr="008962C1">
              <w:rPr>
                <w:rFonts w:ascii="Gilroy" w:hAnsi="Gilroy"/>
              </w:rPr>
              <w:t>un</w:t>
            </w:r>
            <w:proofErr w:type="spellEnd"/>
            <w:r w:rsidRPr="008962C1">
              <w:rPr>
                <w:rFonts w:ascii="Gilroy" w:hAnsi="Gilroy"/>
              </w:rPr>
              <w:t xml:space="preserve"> </w:t>
            </w:r>
            <w:proofErr w:type="spellStart"/>
            <w:r w:rsidRPr="008962C1">
              <w:rPr>
                <w:rFonts w:ascii="Gilroy" w:hAnsi="Gilroy"/>
              </w:rPr>
              <w:t>akceptēts</w:t>
            </w:r>
            <w:proofErr w:type="spellEnd"/>
            <w:r w:rsidRPr="008962C1">
              <w:rPr>
                <w:rFonts w:ascii="Gilroy" w:hAnsi="Gilroy"/>
              </w:rPr>
              <w:t xml:space="preserve"> (</w:t>
            </w:r>
            <w:proofErr w:type="spellStart"/>
            <w:r w:rsidRPr="008962C1">
              <w:rPr>
                <w:rFonts w:ascii="Gilroy" w:hAnsi="Gilroy"/>
              </w:rPr>
              <w:t>saņemta</w:t>
            </w:r>
            <w:proofErr w:type="spellEnd"/>
            <w:r w:rsidRPr="008962C1">
              <w:rPr>
                <w:rFonts w:ascii="Gilroy" w:hAnsi="Gilroy"/>
              </w:rPr>
              <w:t xml:space="preserve"> </w:t>
            </w:r>
            <w:proofErr w:type="spellStart"/>
            <w:r w:rsidRPr="008962C1">
              <w:rPr>
                <w:rFonts w:ascii="Gilroy" w:hAnsi="Gilroy"/>
              </w:rPr>
              <w:t>atzīme</w:t>
            </w:r>
            <w:proofErr w:type="spellEnd"/>
            <w:r w:rsidRPr="008962C1">
              <w:rPr>
                <w:rFonts w:ascii="Gilroy" w:hAnsi="Gilroy"/>
              </w:rPr>
              <w:t xml:space="preserve"> par </w:t>
            </w:r>
            <w:proofErr w:type="spellStart"/>
            <w:r w:rsidRPr="008962C1">
              <w:rPr>
                <w:rFonts w:ascii="Gilroy" w:hAnsi="Gilroy"/>
              </w:rPr>
              <w:t>projektēšanas</w:t>
            </w:r>
            <w:proofErr w:type="spellEnd"/>
            <w:r w:rsidRPr="008962C1">
              <w:rPr>
                <w:rFonts w:ascii="Gilroy" w:hAnsi="Gilroy"/>
              </w:rPr>
              <w:t xml:space="preserve"> </w:t>
            </w:r>
            <w:proofErr w:type="spellStart"/>
            <w:r w:rsidRPr="008962C1">
              <w:rPr>
                <w:rFonts w:ascii="Gilroy" w:hAnsi="Gilroy"/>
              </w:rPr>
              <w:t>nosacījumu</w:t>
            </w:r>
            <w:proofErr w:type="spellEnd"/>
            <w:r w:rsidRPr="008962C1">
              <w:rPr>
                <w:rFonts w:ascii="Gilroy" w:hAnsi="Gilroy"/>
              </w:rPr>
              <w:t xml:space="preserve"> </w:t>
            </w:r>
            <w:proofErr w:type="spellStart"/>
            <w:r w:rsidRPr="008962C1">
              <w:rPr>
                <w:rFonts w:ascii="Gilroy" w:hAnsi="Gilroy"/>
              </w:rPr>
              <w:t>izpildi</w:t>
            </w:r>
            <w:proofErr w:type="spellEnd"/>
            <w:r w:rsidRPr="008962C1">
              <w:rPr>
                <w:rFonts w:ascii="Gilroy" w:hAnsi="Gilroy"/>
              </w:rPr>
              <w:t xml:space="preserve">) </w:t>
            </w:r>
            <w:proofErr w:type="spellStart"/>
            <w:r w:rsidRPr="008962C1">
              <w:rPr>
                <w:rFonts w:ascii="Gilroy" w:hAnsi="Gilroy"/>
              </w:rPr>
              <w:t>normatīvajos</w:t>
            </w:r>
            <w:proofErr w:type="spellEnd"/>
            <w:r w:rsidRPr="008962C1">
              <w:rPr>
                <w:rFonts w:ascii="Gilroy" w:hAnsi="Gilroy"/>
              </w:rPr>
              <w:t xml:space="preserve"> </w:t>
            </w:r>
            <w:proofErr w:type="spellStart"/>
            <w:r w:rsidRPr="008962C1">
              <w:rPr>
                <w:rFonts w:ascii="Gilroy" w:hAnsi="Gilroy"/>
              </w:rPr>
              <w:t>aktos</w:t>
            </w:r>
            <w:proofErr w:type="spellEnd"/>
            <w:r w:rsidRPr="008962C1">
              <w:rPr>
                <w:rFonts w:ascii="Gilroy" w:hAnsi="Gilroy"/>
              </w:rPr>
              <w:t xml:space="preserve"> </w:t>
            </w:r>
            <w:proofErr w:type="spellStart"/>
            <w:r w:rsidRPr="008962C1">
              <w:rPr>
                <w:rFonts w:ascii="Gilroy" w:hAnsi="Gilroy"/>
              </w:rPr>
              <w:t>noteiktajā</w:t>
            </w:r>
            <w:proofErr w:type="spellEnd"/>
            <w:r w:rsidRPr="008962C1">
              <w:rPr>
                <w:rFonts w:ascii="Gilroy" w:hAnsi="Gilroy"/>
              </w:rPr>
              <w:t xml:space="preserve"> </w:t>
            </w:r>
            <w:proofErr w:type="spellStart"/>
            <w:r w:rsidRPr="008962C1">
              <w:rPr>
                <w:rFonts w:ascii="Gilroy" w:hAnsi="Gilroy"/>
              </w:rPr>
              <w:t>kārtībā</w:t>
            </w:r>
            <w:proofErr w:type="spellEnd"/>
            <w:r w:rsidRPr="008962C1">
              <w:rPr>
                <w:rFonts w:ascii="Gilroy" w:hAnsi="Gilroy"/>
              </w:rPr>
              <w:t>.</w:t>
            </w:r>
          </w:p>
          <w:p w14:paraId="6FE02A8C" w14:textId="77777777" w:rsidR="00A00FEA" w:rsidRPr="008962C1" w:rsidRDefault="00A00FEA" w:rsidP="00673F06">
            <w:pPr>
              <w:jc w:val="both"/>
              <w:rPr>
                <w:rFonts w:ascii="Gilroy" w:hAnsi="Gilroy" w:cstheme="majorHAnsi"/>
                <w:lang w:val="lv-LV"/>
              </w:rPr>
            </w:pPr>
          </w:p>
        </w:tc>
        <w:tc>
          <w:tcPr>
            <w:tcW w:w="2977" w:type="dxa"/>
            <w:shd w:val="clear" w:color="auto" w:fill="FFFFFF" w:themeFill="background1"/>
          </w:tcPr>
          <w:p w14:paraId="05CD20F8" w14:textId="77777777" w:rsidR="00A00FEA" w:rsidRPr="002E13FF" w:rsidRDefault="00A00FEA" w:rsidP="00673F06">
            <w:pPr>
              <w:jc w:val="both"/>
              <w:rPr>
                <w:rFonts w:ascii="Gilroy" w:hAnsi="Gilroy" w:cstheme="majorHAnsi"/>
                <w:b/>
                <w:bCs/>
                <w:lang w:val="lv-LV"/>
              </w:rPr>
            </w:pPr>
            <w:r w:rsidRPr="002E13FF">
              <w:rPr>
                <w:rFonts w:ascii="Gilroy" w:hAnsi="Gilroy" w:cstheme="majorHAnsi"/>
                <w:b/>
                <w:bCs/>
                <w:lang w:val="lv-LV"/>
              </w:rPr>
              <w:t>Arhitekts</w:t>
            </w:r>
          </w:p>
          <w:p w14:paraId="29768810" w14:textId="77777777" w:rsidR="00A00FEA" w:rsidRPr="002E13FF" w:rsidRDefault="00A00FEA" w:rsidP="00673F06">
            <w:pPr>
              <w:jc w:val="both"/>
              <w:rPr>
                <w:rFonts w:ascii="Gilroy" w:hAnsi="Gilroy" w:cstheme="majorHAnsi"/>
                <w:lang w:val="lv-LV"/>
              </w:rPr>
            </w:pPr>
          </w:p>
        </w:tc>
      </w:tr>
      <w:tr w:rsidR="00A00FEA" w:rsidRPr="002E13FF" w14:paraId="629F0147" w14:textId="77777777" w:rsidTr="00673F06">
        <w:tc>
          <w:tcPr>
            <w:tcW w:w="988" w:type="dxa"/>
            <w:shd w:val="clear" w:color="auto" w:fill="FFFFFF" w:themeFill="background1"/>
          </w:tcPr>
          <w:p w14:paraId="3701D733" w14:textId="77777777" w:rsidR="00A00FEA" w:rsidRPr="002E13FF" w:rsidRDefault="00A00FEA" w:rsidP="00673F06">
            <w:pPr>
              <w:ind w:left="29"/>
              <w:jc w:val="both"/>
              <w:rPr>
                <w:rFonts w:ascii="Gilroy" w:hAnsi="Gilroy" w:cstheme="majorHAnsi"/>
                <w:lang w:val="lv-LV"/>
              </w:rPr>
            </w:pPr>
            <w:r>
              <w:rPr>
                <w:rFonts w:ascii="Gilroy" w:hAnsi="Gilroy" w:cstheme="majorHAnsi"/>
                <w:lang w:val="lv-LV"/>
              </w:rPr>
              <w:t xml:space="preserve">1.2. </w:t>
            </w:r>
          </w:p>
        </w:tc>
        <w:tc>
          <w:tcPr>
            <w:tcW w:w="4819" w:type="dxa"/>
            <w:shd w:val="clear" w:color="auto" w:fill="FFFFFF" w:themeFill="background1"/>
          </w:tcPr>
          <w:p w14:paraId="5CA99BD6" w14:textId="77777777" w:rsidR="00A00FEA" w:rsidRPr="008962C1" w:rsidRDefault="00A00FEA" w:rsidP="00673F06">
            <w:pPr>
              <w:jc w:val="both"/>
              <w:rPr>
                <w:rFonts w:ascii="Gilroy" w:eastAsia="Arial Unicode MS" w:hAnsi="Gilroy" w:cs="Times New Roman"/>
                <w:lang w:val="lv-LV" w:eastAsia="en-GB"/>
              </w:rPr>
            </w:pPr>
            <w:r w:rsidRPr="008962C1">
              <w:rPr>
                <w:rFonts w:ascii="Gilroy" w:eastAsia="Arial Unicode MS" w:hAnsi="Gilroy" w:cstheme="majorBidi"/>
                <w:b/>
                <w:bCs/>
                <w:lang w:val="lv-LV" w:eastAsia="en-GB"/>
              </w:rPr>
              <w:t xml:space="preserve"> Arhitekts, </w:t>
            </w:r>
            <w:r w:rsidRPr="008962C1">
              <w:rPr>
                <w:rFonts w:ascii="Gilroy" w:eastAsia="Arial Unicode MS" w:hAnsi="Gilroy" w:cstheme="majorHAnsi"/>
                <w:lang w:val="lv-LV" w:eastAsia="en-GB"/>
              </w:rPr>
              <w:t xml:space="preserve">kuram ir sertifikāts arhitekta praksē un pieredze </w:t>
            </w:r>
            <w:r w:rsidRPr="008962C1">
              <w:rPr>
                <w:rFonts w:ascii="Gilroy" w:eastAsia="Arial Unicode MS" w:hAnsi="Gilroy" w:cstheme="majorBidi"/>
                <w:lang w:val="lv-LV" w:eastAsia="en-GB"/>
              </w:rPr>
              <w:t>ne vairāk kā 7 (septiņos) iepriekšējos gados (2018., 2019., 2020., 2021., 2022., 2023. un 2024. gadā, kā  arī periodā līdz Meta iesniegšanas dienai)</w:t>
            </w:r>
            <w:r w:rsidRPr="008962C1">
              <w:rPr>
                <w:rFonts w:ascii="Gilroy" w:eastAsia="Arial Unicode MS" w:hAnsi="Gilroy" w:cstheme="majorHAnsi"/>
                <w:lang w:val="lv-LV" w:eastAsia="en-GB"/>
              </w:rPr>
              <w:t xml:space="preserve">  </w:t>
            </w:r>
            <w:r w:rsidRPr="008962C1">
              <w:rPr>
                <w:rFonts w:ascii="Gilroy" w:eastAsia="Arial Unicode MS" w:hAnsi="Gilroy" w:cstheme="majorBidi"/>
                <w:lang w:val="lv-LV" w:eastAsia="en-GB"/>
              </w:rPr>
              <w:t>vismaz viena būvprojekta</w:t>
            </w:r>
            <w:r>
              <w:rPr>
                <w:rFonts w:ascii="Gilroy" w:eastAsia="Arial Unicode MS" w:hAnsi="Gilroy" w:cstheme="majorBidi"/>
                <w:lang w:val="lv-LV" w:eastAsia="en-GB"/>
              </w:rPr>
              <w:t xml:space="preserve"> izstrādē</w:t>
            </w:r>
            <w:r w:rsidRPr="008962C1">
              <w:rPr>
                <w:rFonts w:ascii="Gilroy" w:eastAsia="Arial Unicode MS" w:hAnsi="Gilroy" w:cstheme="majorBidi"/>
                <w:lang w:val="lv-LV" w:eastAsia="en-GB"/>
              </w:rPr>
              <w:t xml:space="preserve"> Būvniecības informācijas modelēšanas (turpmāk – BIM) vidē ar nosacījumu, ka  ir projektēta ēkas (izņemot noliktavu, garāžu, lauksaimniecības ēku, viena dzīvokļa mājas, divu dzīvokļu mājas) ar kopējo platību vismaz 1500 m</w:t>
            </w:r>
            <w:r w:rsidRPr="008962C1">
              <w:rPr>
                <w:rFonts w:ascii="Gilroy" w:eastAsia="Arial Unicode MS" w:hAnsi="Gilroy" w:cstheme="majorBidi"/>
                <w:vertAlign w:val="superscript"/>
                <w:lang w:val="lv-LV" w:eastAsia="en-GB"/>
              </w:rPr>
              <w:t>2</w:t>
            </w:r>
            <w:r w:rsidRPr="008962C1">
              <w:rPr>
                <w:rFonts w:ascii="Gilroy" w:eastAsia="Arial Unicode MS" w:hAnsi="Gilroy" w:cstheme="majorBidi"/>
                <w:lang w:val="lv-LV" w:eastAsia="en-GB"/>
              </w:rPr>
              <w:t xml:space="preserve">  izbūve  un būvprojekts </w:t>
            </w:r>
            <w:r w:rsidRPr="008962C1">
              <w:rPr>
                <w:rFonts w:ascii="Gilroy" w:eastAsia="Arial Unicode MS" w:hAnsi="Gilroy" w:cs="Times New Roman"/>
                <w:lang w:val="lv-LV" w:eastAsia="en-GB"/>
              </w:rPr>
              <w:t>ir pilnībā pabeigts un akceptēts (saņemta atzīme par projektēšanas nosacījumu izpildi) normatīvajos aktos noteiktajā kārtībā.</w:t>
            </w:r>
          </w:p>
          <w:p w14:paraId="71CC588D" w14:textId="77777777" w:rsidR="00A00FEA" w:rsidRPr="008962C1" w:rsidRDefault="00A00FEA" w:rsidP="00673F06">
            <w:pPr>
              <w:pStyle w:val="ListParagraph"/>
              <w:ind w:left="0"/>
              <w:contextualSpacing w:val="0"/>
              <w:jc w:val="both"/>
              <w:rPr>
                <w:rFonts w:ascii="Gilroy" w:hAnsi="Gilroy" w:cstheme="majorHAnsi"/>
                <w:b/>
                <w:bCs/>
              </w:rPr>
            </w:pPr>
          </w:p>
        </w:tc>
        <w:tc>
          <w:tcPr>
            <w:tcW w:w="2977" w:type="dxa"/>
            <w:shd w:val="clear" w:color="auto" w:fill="FFFFFF" w:themeFill="background1"/>
          </w:tcPr>
          <w:p w14:paraId="476E0412" w14:textId="77777777" w:rsidR="00A00FEA" w:rsidRPr="002E13FF" w:rsidRDefault="00A00FEA" w:rsidP="00673F06">
            <w:pPr>
              <w:jc w:val="both"/>
              <w:rPr>
                <w:rFonts w:ascii="Gilroy" w:hAnsi="Gilroy" w:cstheme="majorHAnsi"/>
                <w:b/>
                <w:bCs/>
                <w:lang w:val="lv-LV"/>
              </w:rPr>
            </w:pPr>
            <w:r>
              <w:rPr>
                <w:rFonts w:ascii="Gilroy" w:hAnsi="Gilroy" w:cstheme="majorHAnsi"/>
                <w:b/>
                <w:bCs/>
                <w:lang w:val="lv-LV"/>
              </w:rPr>
              <w:t>Arhitekts</w:t>
            </w:r>
          </w:p>
        </w:tc>
      </w:tr>
    </w:tbl>
    <w:p w14:paraId="0900D95D" w14:textId="77777777" w:rsidR="00A00FEA" w:rsidRPr="002E13FF" w:rsidRDefault="00A00FEA" w:rsidP="00A00FEA">
      <w:pPr>
        <w:pStyle w:val="NoSpacing"/>
        <w:spacing w:line="276" w:lineRule="auto"/>
        <w:jc w:val="both"/>
        <w:rPr>
          <w:rFonts w:ascii="Gilroy" w:hAnsi="Gilroy" w:cstheme="majorHAnsi"/>
          <w:kern w:val="2"/>
          <w:lang w:val="lv-LV" w:eastAsia="lv-LV"/>
        </w:rPr>
      </w:pPr>
    </w:p>
    <w:p w14:paraId="009F6CBA" w14:textId="77777777" w:rsidR="00A00FEA" w:rsidRPr="002E13FF" w:rsidRDefault="00A00FEA" w:rsidP="00A00FEA">
      <w:pPr>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7F1AC7ED" w14:textId="77777777" w:rsidR="00A00FEA" w:rsidRPr="002E13FF" w:rsidRDefault="00A00FEA" w:rsidP="00A00FEA">
      <w:pPr>
        <w:widowControl w:val="0"/>
        <w:suppressAutoHyphens/>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4174BD52" w14:textId="77777777" w:rsidR="00A00FEA" w:rsidRPr="002E13FF" w:rsidRDefault="00A00FEA" w:rsidP="00A00FEA">
      <w:pPr>
        <w:widowControl w:val="0"/>
        <w:suppressAutoHyphens/>
        <w:spacing w:after="120"/>
        <w:jc w:val="right"/>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r>
        <w:rPr>
          <w:rFonts w:ascii="Gilroy" w:hAnsi="Gilroy" w:cstheme="majorHAnsi"/>
          <w:kern w:val="1"/>
          <w:u w:color="000000"/>
          <w:lang w:val="lv-LV" w:eastAsia="lv-LV"/>
        </w:rPr>
        <w:t xml:space="preserve">                                     ”</w:t>
      </w:r>
    </w:p>
    <w:p w14:paraId="368FB94C" w14:textId="77777777" w:rsidR="00A00FEA" w:rsidRPr="002E13FF" w:rsidRDefault="00A00FEA" w:rsidP="00A00FEA">
      <w:pPr>
        <w:rPr>
          <w:rFonts w:ascii="Gilroy" w:hAnsi="Gilroy" w:cstheme="majorHAnsi"/>
          <w:lang w:val="lv-LV" w:eastAsia="lv-LV"/>
        </w:rPr>
      </w:pPr>
    </w:p>
    <w:p w14:paraId="42C46F87" w14:textId="77777777" w:rsidR="00A00FEA" w:rsidRPr="004C47D5" w:rsidRDefault="00A00FEA" w:rsidP="00A00FEA">
      <w:pPr>
        <w:spacing w:before="120" w:after="120"/>
        <w:jc w:val="both"/>
        <w:rPr>
          <w:rFonts w:ascii="Gilroy" w:hAnsi="Gilroy" w:cstheme="majorHAnsi"/>
          <w:lang w:val="lv-LV"/>
        </w:rPr>
      </w:pPr>
    </w:p>
    <w:p w14:paraId="32757CA3" w14:textId="04F75C7F" w:rsidR="00117921" w:rsidRDefault="00A00FEA" w:rsidP="00A00FEA">
      <w:pPr>
        <w:ind w:right="43"/>
        <w:jc w:val="both"/>
      </w:pPr>
      <w:r>
        <w:rPr>
          <w:rFonts w:ascii="Gilroy" w:hAnsi="Gilroy" w:cstheme="majorHAnsi"/>
        </w:rPr>
        <w:t xml:space="preserve">                                                                                                                                                      </w:t>
      </w:r>
    </w:p>
    <w:sectPr w:rsidR="00117921" w:rsidSect="00A00FEA">
      <w:pgSz w:w="11906" w:h="16838"/>
      <w:pgMar w:top="1440"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ro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082E"/>
    <w:multiLevelType w:val="multilevel"/>
    <w:tmpl w:val="15EEB798"/>
    <w:lvl w:ilvl="0">
      <w:start w:val="1"/>
      <w:numFmt w:val="decimal"/>
      <w:lvlText w:val="%1."/>
      <w:lvlJc w:val="left"/>
      <w:pPr>
        <w:ind w:left="542" w:hanging="360"/>
      </w:pPr>
      <w:rPr>
        <w:rFonts w:hint="default"/>
      </w:rPr>
    </w:lvl>
    <w:lvl w:ilvl="1">
      <w:start w:val="1"/>
      <w:numFmt w:val="decimal"/>
      <w:isLgl/>
      <w:lvlText w:val="%1.%2."/>
      <w:lvlJc w:val="left"/>
      <w:pPr>
        <w:ind w:left="542" w:hanging="360"/>
      </w:pPr>
      <w:rPr>
        <w:rFonts w:hint="default"/>
        <w:lang w:val="de-DE"/>
      </w:rPr>
    </w:lvl>
    <w:lvl w:ilvl="2">
      <w:start w:val="1"/>
      <w:numFmt w:val="decimal"/>
      <w:isLgl/>
      <w:lvlText w:val="%1.%2.%3."/>
      <w:lvlJc w:val="left"/>
      <w:pPr>
        <w:ind w:left="902" w:hanging="720"/>
      </w:pPr>
      <w:rPr>
        <w:rFonts w:hint="default"/>
      </w:rPr>
    </w:lvl>
    <w:lvl w:ilvl="3">
      <w:start w:val="1"/>
      <w:numFmt w:val="decimal"/>
      <w:isLgl/>
      <w:lvlText w:val="%1.%2.%3.%4."/>
      <w:lvlJc w:val="left"/>
      <w:pPr>
        <w:ind w:left="902" w:hanging="720"/>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262" w:hanging="108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982" w:hanging="1800"/>
      </w:pPr>
      <w:rPr>
        <w:rFonts w:hint="default"/>
      </w:rPr>
    </w:lvl>
  </w:abstractNum>
  <w:abstractNum w:abstractNumId="1" w15:restartNumberingAfterBreak="0">
    <w:nsid w:val="2E412C39"/>
    <w:multiLevelType w:val="hybridMultilevel"/>
    <w:tmpl w:val="E2126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BE2644"/>
    <w:multiLevelType w:val="multilevel"/>
    <w:tmpl w:val="5EB26866"/>
    <w:lvl w:ilvl="0">
      <w:start w:val="9"/>
      <w:numFmt w:val="decimal"/>
      <w:lvlText w:val="%1."/>
      <w:lvlJc w:val="left"/>
      <w:pPr>
        <w:ind w:left="585" w:hanging="585"/>
      </w:pPr>
      <w:rPr>
        <w:rFonts w:cstheme="majorBidi" w:hint="default"/>
      </w:rPr>
    </w:lvl>
    <w:lvl w:ilvl="1">
      <w:start w:val="4"/>
      <w:numFmt w:val="decimal"/>
      <w:lvlText w:val="%1.%2."/>
      <w:lvlJc w:val="left"/>
      <w:pPr>
        <w:ind w:left="868" w:hanging="585"/>
      </w:pPr>
      <w:rPr>
        <w:rFonts w:cstheme="majorBidi" w:hint="default"/>
      </w:rPr>
    </w:lvl>
    <w:lvl w:ilvl="2">
      <w:start w:val="1"/>
      <w:numFmt w:val="decimal"/>
      <w:lvlText w:val="%1.%2.%3."/>
      <w:lvlJc w:val="left"/>
      <w:pPr>
        <w:ind w:left="1286" w:hanging="720"/>
      </w:pPr>
      <w:rPr>
        <w:rFonts w:cstheme="majorBidi" w:hint="default"/>
      </w:rPr>
    </w:lvl>
    <w:lvl w:ilvl="3">
      <w:start w:val="1"/>
      <w:numFmt w:val="decimal"/>
      <w:lvlText w:val="%1.%2.%3.%4."/>
      <w:lvlJc w:val="left"/>
      <w:pPr>
        <w:ind w:left="1569" w:hanging="720"/>
      </w:pPr>
      <w:rPr>
        <w:rFonts w:cstheme="majorBidi" w:hint="default"/>
      </w:rPr>
    </w:lvl>
    <w:lvl w:ilvl="4">
      <w:start w:val="1"/>
      <w:numFmt w:val="decimal"/>
      <w:lvlText w:val="%1.%2.%3.%4.%5."/>
      <w:lvlJc w:val="left"/>
      <w:pPr>
        <w:ind w:left="2212" w:hanging="1080"/>
      </w:pPr>
      <w:rPr>
        <w:rFonts w:cstheme="majorBidi" w:hint="default"/>
      </w:rPr>
    </w:lvl>
    <w:lvl w:ilvl="5">
      <w:start w:val="1"/>
      <w:numFmt w:val="decimal"/>
      <w:lvlText w:val="%1.%2.%3.%4.%5.%6."/>
      <w:lvlJc w:val="left"/>
      <w:pPr>
        <w:ind w:left="2495" w:hanging="1080"/>
      </w:pPr>
      <w:rPr>
        <w:rFonts w:cstheme="majorBidi" w:hint="default"/>
      </w:rPr>
    </w:lvl>
    <w:lvl w:ilvl="6">
      <w:start w:val="1"/>
      <w:numFmt w:val="decimal"/>
      <w:lvlText w:val="%1.%2.%3.%4.%5.%6.%7."/>
      <w:lvlJc w:val="left"/>
      <w:pPr>
        <w:ind w:left="2778" w:hanging="1080"/>
      </w:pPr>
      <w:rPr>
        <w:rFonts w:cstheme="majorBidi" w:hint="default"/>
      </w:rPr>
    </w:lvl>
    <w:lvl w:ilvl="7">
      <w:start w:val="1"/>
      <w:numFmt w:val="decimal"/>
      <w:lvlText w:val="%1.%2.%3.%4.%5.%6.%7.%8."/>
      <w:lvlJc w:val="left"/>
      <w:pPr>
        <w:ind w:left="3421" w:hanging="1440"/>
      </w:pPr>
      <w:rPr>
        <w:rFonts w:cstheme="majorBidi" w:hint="default"/>
      </w:rPr>
    </w:lvl>
    <w:lvl w:ilvl="8">
      <w:start w:val="1"/>
      <w:numFmt w:val="decimal"/>
      <w:lvlText w:val="%1.%2.%3.%4.%5.%6.%7.%8.%9."/>
      <w:lvlJc w:val="left"/>
      <w:pPr>
        <w:ind w:left="3704" w:hanging="1440"/>
      </w:pPr>
      <w:rPr>
        <w:rFonts w:cstheme="majorBidi" w:hint="default"/>
      </w:rPr>
    </w:lvl>
  </w:abstractNum>
  <w:abstractNum w:abstractNumId="3" w15:restartNumberingAfterBreak="0">
    <w:nsid w:val="5EB34057"/>
    <w:multiLevelType w:val="multilevel"/>
    <w:tmpl w:val="28B278AA"/>
    <w:lvl w:ilvl="0">
      <w:start w:val="9"/>
      <w:numFmt w:val="decimal"/>
      <w:lvlText w:val="%1."/>
      <w:lvlJc w:val="left"/>
      <w:pPr>
        <w:ind w:left="840" w:hanging="840"/>
      </w:pPr>
      <w:rPr>
        <w:rFonts w:hint="default"/>
        <w:b/>
      </w:rPr>
    </w:lvl>
    <w:lvl w:ilvl="1">
      <w:start w:val="4"/>
      <w:numFmt w:val="decimal"/>
      <w:lvlText w:val="%1.%2."/>
      <w:lvlJc w:val="left"/>
      <w:pPr>
        <w:ind w:left="1123" w:hanging="840"/>
      </w:pPr>
      <w:rPr>
        <w:rFonts w:hint="default"/>
        <w:b/>
      </w:rPr>
    </w:lvl>
    <w:lvl w:ilvl="2">
      <w:start w:val="2"/>
      <w:numFmt w:val="decimal"/>
      <w:lvlText w:val="%1.%2.%3."/>
      <w:lvlJc w:val="left"/>
      <w:pPr>
        <w:ind w:left="1406" w:hanging="840"/>
      </w:pPr>
      <w:rPr>
        <w:rFonts w:hint="default"/>
        <w:b/>
      </w:rPr>
    </w:lvl>
    <w:lvl w:ilvl="3">
      <w:start w:val="1"/>
      <w:numFmt w:val="decimal"/>
      <w:lvlText w:val="%1.%2.%3.%4."/>
      <w:lvlJc w:val="left"/>
      <w:pPr>
        <w:ind w:left="1929" w:hanging="1080"/>
      </w:pPr>
      <w:rPr>
        <w:rFonts w:hint="default"/>
        <w:b w:val="0"/>
        <w:bCs/>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num w:numId="1" w16cid:durableId="1747799543">
    <w:abstractNumId w:val="0"/>
  </w:num>
  <w:num w:numId="2" w16cid:durableId="1423448528">
    <w:abstractNumId w:val="2"/>
  </w:num>
  <w:num w:numId="3" w16cid:durableId="441918605">
    <w:abstractNumId w:val="1"/>
  </w:num>
  <w:num w:numId="4" w16cid:durableId="38015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EA"/>
    <w:rsid w:val="00117921"/>
    <w:rsid w:val="00143EAE"/>
    <w:rsid w:val="00352C29"/>
    <w:rsid w:val="00441D48"/>
    <w:rsid w:val="009E64FF"/>
    <w:rsid w:val="00A00FEA"/>
    <w:rsid w:val="00B00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7F5A"/>
  <w15:chartTrackingRefBased/>
  <w15:docId w15:val="{FDF7424A-A66A-4016-9854-BA27B2E6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EA"/>
    <w:rPr>
      <w:kern w:val="0"/>
      <w:lang w:val="de-DE"/>
      <w14:ligatures w14:val="none"/>
    </w:rPr>
  </w:style>
  <w:style w:type="paragraph" w:styleId="Heading1">
    <w:name w:val="heading 1"/>
    <w:basedOn w:val="Normal"/>
    <w:next w:val="Normal"/>
    <w:link w:val="Heading1Char"/>
    <w:uiPriority w:val="9"/>
    <w:qFormat/>
    <w:rsid w:val="00A0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FEA"/>
    <w:rPr>
      <w:rFonts w:eastAsiaTheme="majorEastAsia" w:cstheme="majorBidi"/>
      <w:color w:val="272727" w:themeColor="text1" w:themeTint="D8"/>
    </w:rPr>
  </w:style>
  <w:style w:type="paragraph" w:styleId="Title">
    <w:name w:val="Title"/>
    <w:basedOn w:val="Normal"/>
    <w:next w:val="Normal"/>
    <w:link w:val="TitleChar"/>
    <w:uiPriority w:val="10"/>
    <w:qFormat/>
    <w:rsid w:val="00A0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FEA"/>
    <w:pPr>
      <w:spacing w:before="160"/>
      <w:jc w:val="center"/>
    </w:pPr>
    <w:rPr>
      <w:i/>
      <w:iCs/>
      <w:color w:val="404040" w:themeColor="text1" w:themeTint="BF"/>
    </w:rPr>
  </w:style>
  <w:style w:type="character" w:customStyle="1" w:styleId="QuoteChar">
    <w:name w:val="Quote Char"/>
    <w:basedOn w:val="DefaultParagraphFont"/>
    <w:link w:val="Quote"/>
    <w:uiPriority w:val="29"/>
    <w:rsid w:val="00A00FEA"/>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list paragraph,h&amp;p list paragraph,saistīto dokumentu saraksts,syle 1,list paragraph1,numurets,Dot"/>
    <w:basedOn w:val="Normal"/>
    <w:link w:val="ListParagraphChar"/>
    <w:uiPriority w:val="34"/>
    <w:qFormat/>
    <w:rsid w:val="00A00FEA"/>
    <w:pPr>
      <w:ind w:left="720"/>
      <w:contextualSpacing/>
    </w:pPr>
  </w:style>
  <w:style w:type="character" w:styleId="IntenseEmphasis">
    <w:name w:val="Intense Emphasis"/>
    <w:basedOn w:val="DefaultParagraphFont"/>
    <w:uiPriority w:val="21"/>
    <w:qFormat/>
    <w:rsid w:val="00A00FEA"/>
    <w:rPr>
      <w:i/>
      <w:iCs/>
      <w:color w:val="0F4761" w:themeColor="accent1" w:themeShade="BF"/>
    </w:rPr>
  </w:style>
  <w:style w:type="paragraph" w:styleId="IntenseQuote">
    <w:name w:val="Intense Quote"/>
    <w:basedOn w:val="Normal"/>
    <w:next w:val="Normal"/>
    <w:link w:val="IntenseQuoteChar"/>
    <w:uiPriority w:val="30"/>
    <w:qFormat/>
    <w:rsid w:val="00A0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FEA"/>
    <w:rPr>
      <w:i/>
      <w:iCs/>
      <w:color w:val="0F4761" w:themeColor="accent1" w:themeShade="BF"/>
    </w:rPr>
  </w:style>
  <w:style w:type="character" w:styleId="IntenseReference">
    <w:name w:val="Intense Reference"/>
    <w:basedOn w:val="DefaultParagraphFont"/>
    <w:uiPriority w:val="32"/>
    <w:qFormat/>
    <w:rsid w:val="00A00FEA"/>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Char,syle 1 Char,Dot Char"/>
    <w:link w:val="ListParagraph"/>
    <w:uiPriority w:val="34"/>
    <w:qFormat/>
    <w:locked/>
    <w:rsid w:val="00A00FEA"/>
  </w:style>
  <w:style w:type="table" w:styleId="TableGrid">
    <w:name w:val="Table Grid"/>
    <w:basedOn w:val="TableNormal"/>
    <w:uiPriority w:val="39"/>
    <w:rsid w:val="00A00F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0FEA"/>
    <w:pPr>
      <w:spacing w:after="0" w:line="240" w:lineRule="auto"/>
    </w:pPr>
    <w:rPr>
      <w:rFonts w:ascii="Times New Roman" w:eastAsia="Arial Unicode MS"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0FEA"/>
    <w:pPr>
      <w:spacing w:after="0" w:line="240" w:lineRule="auto"/>
    </w:pPr>
    <w:rPr>
      <w:kern w:val="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BEB7FC-77A5-4B54-A8E5-CE1B240D8F55}"/>
</file>

<file path=customXml/itemProps2.xml><?xml version="1.0" encoding="utf-8"?>
<ds:datastoreItem xmlns:ds="http://schemas.openxmlformats.org/officeDocument/2006/customXml" ds:itemID="{BF64232B-1793-49CE-8F2E-807D3E13A7F3}"/>
</file>

<file path=customXml/itemProps3.xml><?xml version="1.0" encoding="utf-8"?>
<ds:datastoreItem xmlns:ds="http://schemas.openxmlformats.org/officeDocument/2006/customXml" ds:itemID="{CD9C0A6D-13A4-4141-ADEF-FA2E21B6823A}"/>
</file>

<file path=docProps/app.xml><?xml version="1.0" encoding="utf-8"?>
<Properties xmlns="http://schemas.openxmlformats.org/officeDocument/2006/extended-properties" xmlns:vt="http://schemas.openxmlformats.org/officeDocument/2006/docPropsVTypes">
  <Template>Normal</Template>
  <TotalTime>1</TotalTime>
  <Pages>4</Pages>
  <Words>4763</Words>
  <Characters>2716</Characters>
  <Application>Microsoft Office Word</Application>
  <DocSecurity>4</DocSecurity>
  <Lines>22</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Novika</dc:creator>
  <cp:keywords/>
  <dc:description/>
  <cp:lastModifiedBy>Māra Volkova</cp:lastModifiedBy>
  <cp:revision>2</cp:revision>
  <dcterms:created xsi:type="dcterms:W3CDTF">2025-05-16T06:42:00Z</dcterms:created>
  <dcterms:modified xsi:type="dcterms:W3CDTF">2025-05-16T06:42:00Z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