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4D9B"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14.2</w:t>
      </w:r>
    </w:p>
    <w:p w14:paraId="665A26B2"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Purchaser's insurance requirements:</w:t>
      </w:r>
    </w:p>
    <w:p w14:paraId="2B8B7061"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a.</w:t>
      </w:r>
    </w:p>
    <w:p w14:paraId="1F62FA6E"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provide and maintain in full force for the duration of the Contract (unless specified otherwise) the following insurance coverage:</w:t>
      </w:r>
    </w:p>
    <w:p w14:paraId="332E027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w:t>
      </w:r>
    </w:p>
    <w:p w14:paraId="0722358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Workers' Compensation and any other statutory insurance required by Applicable Law with respect to work-related injuries or disease of employees of Purchaser applicable to Purchaser's employees in such form(s) and amount(s) as required by Applicable Law, and Employer's Liability Coverage with limits of no less than EUR 1,000,000 per occurrence for bodily injury and for bodily injury by disease, and EUR 1,000,000 in the aggregate for bodily injury by disease.</w:t>
      </w:r>
    </w:p>
    <w:p w14:paraId="466D2848" w14:textId="5E47F92F"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ii</w:t>
      </w:r>
      <w:r w:rsidR="002444AF">
        <w:rPr>
          <w:rFonts w:ascii="Times New Roman" w:hAnsi="Times New Roman" w:cs="Times New Roman"/>
          <w:lang w:val="en-GB"/>
        </w:rPr>
        <w:t xml:space="preserve"> </w:t>
      </w:r>
    </w:p>
    <w:p w14:paraId="64AF25A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Commercial General Liability insurance, in broad form including products-completed operations coverage and coverage for liability assumed under contract, providing coverage for bodily injury and property damage with limits of no less than EUR 2,000,000 per occurrence and EUR 5,000,000 in the aggregate cumulative total of underlying and excess or umbrella coverages.</w:t>
      </w:r>
    </w:p>
    <w:p w14:paraId="46CEAE58"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iv</w:t>
      </w:r>
    </w:p>
    <w:p w14:paraId="69953C84"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 xml:space="preserve">Property insurance providing coverage for all risks of loss on a replacement cost value basis, with limits sufficient to fund full replacement cost. </w:t>
      </w:r>
    </w:p>
    <w:p w14:paraId="5434BD08" w14:textId="0AD35CA1"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 xml:space="preserve">© 2024 | </w:t>
      </w:r>
      <w:hyperlink r:id="rId4" w:history="1">
        <w:r w:rsidRPr="00C739B8">
          <w:rPr>
            <w:rStyle w:val="Hipersaite"/>
            <w:rFonts w:ascii="Times New Roman" w:hAnsi="Times New Roman" w:cs="Times New Roman"/>
            <w:lang w:val="en-GB"/>
          </w:rPr>
          <w:t>www.nelhydrogen.com</w:t>
        </w:r>
      </w:hyperlink>
      <w:r w:rsidRPr="00C739B8">
        <w:rPr>
          <w:rFonts w:ascii="Times New Roman" w:hAnsi="Times New Roman" w:cs="Times New Roman"/>
          <w:lang w:val="en-GB"/>
        </w:rPr>
        <w:t xml:space="preserve"> 17 of 25</w:t>
      </w:r>
    </w:p>
    <w:p w14:paraId="2695C347" w14:textId="34EF0A19"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Nel proprietary. This document and its accompanying elements contain information which is proprietary and confidential and the property of Nel ASA and/or its affiliates. Any disclosure, copying, distribution or use is prohibited if not otherwise explicitly agreed with Nel in writing. Any authorized reproduction, in whole or in part, must include this legend. © 2010-2024 Nel – All rights</w:t>
      </w:r>
    </w:p>
    <w:p w14:paraId="5A715036"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b.</w:t>
      </w:r>
    </w:p>
    <w:p w14:paraId="481F0427"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provide Supplier, upon request, with certificates of insurance showing policy coverage and limits for policies required under clause 28.2(a).</w:t>
      </w:r>
    </w:p>
    <w:p w14:paraId="68EF3285"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c.</w:t>
      </w:r>
    </w:p>
    <w:p w14:paraId="3B71F6CD"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 xml:space="preserve">All liability insurance coverages (except for Workers' Compensation) required herein to be provided and maintained by Purchaser shall (i) contain a "separation of insureds" or cross-liability coverage feature and (ii) name the members of the Supplier Group as additional insureds, such "additional insured" coverage to (a) insure the members of the Supplier Group with respect to damages "arising out of" Purchaser's work, (b) apply to </w:t>
      </w:r>
      <w:r w:rsidRPr="00C739B8">
        <w:rPr>
          <w:rFonts w:ascii="Times New Roman" w:hAnsi="Times New Roman" w:cs="Times New Roman"/>
          <w:lang w:val="en-GB"/>
        </w:rPr>
        <w:lastRenderedPageBreak/>
        <w:t>ongoing operations, (c) apply to completed operations, and (d) apply on a primary and non-contributory basis with respect to any other applicable coverage maintained by the Supplier Group. All first-party insurance coverages shall name the members of the Supplier Group as loss payees; and, Purchaser shall waive its right of subrogation and shall cause its insurer(s) to waive the right of subrogation against members of the Supplier Group with respect to all required insurance coverages and policies.</w:t>
      </w:r>
    </w:p>
    <w:p w14:paraId="1E15F23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d.</w:t>
      </w:r>
    </w:p>
    <w:p w14:paraId="4AF8DB80"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Purchaser shall cause all other contractors and subcontractors performing work at the Site to carry similar insurance coverage and limits (excluding Builder's All Risk insurance), which policies shall also name the members of the Supplier Group as additional insureds (for liability insurance coverages) and loss payees (for first-party insurance coverages) and shall include waivers of the right of subrogation against members of the Supplier Group as contemplated under clause 27.2(c).</w:t>
      </w:r>
    </w:p>
    <w:p w14:paraId="4809A2F4"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e.</w:t>
      </w:r>
    </w:p>
    <w:p w14:paraId="34BD423C"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Notwithstanding any other provision herein to the contrary, including Supplier's indemnification obligations under clause 12.1, Purchaser shall be solely responsible for any and all deductibles and/or retention amounts under the insurance policies required to be provided and maintained by Purchaser under this clause 28.2 and Supplier shall have no responsibility or liability therefor under the Contract, whether by indemnity or otherwise.</w:t>
      </w:r>
    </w:p>
    <w:p w14:paraId="5BA2B83C"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14.3</w:t>
      </w:r>
    </w:p>
    <w:p w14:paraId="0C82B7BB" w14:textId="77777777" w:rsidR="00221020" w:rsidRPr="00C739B8" w:rsidRDefault="00221020" w:rsidP="00221020">
      <w:pPr>
        <w:jc w:val="both"/>
        <w:rPr>
          <w:rFonts w:ascii="Times New Roman" w:hAnsi="Times New Roman" w:cs="Times New Roman"/>
          <w:lang w:val="en-GB"/>
        </w:rPr>
      </w:pPr>
      <w:r w:rsidRPr="00C739B8">
        <w:rPr>
          <w:rFonts w:ascii="Times New Roman" w:hAnsi="Times New Roman" w:cs="Times New Roman"/>
          <w:lang w:val="en-GB"/>
        </w:rPr>
        <w:t>The Parties shall procure and maintain, or cause to be procured and maintained, in full force and effect, insurance that meets the requirements set forth in the Contract and identified as Supplier's or Purchaser's responsibility, as applicable, with one or more duly licensed insurance carriers. The failure of a Party to procure and maintain or cause to be procured and maintained such insurance and/or meet the requirements in connection therewith set forth in the Contract shall constitute a material breach of the Contract by the Party failing to do so and, in such case, the non-breaching Party shall be entitled to recover all Losses that it may incur or that may arise as a result of such breach, which Losses for the purpose of the Contract shall be deemed to be damages of the non-breaching Party. For the avoidance of doubt, any such damages shall be subject to the limitations set forth in Article 13.</w:t>
      </w:r>
    </w:p>
    <w:p w14:paraId="574F071E" w14:textId="77777777" w:rsidR="00221020" w:rsidRPr="00C739B8" w:rsidRDefault="00221020" w:rsidP="00221020">
      <w:pPr>
        <w:jc w:val="both"/>
        <w:rPr>
          <w:rFonts w:ascii="Times New Roman" w:hAnsi="Times New Roman" w:cs="Times New Roman"/>
          <w:lang w:val="en-GB"/>
        </w:rPr>
      </w:pPr>
    </w:p>
    <w:sectPr w:rsidR="00221020" w:rsidRPr="00C739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20"/>
    <w:rsid w:val="00221020"/>
    <w:rsid w:val="00243B55"/>
    <w:rsid w:val="002444AF"/>
    <w:rsid w:val="00525D65"/>
    <w:rsid w:val="00590D01"/>
    <w:rsid w:val="00714F5F"/>
    <w:rsid w:val="00BF3CE5"/>
    <w:rsid w:val="00C739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A0A0"/>
  <w15:chartTrackingRefBased/>
  <w15:docId w15:val="{D1F7AE47-AA29-4ACB-AE78-0469111F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2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2102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2102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102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10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10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10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10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102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2102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2102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2102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2102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210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10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10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10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10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10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10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10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1020"/>
    <w:rPr>
      <w:i/>
      <w:iCs/>
      <w:color w:val="404040" w:themeColor="text1" w:themeTint="BF"/>
    </w:rPr>
  </w:style>
  <w:style w:type="paragraph" w:styleId="Sarakstarindkopa">
    <w:name w:val="List Paragraph"/>
    <w:basedOn w:val="Parasts"/>
    <w:uiPriority w:val="34"/>
    <w:qFormat/>
    <w:rsid w:val="00221020"/>
    <w:pPr>
      <w:ind w:left="720"/>
      <w:contextualSpacing/>
    </w:pPr>
  </w:style>
  <w:style w:type="character" w:styleId="Intensvsizclums">
    <w:name w:val="Intense Emphasis"/>
    <w:basedOn w:val="Noklusjumarindkopasfonts"/>
    <w:uiPriority w:val="21"/>
    <w:qFormat/>
    <w:rsid w:val="00221020"/>
    <w:rPr>
      <w:i/>
      <w:iCs/>
      <w:color w:val="0F4761" w:themeColor="accent1" w:themeShade="BF"/>
    </w:rPr>
  </w:style>
  <w:style w:type="paragraph" w:styleId="Intensvscitts">
    <w:name w:val="Intense Quote"/>
    <w:basedOn w:val="Parasts"/>
    <w:next w:val="Parasts"/>
    <w:link w:val="IntensvscittsRakstz"/>
    <w:uiPriority w:val="30"/>
    <w:qFormat/>
    <w:rsid w:val="0022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1020"/>
    <w:rPr>
      <w:i/>
      <w:iCs/>
      <w:color w:val="0F4761" w:themeColor="accent1" w:themeShade="BF"/>
    </w:rPr>
  </w:style>
  <w:style w:type="character" w:styleId="Intensvaatsauce">
    <w:name w:val="Intense Reference"/>
    <w:basedOn w:val="Noklusjumarindkopasfonts"/>
    <w:uiPriority w:val="32"/>
    <w:qFormat/>
    <w:rsid w:val="00221020"/>
    <w:rPr>
      <w:b/>
      <w:bCs/>
      <w:smallCaps/>
      <w:color w:val="0F4761" w:themeColor="accent1" w:themeShade="BF"/>
      <w:spacing w:val="5"/>
    </w:rPr>
  </w:style>
  <w:style w:type="character" w:styleId="Hipersaite">
    <w:name w:val="Hyperlink"/>
    <w:basedOn w:val="Noklusjumarindkopasfonts"/>
    <w:uiPriority w:val="99"/>
    <w:unhideWhenUsed/>
    <w:rsid w:val="00221020"/>
    <w:rPr>
      <w:color w:val="467886" w:themeColor="hyperlink"/>
      <w:u w:val="single"/>
    </w:rPr>
  </w:style>
  <w:style w:type="character" w:styleId="Neatrisintapieminana">
    <w:name w:val="Unresolved Mention"/>
    <w:basedOn w:val="Noklusjumarindkopasfonts"/>
    <w:uiPriority w:val="99"/>
    <w:semiHidden/>
    <w:unhideWhenUsed/>
    <w:rsid w:val="0022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2895">
      <w:bodyDiv w:val="1"/>
      <w:marLeft w:val="0"/>
      <w:marRight w:val="0"/>
      <w:marTop w:val="0"/>
      <w:marBottom w:val="0"/>
      <w:divBdr>
        <w:top w:val="none" w:sz="0" w:space="0" w:color="auto"/>
        <w:left w:val="none" w:sz="0" w:space="0" w:color="auto"/>
        <w:bottom w:val="none" w:sz="0" w:space="0" w:color="auto"/>
        <w:right w:val="none" w:sz="0" w:space="0" w:color="auto"/>
      </w:divBdr>
    </w:div>
    <w:div w:id="20614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lhydrogen.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2936</Words>
  <Characters>1674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4</cp:revision>
  <dcterms:created xsi:type="dcterms:W3CDTF">2026-01-15T09:20:00Z</dcterms:created>
  <dcterms:modified xsi:type="dcterms:W3CDTF">2026-02-11T12:40:00Z</dcterms:modified>
</cp:coreProperties>
</file>