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35826CEC" w14:textId="1317BA12" w:rsidR="00F32214" w:rsidRDefault="00487FE3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elektroiekārtu mērierīču</w:t>
      </w:r>
      <w:r w:rsidR="00F80E02" w:rsidRPr="00F80E02">
        <w:rPr>
          <w:rFonts w:ascii="Times New Roman" w:hAnsi="Times New Roman" w:cs="Times New Roman"/>
          <w:i/>
          <w:iCs/>
          <w:sz w:val="24"/>
          <w:szCs w:val="24"/>
        </w:rPr>
        <w:t xml:space="preserve"> piegāde</w:t>
      </w:r>
    </w:p>
    <w:p w14:paraId="5D122149" w14:textId="77777777" w:rsidR="00F80E02" w:rsidRDefault="00F80E0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ām.</w:t>
      </w:r>
    </w:p>
    <w:p w14:paraId="05B5F0DA" w14:textId="72732796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10330135" w14:textId="379B4B58" w:rsidR="00DA1F94" w:rsidRDefault="00DA1F94" w:rsidP="00DA1F9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nodarbojas ar elektroiekārtu mērierīču tirdzniecību un uzņemas garantijas saistības attiecībā uz šīm mērierīcēm.</w:t>
      </w:r>
    </w:p>
    <w:p w14:paraId="313693A0" w14:textId="789F3EA4" w:rsidR="00DA1F94" w:rsidRDefault="00DA1F94" w:rsidP="00DA1F9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 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901BC5B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DA1F9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C27F8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C27F84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5F950D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A1F9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C27F84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C27F84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28F46B" w14:textId="5F6A6FAA" w:rsidR="00EB3E5D" w:rsidRPr="003948F5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</w:p>
    <w:p w14:paraId="2D359253" w14:textId="1D3E0766" w:rsidR="00EB3E5D" w:rsidRPr="00BB40B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667E288E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dokumentā „Tehniskā specifikācija</w:t>
      </w:r>
      <w:r w:rsidR="008264E4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1E1EA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264E4">
        <w:rPr>
          <w:rFonts w:ascii="Times New Roman" w:hAnsi="Times New Roman" w:cs="Times New Roman"/>
          <w:bCs/>
          <w:sz w:val="24"/>
          <w:szCs w:val="24"/>
          <w:lang w:eastAsia="ar-SA"/>
        </w:rPr>
        <w:t>f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inanšu piedāvājums</w:t>
      </w:r>
      <w:r w:rsidR="008264E4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5CE97A" w14:textId="07B63D32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0AFD2CFB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77E7F664" w:rsidR="007D3757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C057B5">
        <w:rPr>
          <w:rFonts w:ascii="Times New Roman" w:hAnsi="Times New Roman"/>
          <w:b/>
          <w:bCs/>
          <w:sz w:val="24"/>
          <w:szCs w:val="24"/>
        </w:rPr>
        <w:t>4</w:t>
      </w:r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Piedāvājumu vērtēšanas kritēriji: zemākā cena</w:t>
      </w:r>
      <w:r w:rsidR="002E3844">
        <w:rPr>
          <w:rFonts w:ascii="Times New Roman" w:hAnsi="Times New Roman"/>
          <w:sz w:val="24"/>
          <w:szCs w:val="24"/>
        </w:rPr>
        <w:t>, piegādes termiņi</w:t>
      </w:r>
      <w:r w:rsidR="00C33697">
        <w:rPr>
          <w:rFonts w:ascii="Times New Roman" w:hAnsi="Times New Roman"/>
          <w:sz w:val="24"/>
          <w:szCs w:val="24"/>
        </w:rPr>
        <w:t>, mērierīču verifikācijas iespējas</w:t>
      </w:r>
      <w:r>
        <w:rPr>
          <w:rFonts w:ascii="Times New Roman" w:hAnsi="Times New Roman"/>
          <w:sz w:val="24"/>
          <w:szCs w:val="24"/>
        </w:rPr>
        <w:t>.</w:t>
      </w: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99E04" w14:textId="77777777" w:rsidR="00C27F84" w:rsidRDefault="00C27F84" w:rsidP="00F150DE">
      <w:pPr>
        <w:spacing w:after="0" w:line="240" w:lineRule="auto"/>
      </w:pPr>
      <w:r>
        <w:separator/>
      </w:r>
    </w:p>
  </w:endnote>
  <w:endnote w:type="continuationSeparator" w:id="0">
    <w:p w14:paraId="3BD7805F" w14:textId="77777777" w:rsidR="00C27F84" w:rsidRDefault="00C27F84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E1574" w14:textId="77777777" w:rsidR="00C27F84" w:rsidRDefault="00C27F84" w:rsidP="00F150DE">
      <w:pPr>
        <w:spacing w:after="0" w:line="240" w:lineRule="auto"/>
      </w:pPr>
      <w:r>
        <w:separator/>
      </w:r>
    </w:p>
  </w:footnote>
  <w:footnote w:type="continuationSeparator" w:id="0">
    <w:p w14:paraId="37535EFF" w14:textId="77777777" w:rsidR="00C27F84" w:rsidRDefault="00C27F84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5BA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5330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87FE3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501DE6"/>
    <w:rsid w:val="00502BE7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5991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64E4"/>
    <w:rsid w:val="008271BF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40C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27F84"/>
    <w:rsid w:val="00C33697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1F94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3C8D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97284E-DC82-4177-AA3F-65E8D4C4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Nora Vikmane</cp:lastModifiedBy>
  <cp:revision>99</cp:revision>
  <dcterms:created xsi:type="dcterms:W3CDTF">2021-10-21T08:43:00Z</dcterms:created>
  <dcterms:modified xsi:type="dcterms:W3CDTF">2022-08-09T06:38:00Z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