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AFFC" w14:textId="1B1A3855" w:rsidR="00B322E7" w:rsidRPr="001F0B7B" w:rsidRDefault="00B322E7" w:rsidP="001F0B7B">
      <w:pPr>
        <w:ind w:left="720" w:hanging="153"/>
        <w:jc w:val="right"/>
        <w:rPr>
          <w:rFonts w:ascii="Times New Roman" w:hAnsi="Times New Roman" w:cs="Times New Roman"/>
          <w:sz w:val="20"/>
          <w:szCs w:val="20"/>
        </w:rPr>
      </w:pPr>
      <w:r>
        <w:rPr>
          <w:rFonts w:ascii="Times New Roman" w:hAnsi="Times New Roman" w:cs="Times New Roman"/>
          <w:sz w:val="20"/>
          <w:szCs w:val="20"/>
        </w:rPr>
        <w:t xml:space="preserve">              </w:t>
      </w:r>
      <w:r w:rsidR="004E174E" w:rsidRPr="00B322E7">
        <w:rPr>
          <w:rFonts w:ascii="Times New Roman" w:hAnsi="Times New Roman" w:cs="Times New Roman"/>
          <w:sz w:val="20"/>
          <w:szCs w:val="20"/>
        </w:rPr>
        <w:t>1.pielikums</w:t>
      </w:r>
    </w:p>
    <w:tbl>
      <w:tblPr>
        <w:tblStyle w:val="Reatabula"/>
        <w:tblW w:w="10065" w:type="dxa"/>
        <w:tblInd w:w="-572" w:type="dxa"/>
        <w:tblLook w:val="04A0" w:firstRow="1" w:lastRow="0" w:firstColumn="1" w:lastColumn="0" w:noHBand="0" w:noVBand="1"/>
      </w:tblPr>
      <w:tblGrid>
        <w:gridCol w:w="1590"/>
        <w:gridCol w:w="8475"/>
      </w:tblGrid>
      <w:tr w:rsidR="00965370" w:rsidRPr="008628F1" w14:paraId="34E99F05" w14:textId="77777777" w:rsidTr="00F50795">
        <w:trPr>
          <w:trHeight w:val="454"/>
        </w:trPr>
        <w:tc>
          <w:tcPr>
            <w:tcW w:w="10065" w:type="dxa"/>
            <w:gridSpan w:val="2"/>
            <w:shd w:val="clear" w:color="auto" w:fill="DEEAF6" w:themeFill="accent5" w:themeFillTint="33"/>
            <w:vAlign w:val="center"/>
          </w:tcPr>
          <w:p w14:paraId="1A6878A9" w14:textId="43667C18" w:rsidR="00B322E7" w:rsidRPr="008628F1" w:rsidRDefault="00965370" w:rsidP="00B322E7">
            <w:pPr>
              <w:ind w:left="720" w:hanging="153"/>
              <w:jc w:val="center"/>
              <w:rPr>
                <w:rFonts w:ascii="Times New Roman" w:hAnsi="Times New Roman" w:cs="Times New Roman"/>
                <w:b/>
                <w:bCs/>
              </w:rPr>
            </w:pPr>
            <w:r w:rsidRPr="008628F1">
              <w:rPr>
                <w:rFonts w:ascii="Times New Roman" w:hAnsi="Times New Roman" w:cs="Times New Roman"/>
                <w:b/>
                <w:bCs/>
              </w:rPr>
              <w:t>TEHNISKĀ SPECIFIKĀCIJA</w:t>
            </w:r>
          </w:p>
        </w:tc>
      </w:tr>
      <w:tr w:rsidR="00B322E7" w:rsidRPr="008628F1" w14:paraId="64E7DC71" w14:textId="77777777" w:rsidTr="00F50795">
        <w:trPr>
          <w:trHeight w:val="454"/>
        </w:trPr>
        <w:tc>
          <w:tcPr>
            <w:tcW w:w="10065" w:type="dxa"/>
            <w:gridSpan w:val="2"/>
            <w:shd w:val="clear" w:color="auto" w:fill="DEEAF6" w:themeFill="accent5" w:themeFillTint="33"/>
            <w:vAlign w:val="center"/>
          </w:tcPr>
          <w:p w14:paraId="785EB8E3" w14:textId="18127FB4" w:rsidR="00B322E7" w:rsidRPr="00B322E7" w:rsidRDefault="00B322E7" w:rsidP="00B322E7">
            <w:pPr>
              <w:jc w:val="center"/>
              <w:rPr>
                <w:rFonts w:ascii="Times New Roman" w:hAnsi="Times New Roman" w:cs="Times New Roman"/>
                <w:b/>
                <w:bCs/>
                <w:szCs w:val="28"/>
              </w:rPr>
            </w:pPr>
            <w:r w:rsidRPr="008628F1">
              <w:rPr>
                <w:rFonts w:ascii="Times New Roman" w:hAnsi="Times New Roman" w:cs="Times New Roman"/>
                <w:b/>
                <w:bCs/>
                <w:szCs w:val="28"/>
              </w:rPr>
              <w:t>Telpu un teritoriju uzkopšanas tehnikas remonts</w:t>
            </w:r>
          </w:p>
        </w:tc>
      </w:tr>
      <w:tr w:rsidR="00965370" w:rsidRPr="008628F1" w14:paraId="129C7600" w14:textId="77777777" w:rsidTr="00F50795">
        <w:trPr>
          <w:trHeight w:val="2154"/>
        </w:trPr>
        <w:tc>
          <w:tcPr>
            <w:tcW w:w="1590" w:type="dxa"/>
            <w:vAlign w:val="center"/>
          </w:tcPr>
          <w:p w14:paraId="0186626E" w14:textId="77777777" w:rsidR="00965370" w:rsidRPr="008628F1" w:rsidRDefault="00965370" w:rsidP="00F50795">
            <w:pPr>
              <w:jc w:val="center"/>
              <w:rPr>
                <w:rFonts w:ascii="Times New Roman" w:hAnsi="Times New Roman" w:cs="Times New Roman"/>
                <w:b/>
                <w:bCs/>
                <w:sz w:val="24"/>
                <w:szCs w:val="24"/>
              </w:rPr>
            </w:pPr>
            <w:r w:rsidRPr="008628F1">
              <w:rPr>
                <w:rFonts w:ascii="Times New Roman" w:hAnsi="Times New Roman" w:cs="Times New Roman"/>
                <w:b/>
                <w:bCs/>
                <w:sz w:val="24"/>
                <w:szCs w:val="24"/>
              </w:rPr>
              <w:t>Pakalpojuma apraksts</w:t>
            </w:r>
          </w:p>
        </w:tc>
        <w:tc>
          <w:tcPr>
            <w:tcW w:w="8475" w:type="dxa"/>
          </w:tcPr>
          <w:p w14:paraId="1B7AC0BF" w14:textId="77777777" w:rsidR="00965370" w:rsidRPr="008628F1" w:rsidRDefault="00965370" w:rsidP="00017C1A">
            <w:pPr>
              <w:pStyle w:val="Kjene"/>
              <w:widowControl w:val="0"/>
              <w:tabs>
                <w:tab w:val="clear" w:pos="4153"/>
                <w:tab w:val="clear" w:pos="8306"/>
                <w:tab w:val="left" w:pos="205"/>
              </w:tabs>
              <w:spacing w:before="120" w:after="120"/>
              <w:jc w:val="both"/>
              <w:rPr>
                <w:rFonts w:ascii="Times New Roman" w:hAnsi="Times New Roman"/>
                <w:szCs w:val="24"/>
              </w:rPr>
            </w:pPr>
            <w:r w:rsidRPr="008628F1">
              <w:rPr>
                <w:rFonts w:ascii="Times New Roman" w:hAnsi="Times New Roman"/>
                <w:szCs w:val="24"/>
              </w:rPr>
              <w:t>Iepirkuma priekšmets ir Pasūtītāja valdījumā esošajos infrastruktūras objektos izmantojamo telpu un teritoriju uzkopšanai izmantoto iekārtu (turpmāk tekstā – Iekārtu) remonts - pakalpojums, kas ietver iekārtu remontu, uz vietas Pasūtītāja telpās vai Iekārtu pārvietošanu uz/no remontdarbu nodrošināšanas vietu, iekārtu izjaukšanu un salikšanu, defektāciju (defekta/-u apzināšana, apsekošana, rašanās iemeslu noteikšana un priekšlikumi to novēršanai), rezerves daļas, to nomaiņu un visi nepieciešami pakalpojumi, kas nodrošina Iekārtu gatavību savu funkciju izpildei (turpmāk – Pakalpojums).</w:t>
            </w:r>
          </w:p>
          <w:p w14:paraId="4F412E5D" w14:textId="3ED2422C" w:rsidR="00965370" w:rsidRPr="008628F1" w:rsidRDefault="00965370" w:rsidP="00017C1A">
            <w:pPr>
              <w:pStyle w:val="Kjene"/>
              <w:widowControl w:val="0"/>
              <w:tabs>
                <w:tab w:val="clear" w:pos="4153"/>
                <w:tab w:val="clear" w:pos="8306"/>
                <w:tab w:val="left" w:pos="205"/>
              </w:tabs>
              <w:spacing w:before="120" w:after="120"/>
              <w:jc w:val="both"/>
              <w:rPr>
                <w:rFonts w:ascii="Times New Roman" w:hAnsi="Times New Roman"/>
                <w:szCs w:val="24"/>
              </w:rPr>
            </w:pPr>
            <w:r w:rsidRPr="008628F1">
              <w:rPr>
                <w:rFonts w:ascii="Times New Roman" w:hAnsi="Times New Roman"/>
                <w:szCs w:val="24"/>
              </w:rPr>
              <w:t xml:space="preserve">Iekārtu, kam plānoti nepieciešamie Pakalpojumi, sarakstu skatīt </w:t>
            </w:r>
            <w:r w:rsidR="00F50795">
              <w:rPr>
                <w:rFonts w:ascii="Times New Roman" w:eastAsia="Calibri" w:hAnsi="Times New Roman"/>
                <w:szCs w:val="24"/>
              </w:rPr>
              <w:t>2.pielikumā.</w:t>
            </w:r>
          </w:p>
        </w:tc>
      </w:tr>
      <w:tr w:rsidR="00965370" w:rsidRPr="008628F1" w14:paraId="18ABDE88" w14:textId="77777777" w:rsidTr="00F50795">
        <w:tc>
          <w:tcPr>
            <w:tcW w:w="1590" w:type="dxa"/>
            <w:vAlign w:val="center"/>
          </w:tcPr>
          <w:p w14:paraId="17678F75" w14:textId="77777777" w:rsidR="00965370" w:rsidRPr="008628F1" w:rsidRDefault="00965370" w:rsidP="00F50795">
            <w:pPr>
              <w:jc w:val="center"/>
              <w:rPr>
                <w:rFonts w:ascii="Times New Roman" w:hAnsi="Times New Roman" w:cs="Times New Roman"/>
                <w:b/>
                <w:bCs/>
                <w:sz w:val="24"/>
                <w:szCs w:val="24"/>
              </w:rPr>
            </w:pPr>
            <w:r w:rsidRPr="008628F1">
              <w:rPr>
                <w:rFonts w:ascii="Times New Roman" w:hAnsi="Times New Roman" w:cs="Times New Roman"/>
                <w:b/>
                <w:bCs/>
                <w:sz w:val="24"/>
                <w:szCs w:val="24"/>
              </w:rPr>
              <w:t>Pakalpojuma saturs</w:t>
            </w:r>
          </w:p>
        </w:tc>
        <w:tc>
          <w:tcPr>
            <w:tcW w:w="8475" w:type="dxa"/>
          </w:tcPr>
          <w:p w14:paraId="7AF72A7B" w14:textId="675620D8" w:rsidR="00965370" w:rsidRPr="008628F1" w:rsidRDefault="00965370" w:rsidP="00965370">
            <w:pPr>
              <w:pStyle w:val="Sarakstarindkopa"/>
              <w:numPr>
                <w:ilvl w:val="0"/>
                <w:numId w:val="7"/>
              </w:numPr>
              <w:spacing w:before="120"/>
              <w:ind w:left="278" w:hanging="278"/>
              <w:jc w:val="both"/>
              <w:rPr>
                <w:rFonts w:ascii="Times New Roman" w:hAnsi="Times New Roman" w:cs="Times New Roman"/>
                <w:sz w:val="24"/>
                <w:szCs w:val="24"/>
              </w:rPr>
            </w:pPr>
            <w:r w:rsidRPr="008628F1">
              <w:rPr>
                <w:rFonts w:ascii="Times New Roman" w:hAnsi="Times New Roman" w:cs="Times New Roman"/>
                <w:sz w:val="24"/>
                <w:szCs w:val="24"/>
              </w:rPr>
              <w:t>Konstatējot nepieciešamību veikt Iekārtu remontu, Pasūtītāja pilnvarotā persona informē Izpildītāju (rakstveidā uz Izpildītāja pilnvarotās personas elektronisko pastu (Pieteikums) un/vai telefoniski) par Pakalpojuma sniegšanas aktualitāti (norādot Iekārtas atrašanās vietu - Rīgas pilsētas teritorijā esošais Pasūtītāja objekts). Reaģēšanas laiks uz Pasūtītāja</w:t>
            </w:r>
            <w:r w:rsidRPr="008628F1" w:rsidDel="00722992">
              <w:rPr>
                <w:rFonts w:ascii="Times New Roman" w:hAnsi="Times New Roman" w:cs="Times New Roman"/>
                <w:sz w:val="24"/>
                <w:szCs w:val="24"/>
              </w:rPr>
              <w:t xml:space="preserve"> </w:t>
            </w:r>
            <w:r w:rsidRPr="008628F1">
              <w:rPr>
                <w:rFonts w:ascii="Times New Roman" w:hAnsi="Times New Roman" w:cs="Times New Roman"/>
                <w:sz w:val="24"/>
                <w:szCs w:val="24"/>
              </w:rPr>
              <w:t>iesniegtiem Pieteikumiem – 1 darba diena Pasūtītāja darba laikā</w:t>
            </w:r>
            <w:r w:rsidRPr="008628F1">
              <w:rPr>
                <w:rStyle w:val="Vresatsauce"/>
                <w:rFonts w:ascii="Times New Roman" w:hAnsi="Times New Roman" w:cs="Times New Roman"/>
                <w:sz w:val="24"/>
                <w:szCs w:val="24"/>
              </w:rPr>
              <w:footnoteReference w:id="1"/>
            </w:r>
            <w:r w:rsidR="008B7BFC">
              <w:rPr>
                <w:rFonts w:ascii="Times New Roman" w:hAnsi="Times New Roman" w:cs="Times New Roman"/>
                <w:sz w:val="24"/>
                <w:szCs w:val="24"/>
              </w:rPr>
              <w:t>.</w:t>
            </w:r>
          </w:p>
          <w:p w14:paraId="7725AC9D" w14:textId="42AC2839" w:rsidR="00965370" w:rsidRPr="008628F1" w:rsidRDefault="00965370" w:rsidP="00965370">
            <w:pPr>
              <w:pStyle w:val="Kjene"/>
              <w:widowControl w:val="0"/>
              <w:numPr>
                <w:ilvl w:val="0"/>
                <w:numId w:val="7"/>
              </w:numPr>
              <w:tabs>
                <w:tab w:val="clear" w:pos="4153"/>
                <w:tab w:val="clear" w:pos="8306"/>
                <w:tab w:val="left" w:pos="426"/>
              </w:tabs>
              <w:spacing w:before="120"/>
              <w:ind w:left="278" w:hanging="278"/>
              <w:jc w:val="both"/>
              <w:rPr>
                <w:rFonts w:ascii="Times New Roman" w:hAnsi="Times New Roman"/>
                <w:szCs w:val="24"/>
              </w:rPr>
            </w:pPr>
            <w:r w:rsidRPr="008628F1">
              <w:rPr>
                <w:rFonts w:ascii="Times New Roman" w:hAnsi="Times New Roman"/>
                <w:szCs w:val="24"/>
              </w:rPr>
              <w:t>Pēc Pasūtītāja pilnvarotā persona izsaukuma veikt Iekārtu avāriju novēršanu, to seku likvidēšanu un Iekārtu darbības atjaunošanu (ja tas ir veicams uz vietas Pasūtītāja objektā)</w:t>
            </w:r>
            <w:r w:rsidR="008B7BFC">
              <w:rPr>
                <w:rFonts w:ascii="Times New Roman" w:hAnsi="Times New Roman"/>
                <w:szCs w:val="24"/>
              </w:rPr>
              <w:t>.</w:t>
            </w:r>
          </w:p>
          <w:p w14:paraId="7B5BEDA8" w14:textId="77777777" w:rsidR="00965370" w:rsidRPr="00CB5D25" w:rsidRDefault="00965370" w:rsidP="00965370">
            <w:pPr>
              <w:pStyle w:val="Kjene"/>
              <w:widowControl w:val="0"/>
              <w:numPr>
                <w:ilvl w:val="0"/>
                <w:numId w:val="7"/>
              </w:numPr>
              <w:tabs>
                <w:tab w:val="clear" w:pos="4153"/>
                <w:tab w:val="clear" w:pos="8306"/>
                <w:tab w:val="left" w:pos="426"/>
              </w:tabs>
              <w:spacing w:before="120"/>
              <w:ind w:left="278" w:hanging="278"/>
              <w:jc w:val="both"/>
              <w:rPr>
                <w:rFonts w:ascii="Times New Roman" w:hAnsi="Times New Roman"/>
                <w:szCs w:val="24"/>
              </w:rPr>
            </w:pPr>
            <w:r w:rsidRPr="00CB5D25">
              <w:rPr>
                <w:rFonts w:ascii="Times New Roman" w:hAnsi="Times New Roman"/>
                <w:szCs w:val="24"/>
              </w:rPr>
              <w:t>Ja Iekārta jānogādā Izpildītāja remontu veikšanas vietā, Izpildītājs nodrošina Iekārtas transportēšanu ar savu transportu, uz preču pavadzīmes pamata, un atgriež pie Pasūtītāja tā norādītajā adresē (Rīgas pilsētas teritorijā esošais Pasūtītāja objekts) pēc Pakalpojuma sniegšanas.</w:t>
            </w:r>
          </w:p>
          <w:p w14:paraId="10B93228" w14:textId="6CC474D5" w:rsidR="00965370" w:rsidRPr="00E038DF" w:rsidRDefault="00965370" w:rsidP="00965370">
            <w:pPr>
              <w:pStyle w:val="Sarakstarindkopa"/>
              <w:numPr>
                <w:ilvl w:val="0"/>
                <w:numId w:val="7"/>
              </w:numPr>
              <w:spacing w:before="120"/>
              <w:ind w:left="278" w:hanging="278"/>
              <w:rPr>
                <w:rFonts w:ascii="Times New Roman" w:hAnsi="Times New Roman" w:cs="Times New Roman"/>
                <w:sz w:val="24"/>
                <w:szCs w:val="24"/>
              </w:rPr>
            </w:pPr>
            <w:r w:rsidRPr="00E038DF">
              <w:rPr>
                <w:rFonts w:ascii="Times New Roman" w:hAnsi="Times New Roman" w:cs="Times New Roman"/>
                <w:sz w:val="24"/>
                <w:szCs w:val="24"/>
              </w:rPr>
              <w:t>Veikt Iekārtu, kas uzskaitīt</w:t>
            </w:r>
            <w:r w:rsidR="00B322E7" w:rsidRPr="00E038DF">
              <w:rPr>
                <w:rFonts w:ascii="Times New Roman" w:hAnsi="Times New Roman" w:cs="Times New Roman"/>
                <w:sz w:val="24"/>
                <w:szCs w:val="24"/>
              </w:rPr>
              <w:t>as</w:t>
            </w:r>
            <w:r w:rsidRPr="00E038DF">
              <w:rPr>
                <w:rFonts w:ascii="Times New Roman" w:hAnsi="Times New Roman" w:cs="Times New Roman"/>
                <w:sz w:val="24"/>
                <w:szCs w:val="24"/>
              </w:rPr>
              <w:t xml:space="preserve"> </w:t>
            </w:r>
            <w:r w:rsidR="00B322E7" w:rsidRPr="00E038DF">
              <w:rPr>
                <w:rFonts w:ascii="Times New Roman" w:eastAsia="Calibri" w:hAnsi="Times New Roman"/>
                <w:szCs w:val="24"/>
              </w:rPr>
              <w:t>2.pielikumā</w:t>
            </w:r>
            <w:r w:rsidR="00B322E7" w:rsidRPr="00E038DF">
              <w:rPr>
                <w:rFonts w:ascii="Times New Roman" w:eastAsia="Calibri" w:hAnsi="Times New Roman" w:cs="Times New Roman"/>
                <w:sz w:val="24"/>
                <w:szCs w:val="24"/>
              </w:rPr>
              <w:t xml:space="preserve"> </w:t>
            </w:r>
            <w:r w:rsidRPr="00E038DF">
              <w:rPr>
                <w:rFonts w:ascii="Times New Roman" w:hAnsi="Times New Roman" w:cs="Times New Roman"/>
                <w:sz w:val="24"/>
                <w:szCs w:val="24"/>
              </w:rPr>
              <w:t>remontu atbilstoši Pasūtītāja pilnvarotās personas iesniegtiem Pieteikumiem, iepriekš saskaņojot ar Pasūtītāja pilnvaroto personu darba aktu</w:t>
            </w:r>
            <w:r w:rsidR="00040CBD" w:rsidRPr="00E038DF">
              <w:rPr>
                <w:rFonts w:ascii="Times New Roman" w:hAnsi="Times New Roman" w:cs="Times New Roman"/>
                <w:sz w:val="24"/>
                <w:szCs w:val="24"/>
              </w:rPr>
              <w:t>.</w:t>
            </w:r>
          </w:p>
          <w:p w14:paraId="2BC5E034" w14:textId="3137536A" w:rsidR="00965370" w:rsidRPr="008628F1" w:rsidRDefault="00965370" w:rsidP="00965370">
            <w:pPr>
              <w:pStyle w:val="Kjene"/>
              <w:widowControl w:val="0"/>
              <w:numPr>
                <w:ilvl w:val="0"/>
                <w:numId w:val="7"/>
              </w:numPr>
              <w:tabs>
                <w:tab w:val="clear" w:pos="4153"/>
                <w:tab w:val="clear" w:pos="8306"/>
                <w:tab w:val="left" w:pos="426"/>
              </w:tabs>
              <w:spacing w:before="120"/>
              <w:ind w:left="278" w:hanging="278"/>
              <w:jc w:val="both"/>
              <w:rPr>
                <w:rFonts w:ascii="Times New Roman" w:hAnsi="Times New Roman"/>
                <w:szCs w:val="24"/>
              </w:rPr>
            </w:pPr>
            <w:r w:rsidRPr="008628F1">
              <w:rPr>
                <w:rFonts w:ascii="Times New Roman" w:hAnsi="Times New Roman"/>
                <w:szCs w:val="24"/>
              </w:rPr>
              <w:t xml:space="preserve">Izpildītājs, </w:t>
            </w:r>
            <w:r w:rsidRPr="008628F1">
              <w:rPr>
                <w:rFonts w:ascii="Times New Roman" w:hAnsi="Times New Roman"/>
                <w:b/>
                <w:bCs/>
                <w:szCs w:val="24"/>
              </w:rPr>
              <w:t>divu darba dienu laikā</w:t>
            </w:r>
            <w:r w:rsidRPr="008628F1">
              <w:rPr>
                <w:rFonts w:ascii="Times New Roman" w:hAnsi="Times New Roman"/>
                <w:szCs w:val="24"/>
              </w:rPr>
              <w:t xml:space="preserve"> vai savstarpēji saskaņojot laiku ar Pasūtītāju, pēc Iekārtu saņemšanas brīža, veic Iekārtu defektāciju</w:t>
            </w:r>
            <w:r w:rsidR="00E038DF">
              <w:rPr>
                <w:rFonts w:ascii="Times New Roman" w:hAnsi="Times New Roman"/>
                <w:szCs w:val="24"/>
              </w:rPr>
              <w:t>.</w:t>
            </w:r>
          </w:p>
          <w:p w14:paraId="61370328" w14:textId="21C50388" w:rsidR="00965370" w:rsidRPr="008628F1" w:rsidRDefault="00965370" w:rsidP="00965370">
            <w:pPr>
              <w:pStyle w:val="Kjene"/>
              <w:widowControl w:val="0"/>
              <w:numPr>
                <w:ilvl w:val="0"/>
                <w:numId w:val="7"/>
              </w:numPr>
              <w:tabs>
                <w:tab w:val="clear" w:pos="4153"/>
                <w:tab w:val="clear" w:pos="8306"/>
                <w:tab w:val="left" w:pos="426"/>
              </w:tabs>
              <w:spacing w:before="120"/>
              <w:ind w:left="278" w:hanging="278"/>
              <w:jc w:val="both"/>
              <w:rPr>
                <w:rFonts w:ascii="Times New Roman" w:hAnsi="Times New Roman"/>
                <w:szCs w:val="24"/>
              </w:rPr>
            </w:pPr>
            <w:r w:rsidRPr="008628F1">
              <w:rPr>
                <w:rFonts w:ascii="Times New Roman" w:hAnsi="Times New Roman"/>
                <w:szCs w:val="24"/>
              </w:rPr>
              <w:t>Pēc Iekārtu defektācijas veikšanas, Izpildītājs sagatavo un nosūta uz Pasūtītāja pilnvarotās personas elektronisko pastu veicamo darbu tāmi</w:t>
            </w:r>
            <w:r w:rsidR="00E038DF">
              <w:rPr>
                <w:rFonts w:ascii="Times New Roman" w:hAnsi="Times New Roman"/>
                <w:szCs w:val="24"/>
              </w:rPr>
              <w:t>.</w:t>
            </w:r>
          </w:p>
          <w:p w14:paraId="1680EE53" w14:textId="175E3D3F" w:rsidR="00965370" w:rsidRPr="008628F1" w:rsidRDefault="00965370" w:rsidP="00965370">
            <w:pPr>
              <w:pStyle w:val="Kjene"/>
              <w:widowControl w:val="0"/>
              <w:numPr>
                <w:ilvl w:val="0"/>
                <w:numId w:val="7"/>
              </w:numPr>
              <w:tabs>
                <w:tab w:val="clear" w:pos="4153"/>
                <w:tab w:val="clear" w:pos="8306"/>
                <w:tab w:val="left" w:pos="426"/>
              </w:tabs>
              <w:spacing w:before="120"/>
              <w:ind w:left="278" w:hanging="278"/>
              <w:jc w:val="both"/>
              <w:rPr>
                <w:rFonts w:ascii="Times New Roman" w:hAnsi="Times New Roman"/>
                <w:szCs w:val="24"/>
              </w:rPr>
            </w:pPr>
            <w:r w:rsidRPr="008628F1">
              <w:rPr>
                <w:rFonts w:ascii="Times New Roman" w:hAnsi="Times New Roman"/>
                <w:szCs w:val="24"/>
              </w:rPr>
              <w:t xml:space="preserve">Darbu akta saskaņošanas laiks: </w:t>
            </w:r>
            <w:r w:rsidRPr="008628F1">
              <w:rPr>
                <w:rFonts w:ascii="Times New Roman" w:hAnsi="Times New Roman"/>
                <w:b/>
                <w:bCs/>
                <w:szCs w:val="24"/>
              </w:rPr>
              <w:t>viena darba diena</w:t>
            </w:r>
            <w:r w:rsidR="00E038DF" w:rsidRPr="00E038DF">
              <w:rPr>
                <w:rFonts w:ascii="Times New Roman" w:hAnsi="Times New Roman"/>
                <w:szCs w:val="24"/>
              </w:rPr>
              <w:t>.</w:t>
            </w:r>
          </w:p>
          <w:p w14:paraId="6B43A2FE" w14:textId="77777777" w:rsidR="00965370" w:rsidRPr="008628F1" w:rsidRDefault="00965370" w:rsidP="00965370">
            <w:pPr>
              <w:pStyle w:val="Kjene"/>
              <w:widowControl w:val="0"/>
              <w:numPr>
                <w:ilvl w:val="0"/>
                <w:numId w:val="7"/>
              </w:numPr>
              <w:tabs>
                <w:tab w:val="clear" w:pos="4153"/>
                <w:tab w:val="clear" w:pos="8306"/>
                <w:tab w:val="left" w:pos="426"/>
              </w:tabs>
              <w:spacing w:before="120"/>
              <w:ind w:left="278" w:hanging="278"/>
              <w:jc w:val="both"/>
              <w:rPr>
                <w:rFonts w:ascii="Times New Roman" w:hAnsi="Times New Roman"/>
                <w:szCs w:val="24"/>
              </w:rPr>
            </w:pPr>
            <w:r w:rsidRPr="008628F1">
              <w:rPr>
                <w:rFonts w:ascii="Times New Roman" w:hAnsi="Times New Roman"/>
                <w:szCs w:val="24"/>
              </w:rPr>
              <w:t>Ja Pasūtītāja pilnvarotā persona piekrīt darbu aktā noteiktajām Pakalpojuma izmaksām, tas elektroniski saskaņo to un nosūta uz Izpildītāja pilnvarotās personas elektronisko pastu.</w:t>
            </w:r>
          </w:p>
          <w:p w14:paraId="1CD0D6FF" w14:textId="77777777" w:rsidR="00965370" w:rsidRPr="008628F1" w:rsidRDefault="00965370" w:rsidP="00965370">
            <w:pPr>
              <w:pStyle w:val="Sarakstarindkopa"/>
              <w:numPr>
                <w:ilvl w:val="0"/>
                <w:numId w:val="7"/>
              </w:numPr>
              <w:spacing w:before="120"/>
              <w:ind w:left="278" w:hanging="278"/>
              <w:contextualSpacing w:val="0"/>
              <w:jc w:val="both"/>
              <w:rPr>
                <w:rFonts w:ascii="Times New Roman" w:hAnsi="Times New Roman" w:cs="Times New Roman"/>
                <w:sz w:val="24"/>
                <w:szCs w:val="24"/>
              </w:rPr>
            </w:pPr>
            <w:r w:rsidRPr="008628F1">
              <w:rPr>
                <w:rFonts w:ascii="Times New Roman" w:hAnsi="Times New Roman" w:cs="Times New Roman"/>
                <w:sz w:val="24"/>
                <w:szCs w:val="24"/>
              </w:rPr>
              <w:t>Nepieciešamības gadījumā veikt Iekārtu ieregulēšanu un darba režīmu ieprogrammēšanu atbilstoši Pasūtītāja pilnvarotās personas norādījumiem.</w:t>
            </w:r>
          </w:p>
          <w:p w14:paraId="12D4BDB2" w14:textId="77777777" w:rsidR="00965370" w:rsidRPr="008628F1" w:rsidRDefault="00965370" w:rsidP="00965370">
            <w:pPr>
              <w:pStyle w:val="Kjene"/>
              <w:widowControl w:val="0"/>
              <w:numPr>
                <w:ilvl w:val="0"/>
                <w:numId w:val="7"/>
              </w:numPr>
              <w:tabs>
                <w:tab w:val="clear" w:pos="4153"/>
                <w:tab w:val="clear" w:pos="8306"/>
                <w:tab w:val="left" w:pos="426"/>
              </w:tabs>
              <w:spacing w:before="120"/>
              <w:ind w:left="278" w:hanging="278"/>
              <w:jc w:val="both"/>
              <w:rPr>
                <w:rFonts w:ascii="Times New Roman" w:hAnsi="Times New Roman"/>
                <w:szCs w:val="24"/>
              </w:rPr>
            </w:pPr>
            <w:r w:rsidRPr="008628F1">
              <w:rPr>
                <w:rFonts w:ascii="Times New Roman" w:hAnsi="Times New Roman"/>
                <w:szCs w:val="24"/>
              </w:rPr>
              <w:t xml:space="preserve"> Iekārtu remonti veicami 7 darba dienu laikā, izņemot gadījumus kad rezerves daļa/as ir specifiska un to ir jāpasūta no iekārtas ražotāja. Iekārtu remontu izpildes termiņš var tikt pagarināts, ja tam ir objektīvs iemesls (piemēram, rezerves daļu nepieejamība) un par to rakstiski ir vienojušās Pušu pilnvarotās personas.</w:t>
            </w:r>
          </w:p>
          <w:p w14:paraId="067E0CF7" w14:textId="77777777" w:rsidR="00965370" w:rsidRPr="008628F1" w:rsidRDefault="00965370" w:rsidP="00965370">
            <w:pPr>
              <w:pStyle w:val="Sarakstarindkopa"/>
              <w:numPr>
                <w:ilvl w:val="0"/>
                <w:numId w:val="7"/>
              </w:numPr>
              <w:spacing w:before="120"/>
              <w:ind w:left="278" w:hanging="278"/>
              <w:contextualSpacing w:val="0"/>
              <w:jc w:val="both"/>
              <w:rPr>
                <w:rFonts w:ascii="Times New Roman" w:hAnsi="Times New Roman" w:cs="Times New Roman"/>
                <w:sz w:val="24"/>
                <w:szCs w:val="24"/>
              </w:rPr>
            </w:pPr>
            <w:r w:rsidRPr="008628F1">
              <w:rPr>
                <w:rFonts w:ascii="Times New Roman" w:hAnsi="Times New Roman" w:cs="Times New Roman"/>
                <w:sz w:val="24"/>
                <w:szCs w:val="24"/>
              </w:rPr>
              <w:lastRenderedPageBreak/>
              <w:t xml:space="preserve"> Nodrošināt Pakalpojumu izpildei nepieciešamo rezerves daļu un materiālu pasūtīšanu un Pakalpojuma izpildes Pieteikumu pieņemšanu bez priekšapmaksas, kā arī remonta laikā radušos filtru, eļļu, akumulatoru un citu nolietoto rezerves daļu un materiālu utilizāciju bez papildu maksas;</w:t>
            </w:r>
          </w:p>
          <w:p w14:paraId="2CC41528" w14:textId="77777777" w:rsidR="00965370" w:rsidRPr="008628F1" w:rsidRDefault="00965370" w:rsidP="00965370">
            <w:pPr>
              <w:pStyle w:val="Sarakstarindkopa"/>
              <w:numPr>
                <w:ilvl w:val="0"/>
                <w:numId w:val="7"/>
              </w:numPr>
              <w:spacing w:before="120"/>
              <w:ind w:left="278" w:hanging="278"/>
              <w:contextualSpacing w:val="0"/>
              <w:jc w:val="both"/>
              <w:rPr>
                <w:rFonts w:ascii="Times New Roman" w:hAnsi="Times New Roman" w:cs="Times New Roman"/>
                <w:sz w:val="24"/>
                <w:szCs w:val="24"/>
              </w:rPr>
            </w:pPr>
            <w:r w:rsidRPr="008628F1">
              <w:rPr>
                <w:rFonts w:ascii="Times New Roman" w:hAnsi="Times New Roman" w:cs="Times New Roman"/>
                <w:sz w:val="24"/>
                <w:szCs w:val="24"/>
              </w:rPr>
              <w:t xml:space="preserve"> Izpildītājs Garantijas laikā bez atlīdzības attiecīgajai Iekārtai novērš defektus, kuros Pasūtītājs nav vainojams.</w:t>
            </w:r>
          </w:p>
          <w:p w14:paraId="796C668F" w14:textId="77777777" w:rsidR="00965370" w:rsidRPr="008628F1" w:rsidRDefault="00965370" w:rsidP="00965370">
            <w:pPr>
              <w:pStyle w:val="Kjene"/>
              <w:widowControl w:val="0"/>
              <w:numPr>
                <w:ilvl w:val="0"/>
                <w:numId w:val="7"/>
              </w:numPr>
              <w:tabs>
                <w:tab w:val="clear" w:pos="4153"/>
                <w:tab w:val="clear" w:pos="8306"/>
                <w:tab w:val="left" w:pos="426"/>
              </w:tabs>
              <w:spacing w:before="120"/>
              <w:ind w:left="278" w:hanging="278"/>
              <w:jc w:val="both"/>
              <w:rPr>
                <w:rFonts w:ascii="Times New Roman" w:hAnsi="Times New Roman"/>
                <w:szCs w:val="24"/>
              </w:rPr>
            </w:pPr>
            <w:r w:rsidRPr="008628F1">
              <w:rPr>
                <w:rFonts w:ascii="Times New Roman" w:hAnsi="Times New Roman"/>
                <w:szCs w:val="24"/>
              </w:rPr>
              <w:t xml:space="preserve"> Izpildītājs par saviem līdzekļiem novērš konstatētos </w:t>
            </w:r>
            <w:r w:rsidRPr="008628F1">
              <w:rPr>
                <w:rFonts w:ascii="Times New Roman" w:hAnsi="Times New Roman"/>
                <w:color w:val="000000"/>
                <w:szCs w:val="24"/>
              </w:rPr>
              <w:t xml:space="preserve">defektus 10 (desmit) </w:t>
            </w:r>
            <w:r w:rsidRPr="008628F1">
              <w:rPr>
                <w:rFonts w:ascii="Times New Roman" w:hAnsi="Times New Roman"/>
                <w:szCs w:val="24"/>
              </w:rPr>
              <w:t>darba dienu laikā no Pasūtītāja pilnvarotās personas pretenzijas nosūtīšanas dienas. Par defekta novēršanu garantijas saistību ietvaros tiek sastādīts akts. Defektu novēršanas termiņš var tikt pagarināts, ja tam ir objektīvs iemesls (piemēram, rezerves daļu nepieejamība) un par to rakstiski ir vienojušās Pušu pilnvarotās personas.</w:t>
            </w:r>
          </w:p>
          <w:p w14:paraId="4EA783A5" w14:textId="77777777" w:rsidR="00965370" w:rsidRPr="008628F1" w:rsidRDefault="00965370" w:rsidP="00965370">
            <w:pPr>
              <w:pStyle w:val="Kjene"/>
              <w:widowControl w:val="0"/>
              <w:numPr>
                <w:ilvl w:val="0"/>
                <w:numId w:val="7"/>
              </w:numPr>
              <w:tabs>
                <w:tab w:val="clear" w:pos="4153"/>
                <w:tab w:val="clear" w:pos="8306"/>
                <w:tab w:val="left" w:pos="426"/>
              </w:tabs>
              <w:spacing w:before="120"/>
              <w:ind w:left="278" w:hanging="278"/>
              <w:jc w:val="both"/>
              <w:rPr>
                <w:rFonts w:ascii="Times New Roman" w:hAnsi="Times New Roman"/>
                <w:szCs w:val="24"/>
              </w:rPr>
            </w:pPr>
            <w:r w:rsidRPr="008628F1">
              <w:rPr>
                <w:rFonts w:ascii="Times New Roman" w:hAnsi="Times New Roman"/>
                <w:szCs w:val="24"/>
              </w:rPr>
              <w:t xml:space="preserve"> Līguma izpildei jāiesaista pieredzējuši un kompetenti darbinieki, kas ir tiesīgi veikt uzticētos darbus. Pretendents uzņemas visu atbildību, ja tiek piesaistīti nekvalificēti darbinieki, kuru rezultātā tiek bojātas vai kādā citā veidā ietekmētas Iekārtas.</w:t>
            </w:r>
          </w:p>
          <w:p w14:paraId="0B7228FC" w14:textId="77777777" w:rsidR="00965370" w:rsidRPr="008628F1" w:rsidRDefault="00965370" w:rsidP="00965370">
            <w:pPr>
              <w:pStyle w:val="Kjene"/>
              <w:widowControl w:val="0"/>
              <w:numPr>
                <w:ilvl w:val="0"/>
                <w:numId w:val="7"/>
              </w:numPr>
              <w:tabs>
                <w:tab w:val="clear" w:pos="4153"/>
                <w:tab w:val="clear" w:pos="8306"/>
                <w:tab w:val="left" w:pos="426"/>
              </w:tabs>
              <w:spacing w:before="120"/>
              <w:ind w:left="278" w:hanging="278"/>
              <w:jc w:val="both"/>
              <w:rPr>
                <w:rFonts w:ascii="Times New Roman" w:hAnsi="Times New Roman"/>
                <w:szCs w:val="24"/>
              </w:rPr>
            </w:pPr>
            <w:r w:rsidRPr="008628F1">
              <w:rPr>
                <w:rFonts w:ascii="Times New Roman" w:hAnsi="Times New Roman"/>
                <w:szCs w:val="24"/>
              </w:rPr>
              <w:t xml:space="preserve"> Pakalpojuma sniegšanā tiek veikti izmantoti </w:t>
            </w:r>
            <w:r w:rsidRPr="008628F1">
              <w:rPr>
                <w:rFonts w:ascii="Times New Roman" w:hAnsi="Times New Roman"/>
                <w:noProof/>
                <w:szCs w:val="24"/>
              </w:rPr>
              <w:t>Izpildītāja</w:t>
            </w:r>
            <w:r w:rsidRPr="008628F1">
              <w:rPr>
                <w:rFonts w:ascii="Times New Roman" w:hAnsi="Times New Roman"/>
                <w:szCs w:val="24"/>
              </w:rPr>
              <w:t xml:space="preserve"> materiāli, instrumenti un aprīkojums.</w:t>
            </w:r>
          </w:p>
          <w:p w14:paraId="1B854C65" w14:textId="05E8467F" w:rsidR="0083590E" w:rsidRPr="00FA20E8" w:rsidRDefault="00965370" w:rsidP="00FA20E8">
            <w:pPr>
              <w:pStyle w:val="Sarakstarindkopa"/>
              <w:numPr>
                <w:ilvl w:val="0"/>
                <w:numId w:val="7"/>
              </w:numPr>
              <w:spacing w:before="120"/>
              <w:ind w:left="278" w:hanging="278"/>
              <w:jc w:val="both"/>
              <w:rPr>
                <w:rFonts w:ascii="Times New Roman" w:hAnsi="Times New Roman" w:cs="Times New Roman"/>
                <w:sz w:val="24"/>
                <w:szCs w:val="24"/>
              </w:rPr>
            </w:pPr>
            <w:r w:rsidRPr="008628F1">
              <w:rPr>
                <w:rFonts w:ascii="Times New Roman" w:hAnsi="Times New Roman" w:cs="Times New Roman"/>
                <w:sz w:val="24"/>
                <w:szCs w:val="24"/>
              </w:rPr>
              <w:t xml:space="preserve"> Pasūtītājs, pieņemot preci, paraksta pavadzīmi-rēķinu.</w:t>
            </w:r>
          </w:p>
          <w:p w14:paraId="359B0F6F" w14:textId="3DA3B17B" w:rsidR="00A9232D" w:rsidRPr="00040CBD" w:rsidRDefault="00A9232D" w:rsidP="00FA20E8">
            <w:pPr>
              <w:pStyle w:val="Sarakstarindkopa"/>
              <w:numPr>
                <w:ilvl w:val="0"/>
                <w:numId w:val="7"/>
              </w:numPr>
              <w:spacing w:before="120" w:line="276" w:lineRule="auto"/>
              <w:ind w:left="278" w:hanging="278"/>
              <w:contextualSpacing w:val="0"/>
              <w:jc w:val="both"/>
              <w:rPr>
                <w:rFonts w:ascii="Times New Roman" w:hAnsi="Times New Roman" w:cs="Times New Roman"/>
                <w:sz w:val="24"/>
                <w:szCs w:val="24"/>
              </w:rPr>
            </w:pPr>
            <w:r w:rsidRPr="0083590E">
              <w:rPr>
                <w:rFonts w:ascii="Times New Roman" w:hAnsi="Times New Roman" w:cs="Times New Roman"/>
                <w:sz w:val="24"/>
                <w:szCs w:val="24"/>
              </w:rPr>
              <w:t>Izpildītājam ir pienākums darba uzskaiti reģistrēt Pasūtītāja izvēlētā ārpakalpojumu darba izpildes kontroles programmas “Lars” lietotnē.</w:t>
            </w:r>
          </w:p>
        </w:tc>
      </w:tr>
      <w:tr w:rsidR="00965370" w:rsidRPr="008628F1" w14:paraId="1CB1B213" w14:textId="77777777" w:rsidTr="00F50795">
        <w:tc>
          <w:tcPr>
            <w:tcW w:w="1590" w:type="dxa"/>
            <w:vAlign w:val="center"/>
          </w:tcPr>
          <w:p w14:paraId="1484CCA5" w14:textId="78692421" w:rsidR="00965370" w:rsidRPr="008628F1" w:rsidRDefault="00965370" w:rsidP="00F50795">
            <w:pPr>
              <w:jc w:val="center"/>
              <w:rPr>
                <w:rFonts w:ascii="Times New Roman" w:hAnsi="Times New Roman" w:cs="Times New Roman"/>
                <w:b/>
                <w:bCs/>
                <w:sz w:val="24"/>
                <w:szCs w:val="24"/>
              </w:rPr>
            </w:pPr>
            <w:r w:rsidRPr="008628F1">
              <w:rPr>
                <w:rFonts w:ascii="Times New Roman" w:hAnsi="Times New Roman" w:cs="Times New Roman"/>
                <w:b/>
                <w:bCs/>
                <w:sz w:val="24"/>
                <w:szCs w:val="24"/>
              </w:rPr>
              <w:lastRenderedPageBreak/>
              <w:t>Garantija</w:t>
            </w:r>
          </w:p>
        </w:tc>
        <w:tc>
          <w:tcPr>
            <w:tcW w:w="8475" w:type="dxa"/>
          </w:tcPr>
          <w:p w14:paraId="5FD22A68" w14:textId="004301E5" w:rsidR="00965370" w:rsidRPr="008628F1" w:rsidRDefault="00965370" w:rsidP="00040CBD">
            <w:pPr>
              <w:spacing w:before="120"/>
              <w:jc w:val="both"/>
              <w:rPr>
                <w:rFonts w:ascii="Times New Roman" w:hAnsi="Times New Roman" w:cs="Times New Roman"/>
                <w:sz w:val="24"/>
                <w:szCs w:val="24"/>
              </w:rPr>
            </w:pPr>
            <w:r w:rsidRPr="008628F1">
              <w:rPr>
                <w:rFonts w:ascii="Times New Roman" w:hAnsi="Times New Roman" w:cs="Times New Roman"/>
                <w:sz w:val="24"/>
                <w:szCs w:val="24"/>
              </w:rPr>
              <w:t>Garantijas termiņš: veiktajiem remontu pakalpojumiem (t.sk.</w:t>
            </w:r>
            <w:r w:rsidR="00FF59E8">
              <w:rPr>
                <w:rFonts w:ascii="Times New Roman" w:hAnsi="Times New Roman" w:cs="Times New Roman"/>
                <w:sz w:val="24"/>
                <w:szCs w:val="24"/>
              </w:rPr>
              <w:t xml:space="preserve"> </w:t>
            </w:r>
            <w:r w:rsidRPr="008628F1">
              <w:rPr>
                <w:rFonts w:ascii="Times New Roman" w:hAnsi="Times New Roman" w:cs="Times New Roman"/>
                <w:sz w:val="24"/>
                <w:szCs w:val="24"/>
              </w:rPr>
              <w:t>rezerves daļu izmantošanai) – 12 mēneši.</w:t>
            </w:r>
          </w:p>
        </w:tc>
      </w:tr>
    </w:tbl>
    <w:p w14:paraId="680931A8" w14:textId="77777777" w:rsidR="00965370" w:rsidRPr="008628F1" w:rsidRDefault="00965370" w:rsidP="00965370">
      <w:pPr>
        <w:rPr>
          <w:rFonts w:ascii="Times New Roman" w:hAnsi="Times New Roman" w:cs="Times New Roman"/>
          <w:sz w:val="24"/>
          <w:szCs w:val="24"/>
        </w:rPr>
      </w:pPr>
    </w:p>
    <w:p w14:paraId="43C2E10F" w14:textId="77777777" w:rsidR="00965370" w:rsidRPr="008628F1" w:rsidRDefault="00965370" w:rsidP="00965370">
      <w:pPr>
        <w:jc w:val="center"/>
        <w:rPr>
          <w:rFonts w:ascii="Times New Roman" w:hAnsi="Times New Roman" w:cs="Times New Roman"/>
          <w:b/>
          <w:bCs/>
          <w:sz w:val="20"/>
        </w:rPr>
      </w:pPr>
    </w:p>
    <w:p w14:paraId="06457766" w14:textId="77777777" w:rsidR="005B52D1" w:rsidRPr="006A60E7" w:rsidRDefault="005B52D1" w:rsidP="005B52D1">
      <w:pPr>
        <w:pStyle w:val="Galvene"/>
        <w:jc w:val="right"/>
        <w:rPr>
          <w:rFonts w:ascii="Times New Roman" w:hAnsi="Times New Roman"/>
          <w:i/>
          <w:iCs/>
        </w:rPr>
      </w:pPr>
      <w:r w:rsidRPr="006A60E7">
        <w:rPr>
          <w:rFonts w:ascii="Times New Roman" w:hAnsi="Times New Roman"/>
          <w:i/>
          <w:iCs/>
        </w:rPr>
        <w:t xml:space="preserve">Tehniskā specifikācija aktualizēta </w:t>
      </w:r>
      <w:r>
        <w:rPr>
          <w:rFonts w:ascii="Times New Roman" w:hAnsi="Times New Roman"/>
          <w:i/>
          <w:iCs/>
        </w:rPr>
        <w:t>09.04</w:t>
      </w:r>
      <w:r w:rsidRPr="006A60E7">
        <w:rPr>
          <w:rFonts w:ascii="Times New Roman" w:hAnsi="Times New Roman"/>
          <w:i/>
          <w:iCs/>
        </w:rPr>
        <w:t>.2025.</w:t>
      </w:r>
    </w:p>
    <w:p w14:paraId="6BA9350D" w14:textId="6BC9281C" w:rsidR="004E174E" w:rsidRPr="008628F1" w:rsidRDefault="004E174E" w:rsidP="00E30935">
      <w:pPr>
        <w:spacing w:after="200" w:line="276" w:lineRule="auto"/>
        <w:rPr>
          <w:rFonts w:ascii="Times New Roman" w:hAnsi="Times New Roman" w:cs="Times New Roman"/>
          <w:b/>
          <w:bCs/>
          <w:szCs w:val="24"/>
        </w:rPr>
      </w:pPr>
    </w:p>
    <w:sectPr w:rsidR="004E174E" w:rsidRPr="008628F1" w:rsidSect="003A5DEB">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0" w:footer="7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E2658" w14:textId="77777777" w:rsidR="00B74415" w:rsidRDefault="00B74415">
      <w:pPr>
        <w:spacing w:after="0" w:line="240" w:lineRule="auto"/>
      </w:pPr>
      <w:r>
        <w:separator/>
      </w:r>
    </w:p>
  </w:endnote>
  <w:endnote w:type="continuationSeparator" w:id="0">
    <w:p w14:paraId="10F428C4" w14:textId="77777777" w:rsidR="00B74415" w:rsidRDefault="00B74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E312E" w14:textId="77777777" w:rsidR="005B52D1" w:rsidRDefault="005B52D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84F95" w14:textId="2E6D10A4" w:rsidR="005B52D1" w:rsidRPr="005B52D1" w:rsidRDefault="005B52D1" w:rsidP="005B52D1">
    <w:pPr>
      <w:pStyle w:val="Galvene"/>
      <w:jc w:val="right"/>
      <w:rPr>
        <w:rFonts w:ascii="Times New Roman" w:hAnsi="Times New Roman"/>
        <w:i/>
        <w:iCs/>
      </w:rPr>
    </w:pPr>
    <w:r w:rsidRPr="006A60E7">
      <w:rPr>
        <w:rFonts w:ascii="Times New Roman" w:hAnsi="Times New Roman"/>
        <w:i/>
        <w:iCs/>
      </w:rPr>
      <w:t xml:space="preserve">Tehniskā specifikācija aktualizēta </w:t>
    </w:r>
    <w:r>
      <w:rPr>
        <w:rFonts w:ascii="Times New Roman" w:hAnsi="Times New Roman"/>
        <w:i/>
        <w:iCs/>
      </w:rPr>
      <w:t>19</w:t>
    </w:r>
    <w:r>
      <w:rPr>
        <w:rFonts w:ascii="Times New Roman" w:hAnsi="Times New Roman"/>
        <w:i/>
        <w:iCs/>
      </w:rPr>
      <w:t>.0</w:t>
    </w:r>
    <w:r>
      <w:rPr>
        <w:rFonts w:ascii="Times New Roman" w:hAnsi="Times New Roman"/>
        <w:i/>
        <w:iCs/>
      </w:rPr>
      <w:t>5</w:t>
    </w:r>
    <w:r w:rsidRPr="006A60E7">
      <w:rPr>
        <w:rFonts w:ascii="Times New Roman" w:hAnsi="Times New Roman"/>
        <w:i/>
        <w:iCs/>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1082C" w14:textId="77777777" w:rsidR="005B52D1" w:rsidRDefault="005B52D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267F8" w14:textId="77777777" w:rsidR="00B74415" w:rsidRDefault="00B74415">
      <w:pPr>
        <w:spacing w:after="0" w:line="240" w:lineRule="auto"/>
      </w:pPr>
      <w:r>
        <w:separator/>
      </w:r>
    </w:p>
  </w:footnote>
  <w:footnote w:type="continuationSeparator" w:id="0">
    <w:p w14:paraId="72FC109F" w14:textId="77777777" w:rsidR="00B74415" w:rsidRDefault="00B74415">
      <w:pPr>
        <w:spacing w:after="0" w:line="240" w:lineRule="auto"/>
      </w:pPr>
      <w:r>
        <w:continuationSeparator/>
      </w:r>
    </w:p>
  </w:footnote>
  <w:footnote w:id="1">
    <w:p w14:paraId="1F0256B9" w14:textId="77777777" w:rsidR="00965370" w:rsidRPr="009D1900" w:rsidRDefault="00965370" w:rsidP="00965370">
      <w:pPr>
        <w:pStyle w:val="Vresteksts"/>
        <w:rPr>
          <w:rFonts w:ascii="Times New Roman" w:hAnsi="Times New Roman" w:cs="Times New Roman"/>
        </w:rPr>
      </w:pPr>
      <w:r>
        <w:rPr>
          <w:rStyle w:val="Vresatsauce"/>
        </w:rPr>
        <w:footnoteRef/>
      </w:r>
      <w:r>
        <w:t xml:space="preserve"> </w:t>
      </w:r>
      <w:r w:rsidRPr="009D1900">
        <w:rPr>
          <w:rFonts w:ascii="Times New Roman" w:hAnsi="Times New Roman" w:cs="Times New Roman"/>
          <w:i/>
          <w:iCs/>
        </w:rPr>
        <w:t>Pirmdiena – ceturtdiena no plkst. 7.30 līdz 16.30 un piektdiena -  no plkst. 7.30 līdz 14.00.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603D" w14:textId="77777777" w:rsidR="005B52D1" w:rsidRDefault="005B52D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AA226" w14:textId="77777777" w:rsidR="005B52D1" w:rsidRDefault="005B52D1">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0ACA3" w14:textId="77777777" w:rsidR="005B52D1" w:rsidRDefault="005B52D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E6B12"/>
    <w:multiLevelType w:val="hybridMultilevel"/>
    <w:tmpl w:val="0AB8905A"/>
    <w:lvl w:ilvl="0" w:tplc="EAC4FD24">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3B742244"/>
    <w:multiLevelType w:val="multilevel"/>
    <w:tmpl w:val="E132E60E"/>
    <w:lvl w:ilvl="0">
      <w:start w:val="1"/>
      <w:numFmt w:val="decimal"/>
      <w:lvlText w:val="%1."/>
      <w:lvlJc w:val="left"/>
      <w:pPr>
        <w:ind w:left="1211" w:hanging="360"/>
      </w:pPr>
      <w:rPr>
        <w:rFonts w:hint="default"/>
        <w:sz w:val="22"/>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 w15:restartNumberingAfterBreak="0">
    <w:nsid w:val="45035233"/>
    <w:multiLevelType w:val="hybridMultilevel"/>
    <w:tmpl w:val="12C42E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2FB1059"/>
    <w:multiLevelType w:val="hybridMultilevel"/>
    <w:tmpl w:val="70201B9A"/>
    <w:lvl w:ilvl="0" w:tplc="5EBA8AB2">
      <w:start w:val="1"/>
      <w:numFmt w:val="decimal"/>
      <w:lvlText w:val="%1)"/>
      <w:lvlJc w:val="left"/>
      <w:pPr>
        <w:ind w:left="1080" w:hanging="360"/>
      </w:pPr>
      <w:rPr>
        <w:rFonts w:hint="default"/>
        <w:u w:val="single"/>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6C111249"/>
    <w:multiLevelType w:val="hybridMultilevel"/>
    <w:tmpl w:val="698ED1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FF97DDC"/>
    <w:multiLevelType w:val="multilevel"/>
    <w:tmpl w:val="E132E60E"/>
    <w:lvl w:ilvl="0">
      <w:start w:val="1"/>
      <w:numFmt w:val="decimal"/>
      <w:lvlText w:val="%1."/>
      <w:lvlJc w:val="left"/>
      <w:pPr>
        <w:ind w:left="720" w:hanging="360"/>
      </w:pPr>
      <w:rPr>
        <w:rFonts w:hint="default"/>
        <w:sz w:val="22"/>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7" w15:restartNumberingAfterBreak="0">
    <w:nsid w:val="78BE545E"/>
    <w:multiLevelType w:val="hybridMultilevel"/>
    <w:tmpl w:val="1B8E8F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9817633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9319176">
    <w:abstractNumId w:val="3"/>
  </w:num>
  <w:num w:numId="3" w16cid:durableId="1435828450">
    <w:abstractNumId w:val="1"/>
  </w:num>
  <w:num w:numId="4" w16cid:durableId="511795517">
    <w:abstractNumId w:val="4"/>
  </w:num>
  <w:num w:numId="5" w16cid:durableId="325207972">
    <w:abstractNumId w:val="0"/>
  </w:num>
  <w:num w:numId="6" w16cid:durableId="78337137">
    <w:abstractNumId w:val="5"/>
  </w:num>
  <w:num w:numId="7" w16cid:durableId="1530411000">
    <w:abstractNumId w:val="2"/>
  </w:num>
  <w:num w:numId="8" w16cid:durableId="8044675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8c63c211-a302-488c-b1da-e0faedf6b16c"/>
  </w:docVars>
  <w:rsids>
    <w:rsidRoot w:val="008C438F"/>
    <w:rsid w:val="0002322C"/>
    <w:rsid w:val="00040CBD"/>
    <w:rsid w:val="00092C37"/>
    <w:rsid w:val="000D62FF"/>
    <w:rsid w:val="000F5081"/>
    <w:rsid w:val="001A3FFE"/>
    <w:rsid w:val="001A5C40"/>
    <w:rsid w:val="001C2AFD"/>
    <w:rsid w:val="001F0B7B"/>
    <w:rsid w:val="002A2608"/>
    <w:rsid w:val="002A3FA6"/>
    <w:rsid w:val="002E52A0"/>
    <w:rsid w:val="00340CE5"/>
    <w:rsid w:val="003A0C90"/>
    <w:rsid w:val="003A5DEB"/>
    <w:rsid w:val="003D3611"/>
    <w:rsid w:val="003F5444"/>
    <w:rsid w:val="00415947"/>
    <w:rsid w:val="00420C3C"/>
    <w:rsid w:val="00427F0E"/>
    <w:rsid w:val="00473AC7"/>
    <w:rsid w:val="004A4054"/>
    <w:rsid w:val="004E174E"/>
    <w:rsid w:val="004E65DE"/>
    <w:rsid w:val="005648AF"/>
    <w:rsid w:val="005749F5"/>
    <w:rsid w:val="005B52D1"/>
    <w:rsid w:val="005D21D5"/>
    <w:rsid w:val="00617DF8"/>
    <w:rsid w:val="006937FC"/>
    <w:rsid w:val="006B764D"/>
    <w:rsid w:val="006F3C1A"/>
    <w:rsid w:val="0071133F"/>
    <w:rsid w:val="00722992"/>
    <w:rsid w:val="00817D1F"/>
    <w:rsid w:val="0083590E"/>
    <w:rsid w:val="00855A9E"/>
    <w:rsid w:val="008628F1"/>
    <w:rsid w:val="008B7BFC"/>
    <w:rsid w:val="008C438F"/>
    <w:rsid w:val="008D0490"/>
    <w:rsid w:val="00920F19"/>
    <w:rsid w:val="00941141"/>
    <w:rsid w:val="0096215E"/>
    <w:rsid w:val="00965370"/>
    <w:rsid w:val="00973233"/>
    <w:rsid w:val="009A4C91"/>
    <w:rsid w:val="009C2B77"/>
    <w:rsid w:val="00A0402F"/>
    <w:rsid w:val="00A436FF"/>
    <w:rsid w:val="00A9232D"/>
    <w:rsid w:val="00AE08C9"/>
    <w:rsid w:val="00B13F37"/>
    <w:rsid w:val="00B322E7"/>
    <w:rsid w:val="00B33F6D"/>
    <w:rsid w:val="00B60036"/>
    <w:rsid w:val="00B74415"/>
    <w:rsid w:val="00B76DCC"/>
    <w:rsid w:val="00B91687"/>
    <w:rsid w:val="00BF7889"/>
    <w:rsid w:val="00C1740F"/>
    <w:rsid w:val="00C36291"/>
    <w:rsid w:val="00C83BCD"/>
    <w:rsid w:val="00C84CBA"/>
    <w:rsid w:val="00CB5D25"/>
    <w:rsid w:val="00CC1BF0"/>
    <w:rsid w:val="00D124DB"/>
    <w:rsid w:val="00D541CF"/>
    <w:rsid w:val="00D55C73"/>
    <w:rsid w:val="00DE2B62"/>
    <w:rsid w:val="00E038DF"/>
    <w:rsid w:val="00E07F7D"/>
    <w:rsid w:val="00E15999"/>
    <w:rsid w:val="00E24542"/>
    <w:rsid w:val="00E30935"/>
    <w:rsid w:val="00E455FF"/>
    <w:rsid w:val="00E7555F"/>
    <w:rsid w:val="00EC29DA"/>
    <w:rsid w:val="00F035D8"/>
    <w:rsid w:val="00F50795"/>
    <w:rsid w:val="00FA20E8"/>
    <w:rsid w:val="00FC591C"/>
    <w:rsid w:val="00FF59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C4938"/>
  <w15:chartTrackingRefBased/>
  <w15:docId w15:val="{4E73ABE3-6DC9-4C25-A4E5-F938EAC1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aistīto dokumentu saraksts,Syle 1,Numurets,PPS_Bullet,H&amp;P List Paragraph,2,Strip,Normal bullet 2,Bullet list,Virsraksti,List Paragraph1,list paragraph,h&amp;p list paragraph,saistīto dokumentu saraksts,syle 1,list paragraph1,numurets"/>
    <w:basedOn w:val="Parasts"/>
    <w:link w:val="SarakstarindkopaRakstz"/>
    <w:uiPriority w:val="34"/>
    <w:qFormat/>
    <w:rsid w:val="008C438F"/>
    <w:pPr>
      <w:ind w:left="720"/>
      <w:contextualSpacing/>
    </w:pPr>
  </w:style>
  <w:style w:type="paragraph" w:styleId="Balonteksts">
    <w:name w:val="Balloon Text"/>
    <w:basedOn w:val="Parasts"/>
    <w:link w:val="BalontekstsRakstz"/>
    <w:uiPriority w:val="99"/>
    <w:semiHidden/>
    <w:unhideWhenUsed/>
    <w:rsid w:val="008C438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C438F"/>
    <w:rPr>
      <w:rFonts w:ascii="Segoe UI" w:hAnsi="Segoe UI" w:cs="Segoe UI"/>
      <w:sz w:val="18"/>
      <w:szCs w:val="18"/>
    </w:rPr>
  </w:style>
  <w:style w:type="character" w:styleId="Komentraatsauce">
    <w:name w:val="annotation reference"/>
    <w:basedOn w:val="Noklusjumarindkopasfonts"/>
    <w:uiPriority w:val="99"/>
    <w:semiHidden/>
    <w:unhideWhenUsed/>
    <w:rsid w:val="008C438F"/>
    <w:rPr>
      <w:sz w:val="16"/>
      <w:szCs w:val="16"/>
    </w:rPr>
  </w:style>
  <w:style w:type="paragraph" w:styleId="Komentrateksts">
    <w:name w:val="annotation text"/>
    <w:basedOn w:val="Parasts"/>
    <w:link w:val="KomentratekstsRakstz"/>
    <w:uiPriority w:val="99"/>
    <w:semiHidden/>
    <w:unhideWhenUsed/>
    <w:rsid w:val="008C438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C438F"/>
    <w:rPr>
      <w:sz w:val="20"/>
      <w:szCs w:val="20"/>
    </w:rPr>
  </w:style>
  <w:style w:type="paragraph" w:styleId="Komentratma">
    <w:name w:val="annotation subject"/>
    <w:basedOn w:val="Komentrateksts"/>
    <w:next w:val="Komentrateksts"/>
    <w:link w:val="KomentratmaRakstz"/>
    <w:uiPriority w:val="99"/>
    <w:semiHidden/>
    <w:unhideWhenUsed/>
    <w:rsid w:val="008C438F"/>
    <w:rPr>
      <w:b/>
      <w:bCs/>
    </w:rPr>
  </w:style>
  <w:style w:type="character" w:customStyle="1" w:styleId="KomentratmaRakstz">
    <w:name w:val="Komentāra tēma Rakstz."/>
    <w:basedOn w:val="KomentratekstsRakstz"/>
    <w:link w:val="Komentratma"/>
    <w:uiPriority w:val="99"/>
    <w:semiHidden/>
    <w:rsid w:val="008C438F"/>
    <w:rPr>
      <w:b/>
      <w:bCs/>
      <w:sz w:val="20"/>
      <w:szCs w:val="20"/>
    </w:rPr>
  </w:style>
  <w:style w:type="character" w:customStyle="1" w:styleId="SarakstarindkopaRakstz">
    <w:name w:val="Saraksta rindkopa Rakstz."/>
    <w:aliases w:val="Saistīto dokumentu saraksts Rakstz.,Syle 1 Rakstz.,Numurets Rakstz.,PPS_Bullet Rakstz.,H&amp;P List Paragraph Rakstz.,2 Rakstz.,Strip Rakstz.,Normal bullet 2 Rakstz.,Bullet list Rakstz.,Virsraksti Rakstz.,List Paragraph1 Rakstz."/>
    <w:link w:val="Sarakstarindkopa"/>
    <w:uiPriority w:val="34"/>
    <w:qFormat/>
    <w:locked/>
    <w:rsid w:val="004E174E"/>
  </w:style>
  <w:style w:type="paragraph" w:styleId="Kjene">
    <w:name w:val="footer"/>
    <w:basedOn w:val="Parasts"/>
    <w:link w:val="KjeneRakstz"/>
    <w:uiPriority w:val="99"/>
    <w:unhideWhenUsed/>
    <w:rsid w:val="004E174E"/>
    <w:pPr>
      <w:tabs>
        <w:tab w:val="center" w:pos="4153"/>
        <w:tab w:val="right" w:pos="8306"/>
      </w:tabs>
      <w:spacing w:after="0" w:line="240" w:lineRule="auto"/>
    </w:pPr>
    <w:rPr>
      <w:rFonts w:ascii="Arial" w:eastAsia="Times New Roman" w:hAnsi="Arial" w:cs="Times New Roman"/>
      <w:sz w:val="24"/>
      <w:szCs w:val="20"/>
    </w:rPr>
  </w:style>
  <w:style w:type="character" w:customStyle="1" w:styleId="KjeneRakstz">
    <w:name w:val="Kājene Rakstz."/>
    <w:basedOn w:val="Noklusjumarindkopasfonts"/>
    <w:link w:val="Kjene"/>
    <w:uiPriority w:val="99"/>
    <w:rsid w:val="004E174E"/>
    <w:rPr>
      <w:rFonts w:ascii="Arial" w:eastAsia="Times New Roman" w:hAnsi="Arial" w:cs="Times New Roman"/>
      <w:sz w:val="24"/>
      <w:szCs w:val="20"/>
    </w:rPr>
  </w:style>
  <w:style w:type="character" w:styleId="Lappusesnumurs">
    <w:name w:val="page number"/>
    <w:basedOn w:val="Noklusjumarindkopasfonts"/>
    <w:rsid w:val="004E174E"/>
  </w:style>
  <w:style w:type="paragraph" w:styleId="Galvene">
    <w:name w:val="header"/>
    <w:basedOn w:val="Parasts"/>
    <w:link w:val="GalveneRakstz"/>
    <w:uiPriority w:val="99"/>
    <w:unhideWhenUsed/>
    <w:rsid w:val="004E174E"/>
    <w:pPr>
      <w:tabs>
        <w:tab w:val="center" w:pos="4153"/>
        <w:tab w:val="right" w:pos="8306"/>
      </w:tabs>
      <w:spacing w:after="0" w:line="240" w:lineRule="auto"/>
    </w:pPr>
    <w:rPr>
      <w:rFonts w:ascii="Arial" w:eastAsia="Times New Roman" w:hAnsi="Arial" w:cs="Times New Roman"/>
      <w:sz w:val="24"/>
      <w:szCs w:val="20"/>
    </w:rPr>
  </w:style>
  <w:style w:type="character" w:customStyle="1" w:styleId="GalveneRakstz">
    <w:name w:val="Galvene Rakstz."/>
    <w:basedOn w:val="Noklusjumarindkopasfonts"/>
    <w:link w:val="Galvene"/>
    <w:uiPriority w:val="99"/>
    <w:rsid w:val="004E174E"/>
    <w:rPr>
      <w:rFonts w:ascii="Arial" w:eastAsia="Times New Roman" w:hAnsi="Arial" w:cs="Times New Roman"/>
      <w:sz w:val="24"/>
      <w:szCs w:val="20"/>
    </w:rPr>
  </w:style>
  <w:style w:type="table" w:styleId="Reatabula">
    <w:name w:val="Table Grid"/>
    <w:basedOn w:val="Parastatabula"/>
    <w:uiPriority w:val="39"/>
    <w:rsid w:val="00965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965370"/>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965370"/>
    <w:rPr>
      <w:sz w:val="20"/>
      <w:szCs w:val="20"/>
    </w:rPr>
  </w:style>
  <w:style w:type="character" w:styleId="Vresatsauce">
    <w:name w:val="footnote reference"/>
    <w:basedOn w:val="Noklusjumarindkopasfonts"/>
    <w:uiPriority w:val="99"/>
    <w:semiHidden/>
    <w:unhideWhenUsed/>
    <w:rsid w:val="00965370"/>
    <w:rPr>
      <w:vertAlign w:val="superscript"/>
    </w:rPr>
  </w:style>
  <w:style w:type="paragraph" w:styleId="Prskatjums">
    <w:name w:val="Revision"/>
    <w:hidden/>
    <w:uiPriority w:val="99"/>
    <w:semiHidden/>
    <w:rsid w:val="00B322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1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2DF9C-9339-4359-86E3-7066F2F1B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2782</Words>
  <Characters>1586</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Vindberga</dc:creator>
  <cp:keywords/>
  <dc:description/>
  <cp:lastModifiedBy>Santa Evarte</cp:lastModifiedBy>
  <cp:revision>10</cp:revision>
  <cp:lastPrinted>2020-05-21T04:49:00Z</cp:lastPrinted>
  <dcterms:created xsi:type="dcterms:W3CDTF">2025-05-13T08:18:00Z</dcterms:created>
  <dcterms:modified xsi:type="dcterms:W3CDTF">2025-05-19T08:41:00Z</dcterms:modified>
</cp:coreProperties>
</file>