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B061" w14:textId="77777777" w:rsidR="00CA7265" w:rsidRDefault="00CA7265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</w:p>
    <w:p w14:paraId="2C88A953" w14:textId="240ED896" w:rsidR="0064699F" w:rsidRPr="00CA7265" w:rsidRDefault="00093801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A7265">
        <w:rPr>
          <w:rFonts w:ascii="Times New Roman" w:hAnsi="Times New Roman" w:cs="Times New Roman"/>
          <w:b/>
          <w:bCs/>
        </w:rPr>
        <w:t>TEHNISKĀ SPECIFIKĀCIJA</w:t>
      </w:r>
    </w:p>
    <w:p w14:paraId="11D4AB40" w14:textId="665D6639" w:rsidR="0064699F" w:rsidRPr="00CA7265" w:rsidRDefault="00BB2CFA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CA7265">
        <w:rPr>
          <w:rFonts w:ascii="Times New Roman" w:hAnsi="Times New Roman" w:cs="Times New Roman"/>
          <w:i/>
          <w:iCs/>
        </w:rPr>
        <w:t>Ž</w:t>
      </w:r>
      <w:r w:rsidR="00093801" w:rsidRPr="00CA7265">
        <w:rPr>
          <w:rFonts w:ascii="Times New Roman" w:hAnsi="Times New Roman" w:cs="Times New Roman"/>
          <w:i/>
          <w:iCs/>
        </w:rPr>
        <w:t>alūziju izgatavošana</w:t>
      </w:r>
      <w:r w:rsidR="00225A8F" w:rsidRPr="00CA7265">
        <w:rPr>
          <w:rFonts w:ascii="Times New Roman" w:hAnsi="Times New Roman" w:cs="Times New Roman"/>
          <w:i/>
          <w:iCs/>
        </w:rPr>
        <w:t xml:space="preserve">, </w:t>
      </w:r>
      <w:r w:rsidR="00093801" w:rsidRPr="00CA7265">
        <w:rPr>
          <w:rFonts w:ascii="Times New Roman" w:hAnsi="Times New Roman" w:cs="Times New Roman"/>
          <w:i/>
          <w:iCs/>
        </w:rPr>
        <w:t xml:space="preserve">uzstādīšana </w:t>
      </w:r>
      <w:r w:rsidRPr="00CA7265">
        <w:rPr>
          <w:rFonts w:ascii="Times New Roman" w:hAnsi="Times New Roman" w:cs="Times New Roman"/>
          <w:i/>
          <w:iCs/>
        </w:rPr>
        <w:t>un</w:t>
      </w:r>
      <w:r w:rsidR="00093801" w:rsidRPr="00CA7265">
        <w:rPr>
          <w:rFonts w:ascii="Times New Roman" w:hAnsi="Times New Roman" w:cs="Times New Roman"/>
          <w:i/>
          <w:iCs/>
        </w:rPr>
        <w:t xml:space="preserve"> stikla virsmu aplīmēšana ar plēvi</w:t>
      </w:r>
    </w:p>
    <w:p w14:paraId="26BA5E6A" w14:textId="77777777" w:rsidR="0064699F" w:rsidRPr="00CA7265" w:rsidRDefault="0064699F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56C4C9C5" w14:textId="573AB9B0" w:rsidR="0064699F" w:rsidRPr="00CA7265" w:rsidRDefault="008F1577">
      <w:pPr>
        <w:spacing w:after="0" w:line="300" w:lineRule="auto"/>
        <w:jc w:val="both"/>
        <w:rPr>
          <w:rFonts w:ascii="Times New Roman" w:hAnsi="Times New Roman" w:cs="Times New Roman"/>
          <w:b/>
          <w:bCs/>
          <w:caps/>
        </w:rPr>
      </w:pPr>
      <w:r w:rsidRPr="00CA7265">
        <w:rPr>
          <w:rFonts w:ascii="Times New Roman" w:hAnsi="Times New Roman" w:cs="Times New Roman"/>
          <w:b/>
          <w:bCs/>
          <w:caps/>
        </w:rPr>
        <w:t>Pakalpojuma apraksts.</w:t>
      </w:r>
    </w:p>
    <w:p w14:paraId="567D6C6C" w14:textId="060131F2" w:rsidR="0064699F" w:rsidRPr="00CA7265" w:rsidRDefault="00093801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 xml:space="preserve">Pretendents saskaņā ar tehniskās specifikācijas noteikumiem apņemas </w:t>
      </w:r>
      <w:r w:rsidR="0009051A" w:rsidRPr="00CA7265">
        <w:rPr>
          <w:rFonts w:ascii="Times New Roman" w:hAnsi="Times New Roman" w:cs="Times New Roman"/>
        </w:rPr>
        <w:t>ar saviem spēkiem, personālu, darba rīkiem, iekārtām un materiāliem veikt žalūziju piegādi</w:t>
      </w:r>
      <w:r w:rsidRPr="00CA7265">
        <w:rPr>
          <w:rFonts w:ascii="Times New Roman" w:hAnsi="Times New Roman" w:cs="Times New Roman"/>
        </w:rPr>
        <w:t xml:space="preserve"> un uzstādī</w:t>
      </w:r>
      <w:r w:rsidR="0009051A" w:rsidRPr="00CA7265">
        <w:rPr>
          <w:rFonts w:ascii="Times New Roman" w:hAnsi="Times New Roman" w:cs="Times New Roman"/>
        </w:rPr>
        <w:t>šanu, remontu, tīrīšanu un stikla virsmu aplīmēšanu</w:t>
      </w:r>
      <w:r w:rsidRPr="00CA7265">
        <w:rPr>
          <w:rFonts w:ascii="Times New Roman" w:hAnsi="Times New Roman" w:cs="Times New Roman"/>
        </w:rPr>
        <w:t xml:space="preserve"> </w:t>
      </w:r>
      <w:r w:rsidR="007D0D8C" w:rsidRPr="00CA7265">
        <w:rPr>
          <w:rFonts w:ascii="Times New Roman" w:hAnsi="Times New Roman" w:cs="Times New Roman"/>
        </w:rPr>
        <w:t xml:space="preserve">ar plēvi </w:t>
      </w:r>
      <w:r w:rsidRPr="00CA7265">
        <w:rPr>
          <w:rFonts w:ascii="Times New Roman" w:hAnsi="Times New Roman" w:cs="Times New Roman"/>
        </w:rPr>
        <w:t>RP SIA „Rīgas satiksme</w:t>
      </w:r>
      <w:r w:rsidR="0009051A" w:rsidRPr="00CA7265">
        <w:rPr>
          <w:rFonts w:ascii="Times New Roman" w:hAnsi="Times New Roman" w:cs="Times New Roman"/>
        </w:rPr>
        <w:t xml:space="preserve">” objektos, </w:t>
      </w:r>
      <w:r w:rsidRPr="00CA7265">
        <w:rPr>
          <w:rFonts w:ascii="Times New Roman" w:hAnsi="Times New Roman" w:cs="Times New Roman"/>
        </w:rPr>
        <w:t>atbilstoši Pretendenta un RP SIA „Rīgas satiksme” pilnvaroto personu rakstiski saskaņotiem pasūtījumiem un specifikācijām (turpmāk tekstā – pakalpojums).</w:t>
      </w:r>
    </w:p>
    <w:p w14:paraId="2B49173A" w14:textId="77777777" w:rsidR="008F1577" w:rsidRPr="00CA7265" w:rsidRDefault="008F1577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</w:p>
    <w:p w14:paraId="2CFA72A7" w14:textId="4C653DBA" w:rsidR="008F1577" w:rsidRPr="00CA7265" w:rsidRDefault="008F1577" w:rsidP="008F1577">
      <w:pPr>
        <w:spacing w:after="0" w:line="300" w:lineRule="auto"/>
        <w:jc w:val="both"/>
        <w:rPr>
          <w:rFonts w:ascii="Times New Roman" w:hAnsi="Times New Roman" w:cs="Times New Roman"/>
          <w:b/>
          <w:bCs/>
          <w:caps/>
        </w:rPr>
      </w:pPr>
      <w:r w:rsidRPr="00CA7265">
        <w:rPr>
          <w:rFonts w:ascii="Times New Roman" w:hAnsi="Times New Roman" w:cs="Times New Roman"/>
          <w:b/>
          <w:bCs/>
          <w:caps/>
        </w:rPr>
        <w:t>Pakalpojuma SATURS</w:t>
      </w:r>
      <w:r w:rsidR="006F6975" w:rsidRPr="00CA7265">
        <w:rPr>
          <w:rFonts w:ascii="Times New Roman" w:hAnsi="Times New Roman" w:cs="Times New Roman"/>
          <w:b/>
          <w:bCs/>
          <w:caps/>
        </w:rPr>
        <w:t>.</w:t>
      </w:r>
    </w:p>
    <w:p w14:paraId="651256E8" w14:textId="0B9CF513" w:rsidR="00604475" w:rsidRPr="00CA7265" w:rsidRDefault="00604475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>Iepirkuma daļas:</w:t>
      </w:r>
    </w:p>
    <w:p w14:paraId="1F7297DF" w14:textId="6DD29479" w:rsidR="00604475" w:rsidRPr="00CA7265" w:rsidRDefault="00604475" w:rsidP="001570A6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>Žalūziju piegāde</w:t>
      </w:r>
      <w:r w:rsidR="007D0D8C" w:rsidRPr="00CA7265">
        <w:rPr>
          <w:rFonts w:ascii="Times New Roman" w:hAnsi="Times New Roman" w:cs="Times New Roman"/>
        </w:rPr>
        <w:t xml:space="preserve">, </w:t>
      </w:r>
      <w:r w:rsidRPr="00CA7265">
        <w:rPr>
          <w:rFonts w:ascii="Times New Roman" w:hAnsi="Times New Roman" w:cs="Times New Roman"/>
        </w:rPr>
        <w:t>uzstādīšana</w:t>
      </w:r>
      <w:r w:rsidR="007D0D8C" w:rsidRPr="00CA7265">
        <w:rPr>
          <w:rFonts w:ascii="Times New Roman" w:hAnsi="Times New Roman" w:cs="Times New Roman"/>
        </w:rPr>
        <w:t>, remonts un tīrīšana</w:t>
      </w:r>
      <w:r w:rsidR="001570A6" w:rsidRPr="00CA7265">
        <w:rPr>
          <w:rFonts w:ascii="Times New Roman" w:hAnsi="Times New Roman" w:cs="Times New Roman"/>
        </w:rPr>
        <w:t>;</w:t>
      </w:r>
    </w:p>
    <w:p w14:paraId="358C8408" w14:textId="750ECE70" w:rsidR="001570A6" w:rsidRPr="00CA7265" w:rsidRDefault="00225A8F" w:rsidP="001570A6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 xml:space="preserve">Stikla virsmu aplīmēšana </w:t>
      </w:r>
      <w:r w:rsidR="00F4427F" w:rsidRPr="00CA7265">
        <w:rPr>
          <w:rFonts w:ascii="Times New Roman" w:hAnsi="Times New Roman" w:cs="Times New Roman"/>
        </w:rPr>
        <w:t>ar plēvi.</w:t>
      </w:r>
    </w:p>
    <w:p w14:paraId="5CD98AA0" w14:textId="2548527D" w:rsidR="009148B9" w:rsidRPr="00CA7265" w:rsidRDefault="00807C68" w:rsidP="009148B9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>Līguma termiņš: 2 gadi</w:t>
      </w:r>
      <w:r w:rsidR="009148B9" w:rsidRPr="00CA7265">
        <w:rPr>
          <w:rFonts w:ascii="Times New Roman" w:hAnsi="Times New Roman" w:cs="Times New Roman"/>
        </w:rPr>
        <w:t>.</w:t>
      </w:r>
    </w:p>
    <w:p w14:paraId="79CA1DDE" w14:textId="7E911FF3" w:rsidR="000067A1" w:rsidRPr="00CA7265" w:rsidRDefault="000067A1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>Līguma izpildes vieta: RP SIA „Rīgas satiksme” objekti Rīgas pilsētas teritorijā.</w:t>
      </w:r>
    </w:p>
    <w:p w14:paraId="621192A4" w14:textId="77777777" w:rsidR="001A5855" w:rsidRPr="00CA7265" w:rsidRDefault="008F1577" w:rsidP="001A5855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>Katru Pakalpojuma pasūtījumu veic RP SIA „Rīgas satiksme” pilnvarotā persona, saskaņojot tā apjomu atbilstoši finanšu piedāvājuma noteiktiem izcenojumiem.</w:t>
      </w:r>
    </w:p>
    <w:p w14:paraId="2DE05D45" w14:textId="6D728159" w:rsidR="001A5855" w:rsidRPr="00CA7265" w:rsidRDefault="001A5855" w:rsidP="001A5855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Pirms </w:t>
      </w:r>
      <w:r w:rsidR="007D0D8C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veikt pakalpojumu</w:t>
      </w:r>
      <w:r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</w:t>
      </w:r>
      <w:r w:rsidR="00B80479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Izpildītājs</w:t>
      </w:r>
      <w:r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vienojas ar Pasūtītāju par</w:t>
      </w:r>
      <w:r w:rsidR="00B80479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pakalpojuma veikšanas</w:t>
      </w:r>
      <w:r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laiku, sazinoties ar </w:t>
      </w:r>
      <w:r w:rsidRPr="00CA7265">
        <w:rPr>
          <w:rFonts w:ascii="Times New Roman" w:hAnsi="Times New Roman" w:cs="Times New Roman"/>
        </w:rPr>
        <w:t>RP SIA „Rīgas satiksme” pilnvarot</w:t>
      </w:r>
      <w:r w:rsidR="00F12A53" w:rsidRPr="00CA7265">
        <w:rPr>
          <w:rFonts w:ascii="Times New Roman" w:hAnsi="Times New Roman" w:cs="Times New Roman"/>
        </w:rPr>
        <w:t>o</w:t>
      </w:r>
      <w:r w:rsidRPr="00CA7265">
        <w:rPr>
          <w:rFonts w:ascii="Times New Roman" w:hAnsi="Times New Roman" w:cs="Times New Roman"/>
        </w:rPr>
        <w:t xml:space="preserve"> personu</w:t>
      </w:r>
      <w:r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.</w:t>
      </w:r>
    </w:p>
    <w:p w14:paraId="2907DE1A" w14:textId="1504DEF4" w:rsidR="001A5855" w:rsidRPr="00CA7265" w:rsidRDefault="003831E8" w:rsidP="00793BB3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Pirms </w:t>
      </w:r>
      <w:r w:rsidR="00B80479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veikt pakalpojumu</w:t>
      </w:r>
      <w:r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</w:t>
      </w:r>
      <w:r w:rsidR="00B80479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Izpildītājam</w:t>
      </w:r>
      <w:r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ir nepieciešams precizēt mērījumus objektā, lai nodrošinātu savlaicīgu, kvalitatīvu un atbilstošu </w:t>
      </w:r>
      <w:r w:rsidR="00B80479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pakalpojuma izpildi.</w:t>
      </w:r>
    </w:p>
    <w:p w14:paraId="7DFEA057" w14:textId="271360FE" w:rsidR="00E04BDB" w:rsidRPr="00CA7265" w:rsidRDefault="00B80479" w:rsidP="00E04BDB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Izpildītājs</w:t>
      </w:r>
      <w:r w:rsidR="00793BB3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nodrošina Tehniskā specifikācijā norādīt</w:t>
      </w:r>
      <w:r w:rsidR="00975299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o</w:t>
      </w:r>
      <w:r w:rsidR="00793BB3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975299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pakalpojumu izpildi,</w:t>
      </w:r>
      <w:r w:rsidR="00793BB3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atbilstošā apjomā un kvalitātē un nododot Pasūtītājam kvalitatīvi un droši </w:t>
      </w:r>
      <w:r w:rsidR="00975299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veikto pakalpojumu.</w:t>
      </w:r>
    </w:p>
    <w:p w14:paraId="65EFB24D" w14:textId="443289D0" w:rsidR="008064E5" w:rsidRPr="00CA7265" w:rsidRDefault="00B80479" w:rsidP="00813C36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Izpildītājs</w:t>
      </w:r>
      <w:r w:rsidR="00E04BDB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ir atbildīgs par saudzīgu </w:t>
      </w:r>
      <w:r w:rsidR="00975299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un kvalitatīvu pakalpojuma veikšanu</w:t>
      </w:r>
      <w:r w:rsidR="00E04BDB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lai </w:t>
      </w:r>
      <w:r w:rsidR="00975299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pakalpojuma vei</w:t>
      </w:r>
      <w:r w:rsidR="00B156F5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k</w:t>
      </w:r>
      <w:r w:rsidR="00975299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šanas</w:t>
      </w:r>
      <w:r w:rsidR="00E04BDB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rezultātā netiktu bojāta telpu apdare. Gadījumā, ja telpu apdare tiek bojāta (grīdas, sienu, griestu skrāpējumi, bojāts krāsojums, nekvalitatīvi veikti urbumi u.c.), bojājumu novēršanu </w:t>
      </w:r>
      <w:r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Izpildītāj</w:t>
      </w:r>
      <w:r w:rsidR="00E04BDB" w:rsidRPr="00CA7265">
        <w:rPr>
          <w:rFonts w:ascii="Times New Roman" w:eastAsia="SimSun" w:hAnsi="Times New Roman" w:cs="Times New Roman"/>
          <w:bCs/>
          <w:kern w:val="3"/>
          <w:lang w:eastAsia="zh-CN" w:bidi="hi-IN"/>
        </w:rPr>
        <w:t>s sedz par saviem līdzekļiem, nodrošinot apdares atjaunošanu sākotnējā kvalitātē.</w:t>
      </w:r>
    </w:p>
    <w:p w14:paraId="31CF38C3" w14:textId="54509845" w:rsidR="00807C68" w:rsidRPr="00CA7265" w:rsidRDefault="00093801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>Žalūziju un plēvju uzmērīšanas darbus</w:t>
      </w:r>
      <w:r w:rsidR="00440BF9" w:rsidRPr="00CA7265">
        <w:rPr>
          <w:rFonts w:ascii="Times New Roman" w:hAnsi="Times New Roman" w:cs="Times New Roman"/>
        </w:rPr>
        <w:t xml:space="preserve"> Izpildītājs</w:t>
      </w:r>
      <w:r w:rsidRPr="00CA7265">
        <w:rPr>
          <w:rFonts w:ascii="Times New Roman" w:hAnsi="Times New Roman" w:cs="Times New Roman"/>
        </w:rPr>
        <w:t xml:space="preserve"> veic </w:t>
      </w:r>
      <w:r w:rsidR="009220BF" w:rsidRPr="00CA7265">
        <w:rPr>
          <w:rFonts w:ascii="Times New Roman" w:hAnsi="Times New Roman" w:cs="Times New Roman"/>
        </w:rPr>
        <w:t xml:space="preserve">3 </w:t>
      </w:r>
      <w:r w:rsidRPr="00CA7265">
        <w:rPr>
          <w:rFonts w:ascii="Times New Roman" w:hAnsi="Times New Roman" w:cs="Times New Roman"/>
        </w:rPr>
        <w:t>darba dien</w:t>
      </w:r>
      <w:r w:rsidR="009220BF" w:rsidRPr="00CA7265">
        <w:rPr>
          <w:rFonts w:ascii="Times New Roman" w:hAnsi="Times New Roman" w:cs="Times New Roman"/>
        </w:rPr>
        <w:t>u laikā no pasūtījuma saņemšanas dienas.</w:t>
      </w:r>
    </w:p>
    <w:p w14:paraId="22B7824F" w14:textId="1799171D" w:rsidR="00807C68" w:rsidRPr="00CA7265" w:rsidRDefault="009220BF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 xml:space="preserve">Pakalpojuma izpildes termiņš </w:t>
      </w:r>
      <w:r w:rsidR="00EE3D25" w:rsidRPr="00CA7265">
        <w:rPr>
          <w:rFonts w:ascii="Times New Roman" w:hAnsi="Times New Roman" w:cs="Times New Roman"/>
        </w:rPr>
        <w:t xml:space="preserve">- </w:t>
      </w:r>
      <w:r w:rsidR="00B95E86" w:rsidRPr="00CA7265">
        <w:rPr>
          <w:rFonts w:ascii="Times New Roman" w:hAnsi="Times New Roman" w:cs="Times New Roman"/>
        </w:rPr>
        <w:t>1</w:t>
      </w:r>
      <w:r w:rsidR="00440BF9" w:rsidRPr="00CA7265">
        <w:rPr>
          <w:rFonts w:ascii="Times New Roman" w:hAnsi="Times New Roman" w:cs="Times New Roman"/>
        </w:rPr>
        <w:t>0</w:t>
      </w:r>
      <w:r w:rsidRPr="00CA7265">
        <w:rPr>
          <w:rFonts w:ascii="Times New Roman" w:hAnsi="Times New Roman" w:cs="Times New Roman"/>
        </w:rPr>
        <w:t xml:space="preserve"> (</w:t>
      </w:r>
      <w:r w:rsidR="00440BF9" w:rsidRPr="00CA7265">
        <w:rPr>
          <w:rFonts w:ascii="Times New Roman" w:hAnsi="Times New Roman" w:cs="Times New Roman"/>
        </w:rPr>
        <w:t>de</w:t>
      </w:r>
      <w:r w:rsidR="00B95E86" w:rsidRPr="00CA7265">
        <w:rPr>
          <w:rFonts w:ascii="Times New Roman" w:hAnsi="Times New Roman" w:cs="Times New Roman"/>
        </w:rPr>
        <w:t>smit</w:t>
      </w:r>
      <w:r w:rsidRPr="00CA7265">
        <w:rPr>
          <w:rFonts w:ascii="Times New Roman" w:hAnsi="Times New Roman" w:cs="Times New Roman"/>
        </w:rPr>
        <w:t xml:space="preserve">) </w:t>
      </w:r>
      <w:r w:rsidR="00440BF9" w:rsidRPr="00CA7265">
        <w:rPr>
          <w:rFonts w:ascii="Times New Roman" w:hAnsi="Times New Roman" w:cs="Times New Roman"/>
        </w:rPr>
        <w:t xml:space="preserve">darba </w:t>
      </w:r>
      <w:r w:rsidRPr="00CA7265">
        <w:rPr>
          <w:rFonts w:ascii="Times New Roman" w:hAnsi="Times New Roman" w:cs="Times New Roman"/>
        </w:rPr>
        <w:t>dien</w:t>
      </w:r>
      <w:r w:rsidR="002D7A54" w:rsidRPr="00CA7265">
        <w:rPr>
          <w:rFonts w:ascii="Times New Roman" w:hAnsi="Times New Roman" w:cs="Times New Roman"/>
        </w:rPr>
        <w:t>as</w:t>
      </w:r>
      <w:r w:rsidR="00EE3D25" w:rsidRPr="00CA7265">
        <w:rPr>
          <w:rFonts w:ascii="Times New Roman" w:hAnsi="Times New Roman" w:cs="Times New Roman"/>
        </w:rPr>
        <w:t xml:space="preserve"> no specifikācijas saskaņošanas dienas</w:t>
      </w:r>
      <w:r w:rsidR="002D7A54" w:rsidRPr="00CA7265">
        <w:rPr>
          <w:rFonts w:ascii="Times New Roman" w:hAnsi="Times New Roman" w:cs="Times New Roman"/>
        </w:rPr>
        <w:t>.</w:t>
      </w:r>
    </w:p>
    <w:p w14:paraId="591D6FCE" w14:textId="0BAC6A3B" w:rsidR="00807C68" w:rsidRPr="00CA7265" w:rsidRDefault="00093801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>Konstatēto žalūziju bojājumu, defektu novēršana</w:t>
      </w:r>
      <w:r w:rsidR="00EE3D25" w:rsidRPr="00CA7265">
        <w:rPr>
          <w:rFonts w:ascii="Times New Roman" w:hAnsi="Times New Roman" w:cs="Times New Roman"/>
        </w:rPr>
        <w:t xml:space="preserve"> </w:t>
      </w:r>
      <w:r w:rsidR="00440BF9" w:rsidRPr="00CA7265">
        <w:rPr>
          <w:rFonts w:ascii="Times New Roman" w:hAnsi="Times New Roman" w:cs="Times New Roman"/>
        </w:rPr>
        <w:t>3</w:t>
      </w:r>
      <w:r w:rsidRPr="00CA7265">
        <w:rPr>
          <w:rFonts w:ascii="Times New Roman" w:hAnsi="Times New Roman" w:cs="Times New Roman"/>
        </w:rPr>
        <w:t xml:space="preserve"> (</w:t>
      </w:r>
      <w:r w:rsidR="00440BF9" w:rsidRPr="00CA7265">
        <w:rPr>
          <w:rFonts w:ascii="Times New Roman" w:hAnsi="Times New Roman" w:cs="Times New Roman"/>
        </w:rPr>
        <w:t>trīs)</w:t>
      </w:r>
      <w:r w:rsidRPr="00CA7265">
        <w:rPr>
          <w:rFonts w:ascii="Times New Roman" w:hAnsi="Times New Roman" w:cs="Times New Roman"/>
        </w:rPr>
        <w:t xml:space="preserve"> darba dienu laikā </w:t>
      </w:r>
      <w:r w:rsidR="00EE3D25" w:rsidRPr="00CA7265">
        <w:rPr>
          <w:rFonts w:ascii="Times New Roman" w:hAnsi="Times New Roman" w:cs="Times New Roman"/>
        </w:rPr>
        <w:t>no pasūtījuma saņemšanas dienas.</w:t>
      </w:r>
      <w:r w:rsidR="00440BF9" w:rsidRPr="00CA7265">
        <w:rPr>
          <w:rFonts w:ascii="Times New Roman" w:hAnsi="Times New Roman" w:cs="Times New Roman"/>
        </w:rPr>
        <w:t xml:space="preserve"> Ja objektīvu iemeslu dēļ, bojājumu novēršanai būs nepieciešams ilgāks laiks, rakstiski tiek saskaņots cits ierašanās laiks.</w:t>
      </w:r>
    </w:p>
    <w:p w14:paraId="2CC2F0A5" w14:textId="76E9EF95" w:rsidR="00807C68" w:rsidRPr="00CA7265" w:rsidRDefault="00440BF9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>Izpildītājs</w:t>
      </w:r>
      <w:r w:rsidR="00807C68" w:rsidRPr="00CA7265">
        <w:rPr>
          <w:rFonts w:ascii="Times New Roman" w:hAnsi="Times New Roman" w:cs="Times New Roman"/>
        </w:rPr>
        <w:t xml:space="preserve"> saviem spēkiem un ar saviem līdzekļiem veic nolietoto/nomaināmo žalūziju atbilstošu utilizāciju.</w:t>
      </w:r>
    </w:p>
    <w:p w14:paraId="53559176" w14:textId="349C86AC" w:rsidR="009148B9" w:rsidRPr="00CA7265" w:rsidRDefault="00813C36" w:rsidP="009148B9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>Pasūtītājs, var pasūtīt pakalpojumu, kas nav iekļauts Tehniskajā specifikācijā, nepārsniedzot 15% (piecpadsmit) no kopējas Līguma summas bez PVN.</w:t>
      </w:r>
    </w:p>
    <w:p w14:paraId="0F25A4BF" w14:textId="151093C6" w:rsidR="00AE756B" w:rsidRPr="00CA7265" w:rsidRDefault="00807C68" w:rsidP="00813C36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</w:rPr>
      </w:pPr>
      <w:r w:rsidRPr="00CA7265">
        <w:rPr>
          <w:rFonts w:ascii="Times New Roman" w:hAnsi="Times New Roman" w:cs="Times New Roman"/>
        </w:rPr>
        <w:t>Garantijas termiņš jaunām žalūzijām un plēvēm 2 (divi) gadi no uzstādīšanas dienas.</w:t>
      </w:r>
      <w:r w:rsidR="00AE756B" w:rsidRPr="00CA7265">
        <w:rPr>
          <w:rFonts w:ascii="Times New Roman" w:hAnsi="Times New Roman" w:cs="Times New Roman"/>
        </w:rPr>
        <w:t xml:space="preserve"> Garantijas laikā Piegādātājs ir atbildīgs par katru Preces defektu, ja vien tas nav radies Preces nepareizas ekspluatācijas dēļ</w:t>
      </w:r>
      <w:r w:rsidR="00377676" w:rsidRPr="00CA7265">
        <w:rPr>
          <w:rFonts w:ascii="Times New Roman" w:hAnsi="Times New Roman" w:cs="Times New Roman"/>
        </w:rPr>
        <w:t>.</w:t>
      </w:r>
    </w:p>
    <w:p w14:paraId="7C45C49D" w14:textId="4D5D4B7C" w:rsidR="00807C68" w:rsidRPr="00AD45D0" w:rsidRDefault="00807C68" w:rsidP="00AE75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512003" w14:textId="77777777" w:rsidR="00807C68" w:rsidRPr="00AD45D0" w:rsidRDefault="00807C68" w:rsidP="00807C6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95646D" w14:textId="673AAF7E" w:rsidR="00807C68" w:rsidRPr="00AD45D0" w:rsidRDefault="00807C68" w:rsidP="00807C68">
      <w:pPr>
        <w:pStyle w:val="ListParagraph"/>
        <w:spacing w:after="0" w:line="30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6B6564" w14:textId="201D8765" w:rsidR="00807C68" w:rsidRPr="00AD45D0" w:rsidRDefault="00807C68" w:rsidP="00807C68">
      <w:pPr>
        <w:pStyle w:val="ListParagraph"/>
        <w:spacing w:after="0" w:line="30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A438B4" w14:textId="77777777" w:rsidR="00FF1827" w:rsidRPr="00AD45D0" w:rsidRDefault="00FF1827" w:rsidP="00DF46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1827" w:rsidRPr="00AD45D0" w:rsidSect="00CA7265">
      <w:footerReference w:type="default" r:id="rId11"/>
      <w:pgSz w:w="11906" w:h="16838"/>
      <w:pgMar w:top="568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824A7" w14:textId="77777777" w:rsidR="005D05EF" w:rsidRDefault="005D05EF">
      <w:pPr>
        <w:spacing w:after="0" w:line="240" w:lineRule="auto"/>
      </w:pPr>
      <w:r>
        <w:separator/>
      </w:r>
    </w:p>
  </w:endnote>
  <w:endnote w:type="continuationSeparator" w:id="0">
    <w:p w14:paraId="10BC0684" w14:textId="77777777" w:rsidR="005D05EF" w:rsidRDefault="005D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045321"/>
      <w:docPartObj>
        <w:docPartGallery w:val="Page Numbers (Top of Page)"/>
        <w:docPartUnique/>
      </w:docPartObj>
    </w:sdtPr>
    <w:sdtEndPr/>
    <w:sdtContent>
      <w:p w14:paraId="3758E63A" w14:textId="77777777" w:rsidR="0064699F" w:rsidRDefault="00093801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no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NUMPAGES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89090" w14:textId="77777777" w:rsidR="005D05EF" w:rsidRDefault="005D05EF">
      <w:pPr>
        <w:spacing w:after="0" w:line="240" w:lineRule="auto"/>
      </w:pPr>
      <w:r>
        <w:separator/>
      </w:r>
    </w:p>
  </w:footnote>
  <w:footnote w:type="continuationSeparator" w:id="0">
    <w:p w14:paraId="3F6B07E5" w14:textId="77777777" w:rsidR="005D05EF" w:rsidRDefault="005D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1183"/>
    <w:multiLevelType w:val="multilevel"/>
    <w:tmpl w:val="D854CD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E6F1DC8"/>
    <w:multiLevelType w:val="hybridMultilevel"/>
    <w:tmpl w:val="8EF014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4704"/>
    <w:multiLevelType w:val="hybridMultilevel"/>
    <w:tmpl w:val="5E44B34C"/>
    <w:lvl w:ilvl="0" w:tplc="84AE7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7263E"/>
    <w:multiLevelType w:val="hybridMultilevel"/>
    <w:tmpl w:val="117AC974"/>
    <w:lvl w:ilvl="0" w:tplc="4E34B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B175C9"/>
    <w:multiLevelType w:val="hybridMultilevel"/>
    <w:tmpl w:val="5E44B34C"/>
    <w:lvl w:ilvl="0" w:tplc="84AE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61C3E"/>
    <w:multiLevelType w:val="multilevel"/>
    <w:tmpl w:val="D80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F54A52"/>
    <w:multiLevelType w:val="hybridMultilevel"/>
    <w:tmpl w:val="286ABB44"/>
    <w:lvl w:ilvl="0" w:tplc="B83A3F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9F"/>
    <w:rsid w:val="000067A1"/>
    <w:rsid w:val="00063473"/>
    <w:rsid w:val="0009051A"/>
    <w:rsid w:val="00093801"/>
    <w:rsid w:val="00093E06"/>
    <w:rsid w:val="00156F26"/>
    <w:rsid w:val="001570A6"/>
    <w:rsid w:val="001A5855"/>
    <w:rsid w:val="00225A8F"/>
    <w:rsid w:val="00237100"/>
    <w:rsid w:val="0025778C"/>
    <w:rsid w:val="002D7A54"/>
    <w:rsid w:val="00360910"/>
    <w:rsid w:val="00377676"/>
    <w:rsid w:val="003831E8"/>
    <w:rsid w:val="00440BF9"/>
    <w:rsid w:val="005A0B83"/>
    <w:rsid w:val="005D05EF"/>
    <w:rsid w:val="005D765F"/>
    <w:rsid w:val="006043E6"/>
    <w:rsid w:val="00604475"/>
    <w:rsid w:val="0064699F"/>
    <w:rsid w:val="006F6975"/>
    <w:rsid w:val="007914BC"/>
    <w:rsid w:val="00793BB3"/>
    <w:rsid w:val="007D0D8C"/>
    <w:rsid w:val="007D68F1"/>
    <w:rsid w:val="008064E5"/>
    <w:rsid w:val="00807C68"/>
    <w:rsid w:val="00813C36"/>
    <w:rsid w:val="008F1577"/>
    <w:rsid w:val="009022D8"/>
    <w:rsid w:val="009148B9"/>
    <w:rsid w:val="009220BF"/>
    <w:rsid w:val="00975299"/>
    <w:rsid w:val="009A1866"/>
    <w:rsid w:val="009B5AB3"/>
    <w:rsid w:val="00A0024A"/>
    <w:rsid w:val="00A44BD9"/>
    <w:rsid w:val="00A770E0"/>
    <w:rsid w:val="00AC2155"/>
    <w:rsid w:val="00AD45D0"/>
    <w:rsid w:val="00AE756B"/>
    <w:rsid w:val="00AF300A"/>
    <w:rsid w:val="00B156F5"/>
    <w:rsid w:val="00B80479"/>
    <w:rsid w:val="00B95E86"/>
    <w:rsid w:val="00BB032D"/>
    <w:rsid w:val="00BB2CFA"/>
    <w:rsid w:val="00BC30E9"/>
    <w:rsid w:val="00C543A8"/>
    <w:rsid w:val="00CA7265"/>
    <w:rsid w:val="00D07955"/>
    <w:rsid w:val="00DB0A0F"/>
    <w:rsid w:val="00DF466B"/>
    <w:rsid w:val="00E02D8B"/>
    <w:rsid w:val="00E04BDB"/>
    <w:rsid w:val="00E849BB"/>
    <w:rsid w:val="00E90D5A"/>
    <w:rsid w:val="00EB3366"/>
    <w:rsid w:val="00EC3204"/>
    <w:rsid w:val="00EC6161"/>
    <w:rsid w:val="00EE3D25"/>
    <w:rsid w:val="00F12A53"/>
    <w:rsid w:val="00F4427F"/>
    <w:rsid w:val="00FF1827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8EA9"/>
  <w15:docId w15:val="{E5EFF8E9-2A5F-46B5-A348-7A8FCBA2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77B51"/>
  </w:style>
  <w:style w:type="character" w:customStyle="1" w:styleId="FooterChar">
    <w:name w:val="Footer Char"/>
    <w:basedOn w:val="DefaultParagraphFont"/>
    <w:link w:val="Footer"/>
    <w:uiPriority w:val="99"/>
    <w:qFormat/>
    <w:rsid w:val="00277B51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0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B51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77B51"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577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E8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E9"/>
    <w:rPr>
      <w:rFonts w:ascii="Segoe UI" w:hAnsi="Segoe UI" w:cs="Segoe UI"/>
      <w:sz w:val="18"/>
      <w:szCs w:val="18"/>
    </w:rPr>
  </w:style>
  <w:style w:type="table" w:customStyle="1" w:styleId="TableGrid14">
    <w:name w:val="Table Grid14"/>
    <w:basedOn w:val="TableNormal"/>
    <w:next w:val="TableGrid"/>
    <w:uiPriority w:val="39"/>
    <w:rsid w:val="009A1866"/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A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122A-B9B5-4662-AE57-B650A96B9CB7}">
  <ds:schemaRefs>
    <ds:schemaRef ds:uri="http://purl.org/dc/elements/1.1/"/>
    <ds:schemaRef ds:uri="http://schemas.microsoft.com/office/2006/documentManagement/types"/>
    <ds:schemaRef ds:uri="http://purl.org/dc/dcmitype/"/>
    <ds:schemaRef ds:uri="d2efd33a-ec35-444a-b013-df773ebf2477"/>
    <ds:schemaRef ds:uri="http://purl.org/dc/terms/"/>
    <ds:schemaRef ds:uri="d9579869-82f1-4f80-8f24-9589b63f6ba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21C382-BDED-4103-9F50-70F134283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65883-2ECF-47BF-8CC8-45FE23E3E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F280D-F835-4636-BBD7-C5959838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dc:description/>
  <cp:lastModifiedBy>Astra Bērziņa</cp:lastModifiedBy>
  <cp:revision>5</cp:revision>
  <cp:lastPrinted>2022-06-21T13:30:00Z</cp:lastPrinted>
  <dcterms:created xsi:type="dcterms:W3CDTF">2022-06-21T09:49:00Z</dcterms:created>
  <dcterms:modified xsi:type="dcterms:W3CDTF">2022-06-27T09:52:00Z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0x010100A99682F1AE72FD41AC9DC559A02B9CB1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