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8420" w14:textId="77777777" w:rsidR="006354ED" w:rsidRDefault="006354ED" w:rsidP="00074E6A">
      <w:pPr>
        <w:pStyle w:val="ListParagraph"/>
        <w:spacing w:line="0" w:lineRule="atLeast"/>
        <w:jc w:val="center"/>
        <w:rPr>
          <w:b/>
        </w:rPr>
      </w:pPr>
      <w:r>
        <w:rPr>
          <w:b/>
        </w:rPr>
        <w:t>TEHNISKĀ SPECIFIKĀCIJA</w:t>
      </w:r>
    </w:p>
    <w:p w14:paraId="73539F28" w14:textId="7C555206" w:rsidR="006354ED" w:rsidRDefault="006354ED" w:rsidP="00074E6A">
      <w:pPr>
        <w:pStyle w:val="ListParagraph"/>
        <w:spacing w:line="0" w:lineRule="atLeast"/>
        <w:jc w:val="center"/>
        <w:rPr>
          <w:bCs/>
          <w:i/>
          <w:iCs/>
        </w:rPr>
      </w:pPr>
      <w:r>
        <w:rPr>
          <w:bCs/>
          <w:i/>
          <w:iCs/>
        </w:rPr>
        <w:t xml:space="preserve">Par </w:t>
      </w:r>
      <w:r w:rsidR="00D43B87">
        <w:rPr>
          <w:bCs/>
          <w:i/>
          <w:iCs/>
        </w:rPr>
        <w:t>dabas</w:t>
      </w:r>
      <w:r>
        <w:rPr>
          <w:bCs/>
          <w:i/>
          <w:iCs/>
        </w:rPr>
        <w:t>gāzes piegādi</w:t>
      </w:r>
    </w:p>
    <w:p w14:paraId="6A0DB212" w14:textId="77777777" w:rsidR="006354ED" w:rsidRDefault="006354ED" w:rsidP="00580D18">
      <w:pPr>
        <w:spacing w:line="0" w:lineRule="atLeast"/>
        <w:jc w:val="both"/>
        <w:rPr>
          <w:rFonts w:ascii="Times New Roman" w:hAnsi="Times New Roman"/>
          <w:b/>
          <w:szCs w:val="24"/>
        </w:rPr>
      </w:pPr>
    </w:p>
    <w:p w14:paraId="7276C213" w14:textId="77777777" w:rsidR="006354ED" w:rsidRDefault="006354ED" w:rsidP="00580D18">
      <w:pPr>
        <w:spacing w:line="0" w:lineRule="atLeast"/>
        <w:jc w:val="both"/>
        <w:rPr>
          <w:rFonts w:ascii="Times New Roman" w:hAnsi="Times New Roman"/>
          <w:szCs w:val="24"/>
        </w:rPr>
      </w:pPr>
    </w:p>
    <w:p w14:paraId="51003DAD" w14:textId="6569837E" w:rsidR="006354ED" w:rsidRPr="00F50B36" w:rsidRDefault="006354ED" w:rsidP="00902915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Piegādātājs piegādā dabas gāzi valsts Rīgas pašvaldības sabiedrības ar ierobežotu atbildību ”Rīgas </w:t>
      </w:r>
      <w:r w:rsidRPr="00F50B36">
        <w:rPr>
          <w:rFonts w:ascii="Times New Roman" w:hAnsi="Times New Roman"/>
          <w:szCs w:val="24"/>
        </w:rPr>
        <w:t>Satiksme” (turpmāk - Pasūtītājs) īpašumā un pārvaldīšanā esošajiem nekustamajiem īpašumiem.</w:t>
      </w:r>
    </w:p>
    <w:p w14:paraId="114AE98C" w14:textId="2FB1EC22" w:rsidR="006354ED" w:rsidRPr="00F50B36" w:rsidRDefault="00580D18" w:rsidP="009029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eastAsia="lv-LV"/>
        </w:rPr>
      </w:pPr>
      <w:r w:rsidRPr="00902915">
        <w:rPr>
          <w:rFonts w:ascii="Times New Roman" w:hAnsi="Times New Roman"/>
          <w:b/>
          <w:bCs/>
          <w:szCs w:val="24"/>
          <w:lang w:eastAsia="lv-LV"/>
        </w:rPr>
        <w:t>Dabasgāzes izmantošanas mērķis</w:t>
      </w:r>
      <w:r w:rsidRPr="00F50B36">
        <w:rPr>
          <w:rFonts w:ascii="Times New Roman" w:hAnsi="Times New Roman"/>
          <w:szCs w:val="24"/>
          <w:lang w:eastAsia="lv-LV"/>
        </w:rPr>
        <w:t xml:space="preserve"> – Apkures sistēmas darbības un karstā ūdens uzsildīšanas nodrošināšanai.</w:t>
      </w:r>
    </w:p>
    <w:p w14:paraId="7AFE415A" w14:textId="77777777" w:rsidR="00F2007B" w:rsidRPr="00F50B36" w:rsidRDefault="00F2007B" w:rsidP="00580D18">
      <w:pPr>
        <w:jc w:val="both"/>
        <w:rPr>
          <w:rFonts w:ascii="Times New Roman" w:hAnsi="Times New Roman"/>
          <w:b/>
          <w:bCs/>
          <w:szCs w:val="24"/>
        </w:rPr>
      </w:pPr>
    </w:p>
    <w:p w14:paraId="6BAC8F93" w14:textId="269BF182" w:rsidR="00F91F2E" w:rsidRPr="00F50B36" w:rsidRDefault="006354ED" w:rsidP="00B90D14">
      <w:pPr>
        <w:spacing w:after="120"/>
        <w:jc w:val="center"/>
        <w:rPr>
          <w:rFonts w:ascii="Times New Roman" w:hAnsi="Times New Roman"/>
          <w:szCs w:val="24"/>
        </w:rPr>
      </w:pPr>
      <w:r w:rsidRPr="00F50B36">
        <w:rPr>
          <w:rFonts w:ascii="Times New Roman" w:hAnsi="Times New Roman"/>
          <w:szCs w:val="24"/>
        </w:rPr>
        <w:t>Pasūtītāja objektu saraksts un dabasgāzes patēriņ</w:t>
      </w:r>
      <w:r w:rsidR="003D5150" w:rsidRPr="00F50B36">
        <w:rPr>
          <w:rFonts w:ascii="Times New Roman" w:hAnsi="Times New Roman"/>
          <w:szCs w:val="24"/>
        </w:rPr>
        <w:t xml:space="preserve">š </w:t>
      </w:r>
      <w:r w:rsidR="00B90D14" w:rsidRPr="00F50B36">
        <w:rPr>
          <w:rFonts w:ascii="Times New Roman" w:hAnsi="Times New Roman"/>
          <w:szCs w:val="24"/>
        </w:rPr>
        <w:t>gadā</w:t>
      </w:r>
      <w:r w:rsidR="005303D4" w:rsidRPr="00F50B36">
        <w:rPr>
          <w:rFonts w:ascii="Times New Roman" w:hAnsi="Times New Roman"/>
          <w:szCs w:val="24"/>
        </w:rPr>
        <w:t>*</w:t>
      </w:r>
    </w:p>
    <w:tbl>
      <w:tblPr>
        <w:tblW w:w="10065" w:type="dxa"/>
        <w:tblInd w:w="-436" w:type="dxa"/>
        <w:tblLook w:val="04A0" w:firstRow="1" w:lastRow="0" w:firstColumn="1" w:lastColumn="0" w:noHBand="0" w:noVBand="1"/>
      </w:tblPr>
      <w:tblGrid>
        <w:gridCol w:w="4537"/>
        <w:gridCol w:w="1749"/>
        <w:gridCol w:w="1828"/>
        <w:gridCol w:w="1951"/>
      </w:tblGrid>
      <w:tr w:rsidR="00F50B36" w:rsidRPr="00F50B36" w14:paraId="5CCE5A24" w14:textId="77777777" w:rsidTr="009D3C7C">
        <w:trPr>
          <w:trHeight w:val="1020"/>
        </w:trPr>
        <w:tc>
          <w:tcPr>
            <w:tcW w:w="4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60CE10E" w14:textId="77777777" w:rsidR="00F91F2E" w:rsidRPr="00F50B36" w:rsidRDefault="00F91F2E" w:rsidP="00D7697B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F50B36">
              <w:rPr>
                <w:rFonts w:ascii="Times New Roman" w:hAnsi="Times New Roman"/>
                <w:szCs w:val="24"/>
                <w:lang w:eastAsia="lv-LV"/>
              </w:rPr>
              <w:t>Gazificētā objekta adrese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22AA3B" w14:textId="77777777" w:rsidR="00F91F2E" w:rsidRPr="00F50B36" w:rsidRDefault="00F91F2E" w:rsidP="00D7697B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F50B36">
              <w:rPr>
                <w:rFonts w:ascii="Times New Roman" w:hAnsi="Times New Roman"/>
                <w:szCs w:val="24"/>
                <w:lang w:eastAsia="lv-LV"/>
              </w:rPr>
              <w:t>Prognozējamais gāzes patēriņš gadā, nm</w:t>
            </w:r>
            <w:r w:rsidRPr="00F50B36">
              <w:rPr>
                <w:rFonts w:ascii="Times New Roman" w:hAnsi="Times New Roman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9729A" w14:textId="77777777" w:rsidR="00F91F2E" w:rsidRPr="00F50B36" w:rsidRDefault="00F91F2E" w:rsidP="00D7697B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</w:p>
          <w:p w14:paraId="71DE3743" w14:textId="77777777" w:rsidR="00F91F2E" w:rsidRPr="00F50B36" w:rsidRDefault="00F91F2E" w:rsidP="00D7697B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F50B36">
              <w:rPr>
                <w:rFonts w:ascii="Times New Roman" w:hAnsi="Times New Roman"/>
                <w:szCs w:val="24"/>
                <w:lang w:eastAsia="lv-LV"/>
              </w:rPr>
              <w:t>Objekta tirgus numurs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FB03D1" w14:textId="77777777" w:rsidR="00F91F2E" w:rsidRPr="00F50B36" w:rsidRDefault="00F91F2E" w:rsidP="00D7697B">
            <w:pPr>
              <w:jc w:val="center"/>
              <w:rPr>
                <w:rFonts w:ascii="Times New Roman" w:hAnsi="Times New Roman"/>
                <w:szCs w:val="24"/>
                <w:lang w:eastAsia="lv-LV"/>
              </w:rPr>
            </w:pPr>
            <w:r w:rsidRPr="00F50B36">
              <w:rPr>
                <w:rFonts w:ascii="Times New Roman" w:hAnsi="Times New Roman"/>
                <w:szCs w:val="24"/>
                <w:lang w:eastAsia="lv-LV"/>
              </w:rPr>
              <w:t>Atļautā maksimālā dabasgāzes padeves slodze, m</w:t>
            </w:r>
            <w:r w:rsidRPr="00F50B36">
              <w:rPr>
                <w:rFonts w:ascii="Times New Roman" w:hAnsi="Times New Roman"/>
                <w:szCs w:val="24"/>
                <w:vertAlign w:val="superscript"/>
                <w:lang w:eastAsia="lv-LV"/>
              </w:rPr>
              <w:t>3</w:t>
            </w:r>
            <w:r w:rsidRPr="00F50B36">
              <w:rPr>
                <w:rFonts w:ascii="Times New Roman" w:hAnsi="Times New Roman"/>
                <w:szCs w:val="24"/>
                <w:lang w:eastAsia="lv-LV"/>
              </w:rPr>
              <w:t>/h</w:t>
            </w:r>
          </w:p>
        </w:tc>
      </w:tr>
      <w:tr w:rsidR="00F91F2E" w14:paraId="065EEA92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0299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9A87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755 440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1D2BB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A004981608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6E37CA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715</w:t>
            </w:r>
          </w:p>
        </w:tc>
      </w:tr>
      <w:tr w:rsidR="00F91F2E" w14:paraId="0BCB5794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A0A2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Vestienas iela 35,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262B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41 320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905C1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A005888364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8EAE8E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146.45</w:t>
            </w:r>
          </w:p>
        </w:tc>
      </w:tr>
      <w:tr w:rsidR="00F91F2E" w14:paraId="46B83678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8204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Jelgavas iela 37,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77E3C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293 280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2B923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A005174394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E53892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354.6</w:t>
            </w:r>
          </w:p>
        </w:tc>
      </w:tr>
      <w:tr w:rsidR="00F91F2E" w14:paraId="5C907E9A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7622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Ezermalas iela 32,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6B657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6 620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E0618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A004132748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DC7C12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10</w:t>
            </w:r>
          </w:p>
        </w:tc>
      </w:tr>
      <w:tr w:rsidR="00F91F2E" w14:paraId="28A45AFE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BF66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Brīvības iela 191,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C83A6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7 890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337BE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A005174383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2E55F4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100</w:t>
            </w:r>
          </w:p>
        </w:tc>
      </w:tr>
      <w:tr w:rsidR="00F91F2E" w14:paraId="38312361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496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Atgāzenes iela 24A,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23ED0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6 780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0A6FA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A004707400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29092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10</w:t>
            </w:r>
          </w:p>
        </w:tc>
      </w:tr>
      <w:tr w:rsidR="00F91F2E" w14:paraId="748F6872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2145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Rūsiņa iela 3,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43687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7 590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C8014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A005233323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6A7175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6</w:t>
            </w:r>
          </w:p>
        </w:tc>
      </w:tr>
      <w:tr w:rsidR="00F91F2E" w14:paraId="23933E7D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E08A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Vienības gatve 6,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0E32D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109 800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1567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A005898413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FA0B60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90</w:t>
            </w:r>
          </w:p>
        </w:tc>
      </w:tr>
      <w:tr w:rsidR="00F91F2E" w14:paraId="70AE4CF5" w14:textId="77777777" w:rsidTr="009D3C7C">
        <w:trPr>
          <w:trHeight w:val="316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D1085E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Tipogrāfijas iela 1, Rīga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AD884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30 500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0F5AD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A005174409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DD0C0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65</w:t>
            </w:r>
          </w:p>
        </w:tc>
      </w:tr>
      <w:tr w:rsidR="00F91F2E" w14:paraId="2C61FB9B" w14:textId="77777777" w:rsidTr="009D3C7C">
        <w:trPr>
          <w:trHeight w:val="645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CB52D4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Kopējais prognozētas patēriņa apjoms gadā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8AB9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lv-LV"/>
              </w:rPr>
              <w:t>1 259 220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7B0C6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  <w:tc>
          <w:tcPr>
            <w:tcW w:w="1951" w:type="dxa"/>
            <w:vAlign w:val="center"/>
            <w:hideMark/>
          </w:tcPr>
          <w:p w14:paraId="1CE58668" w14:textId="77777777" w:rsidR="00F91F2E" w:rsidRDefault="00F91F2E" w:rsidP="00580D18">
            <w:pPr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</w:p>
        </w:tc>
      </w:tr>
    </w:tbl>
    <w:p w14:paraId="7D4A1A01" w14:textId="541CBDE3" w:rsidR="00747608" w:rsidRPr="000C550B" w:rsidRDefault="00747608" w:rsidP="00747608">
      <w:pPr>
        <w:jc w:val="both"/>
        <w:rPr>
          <w:rFonts w:ascii="Times New Roman" w:hAnsi="Times New Roman"/>
          <w:i/>
          <w:iCs/>
          <w:color w:val="000000"/>
          <w:szCs w:val="24"/>
        </w:rPr>
      </w:pPr>
      <w:r w:rsidRPr="000C550B">
        <w:rPr>
          <w:i/>
          <w:iCs/>
        </w:rPr>
        <w:t>*</w:t>
      </w:r>
      <w:r w:rsidRPr="000C550B">
        <w:rPr>
          <w:rFonts w:ascii="Times New Roman" w:hAnsi="Times New Roman"/>
          <w:i/>
          <w:iCs/>
          <w:color w:val="000000"/>
          <w:szCs w:val="24"/>
        </w:rPr>
        <w:t xml:space="preserve"> Norādītajiem patēriņa apjomiem ir informatīvs raksturs</w:t>
      </w:r>
    </w:p>
    <w:p w14:paraId="549B0BF1" w14:textId="77777777" w:rsidR="000528A3" w:rsidRDefault="000528A3" w:rsidP="00580D18">
      <w:pPr>
        <w:jc w:val="both"/>
        <w:rPr>
          <w:rFonts w:ascii="Times New Roman" w:hAnsi="Times New Roman"/>
          <w:b/>
          <w:bCs/>
          <w:szCs w:val="24"/>
        </w:rPr>
      </w:pPr>
    </w:p>
    <w:p w14:paraId="58E86C53" w14:textId="5CD71010" w:rsidR="00F7534A" w:rsidRPr="00F7534A" w:rsidRDefault="00F7534A" w:rsidP="000528A3">
      <w:pPr>
        <w:spacing w:after="1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</w:t>
      </w:r>
      <w:r w:rsidRPr="00F91F2E">
        <w:rPr>
          <w:rFonts w:ascii="Times New Roman" w:hAnsi="Times New Roman"/>
          <w:b/>
          <w:bCs/>
          <w:szCs w:val="24"/>
        </w:rPr>
        <w:t>ehniskā informācija</w:t>
      </w:r>
      <w:r w:rsidR="000528A3">
        <w:rPr>
          <w:rFonts w:ascii="Times New Roman" w:hAnsi="Times New Roman"/>
          <w:b/>
          <w:bCs/>
          <w:szCs w:val="24"/>
        </w:rPr>
        <w:t>:</w:t>
      </w:r>
    </w:p>
    <w:p w14:paraId="2E61C307" w14:textId="43825378" w:rsidR="006354ED" w:rsidRPr="00902915" w:rsidRDefault="006354ED" w:rsidP="00902915">
      <w:pPr>
        <w:pStyle w:val="ListParagraph"/>
        <w:numPr>
          <w:ilvl w:val="0"/>
          <w:numId w:val="5"/>
        </w:numPr>
        <w:spacing w:line="276" w:lineRule="auto"/>
        <w:ind w:right="170"/>
        <w:jc w:val="both"/>
        <w:rPr>
          <w:vertAlign w:val="superscript"/>
        </w:rPr>
      </w:pPr>
      <w:r w:rsidRPr="00902915">
        <w:t xml:space="preserve">Kopējais Pasūtītājam nepieciešamās dabasgāzes apjoms gadā ir līdz  </w:t>
      </w:r>
      <w:r w:rsidR="003A53FD" w:rsidRPr="00902915">
        <w:t>1259220 nm</w:t>
      </w:r>
      <w:r w:rsidR="003A53FD" w:rsidRPr="00902915">
        <w:rPr>
          <w:vertAlign w:val="superscript"/>
        </w:rPr>
        <w:t>3</w:t>
      </w:r>
      <w:r w:rsidR="00B90D14" w:rsidRPr="00902915">
        <w:rPr>
          <w:vertAlign w:val="superscript"/>
        </w:rPr>
        <w:t>.</w:t>
      </w:r>
    </w:p>
    <w:p w14:paraId="293F8D88" w14:textId="1A8BD577" w:rsidR="00B90D14" w:rsidRPr="00902915" w:rsidRDefault="00B90D14" w:rsidP="00902915">
      <w:pPr>
        <w:pStyle w:val="ListParagraph"/>
        <w:numPr>
          <w:ilvl w:val="0"/>
          <w:numId w:val="5"/>
        </w:numPr>
        <w:spacing w:line="276" w:lineRule="auto"/>
        <w:ind w:right="170"/>
        <w:jc w:val="both"/>
      </w:pPr>
      <w:r w:rsidRPr="00902915">
        <w:t>Paredzēt</w:t>
      </w:r>
      <w:r w:rsidR="006B712E" w:rsidRPr="00902915">
        <w:t>a</w:t>
      </w:r>
      <w:r w:rsidR="006B712E" w:rsidRPr="00902915">
        <w:rPr>
          <w:vertAlign w:val="superscript"/>
        </w:rPr>
        <w:t xml:space="preserve"> </w:t>
      </w:r>
      <w:r w:rsidR="006B712E" w:rsidRPr="00902915">
        <w:t>līguma slēgšana uz 36 (trīsdesmit sešiem) mēnešiem.</w:t>
      </w:r>
    </w:p>
    <w:p w14:paraId="136CE822" w14:textId="7E9D1FAF" w:rsidR="006354ED" w:rsidRPr="00902915" w:rsidRDefault="006354ED" w:rsidP="009029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70"/>
        <w:jc w:val="both"/>
      </w:pPr>
      <w:r w:rsidRPr="00902915">
        <w:t>Pasūtītājs ir tiesīgs iegādāties tādu dabasgāzes apjomu, kāds nepieciešams Pasūtītāja struktūrvienību darbības nodrošināšanai un samazināt vai palielināt norādīto apjomu atkarībā no gada sezonas un laika apstākļiem.</w:t>
      </w:r>
    </w:p>
    <w:p w14:paraId="53D61ED6" w14:textId="2A2867D5" w:rsidR="00A8411C" w:rsidRPr="00902915" w:rsidRDefault="001876B0" w:rsidP="00902915">
      <w:pPr>
        <w:pStyle w:val="ListParagraph"/>
        <w:numPr>
          <w:ilvl w:val="0"/>
          <w:numId w:val="5"/>
        </w:numPr>
        <w:spacing w:line="276" w:lineRule="auto"/>
        <w:ind w:right="170"/>
        <w:jc w:val="both"/>
      </w:pPr>
      <w:r w:rsidRPr="00902915">
        <w:t>Pasūtī</w:t>
      </w:r>
      <w:r w:rsidR="00D57F8D" w:rsidRPr="00902915">
        <w:t>tājs</w:t>
      </w:r>
      <w:r w:rsidR="00A8411C" w:rsidRPr="00902915">
        <w:t xml:space="preserve"> saņemto dabasgāzes daudzumu uzskaita ar atbilstoši verificētām mērierīcēm.</w:t>
      </w:r>
    </w:p>
    <w:p w14:paraId="0E7F63AB" w14:textId="12B1AC18" w:rsidR="001876B0" w:rsidRPr="00902915" w:rsidRDefault="001876B0" w:rsidP="00902915">
      <w:pPr>
        <w:pStyle w:val="Punkts"/>
        <w:numPr>
          <w:ilvl w:val="0"/>
          <w:numId w:val="5"/>
        </w:numPr>
        <w:tabs>
          <w:tab w:val="left" w:pos="426"/>
        </w:tabs>
        <w:spacing w:line="276" w:lineRule="auto"/>
        <w:ind w:right="170"/>
        <w:contextualSpacing/>
        <w:jc w:val="both"/>
        <w:rPr>
          <w:rFonts w:ascii="Times New Roman" w:hAnsi="Times New Roman"/>
          <w:b w:val="0"/>
          <w:sz w:val="24"/>
        </w:rPr>
      </w:pPr>
      <w:r w:rsidRPr="00902915">
        <w:rPr>
          <w:rFonts w:ascii="Times New Roman" w:hAnsi="Times New Roman"/>
          <w:b w:val="0"/>
          <w:sz w:val="24"/>
        </w:rPr>
        <w:t>Apkures sezonas uzsākšanas un beigu termiņu nosaka Pasūtītājs, un Piegādātājs nav tiesīgs</w:t>
      </w:r>
      <w:r w:rsidR="006B712E" w:rsidRPr="00902915">
        <w:rPr>
          <w:rFonts w:ascii="Times New Roman" w:hAnsi="Times New Roman"/>
          <w:b w:val="0"/>
          <w:sz w:val="24"/>
        </w:rPr>
        <w:t xml:space="preserve"> </w:t>
      </w:r>
      <w:r w:rsidRPr="00902915">
        <w:rPr>
          <w:rFonts w:ascii="Times New Roman" w:hAnsi="Times New Roman"/>
          <w:b w:val="0"/>
          <w:sz w:val="24"/>
        </w:rPr>
        <w:t>celt jebkāda veida pretenzijas šajā sakarā.</w:t>
      </w:r>
    </w:p>
    <w:p w14:paraId="41D396F0" w14:textId="2BCFFEAA" w:rsidR="006354ED" w:rsidRPr="00902915" w:rsidRDefault="006354ED" w:rsidP="009029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70"/>
        <w:jc w:val="both"/>
      </w:pPr>
      <w:r w:rsidRPr="00902915">
        <w:lastRenderedPageBreak/>
        <w:t>Piegādātajai dabasgāzei jāatbilst Latvijas Republikas normatīvajos aktos – Enerģētikas likumā,</w:t>
      </w:r>
      <w:r w:rsidR="00B80756" w:rsidRPr="00902915">
        <w:t xml:space="preserve"> </w:t>
      </w:r>
      <w:r w:rsidRPr="00902915">
        <w:t>Dabasgāzes tirdzniecības un lietošanas noteikumos u.c., kas ir spēkā attiecīgās darbības veikšanas</w:t>
      </w:r>
      <w:r w:rsidR="00B80756" w:rsidRPr="00902915">
        <w:t xml:space="preserve"> </w:t>
      </w:r>
      <w:r w:rsidRPr="00902915">
        <w:t>brīdī, noteiktajām prasībām.</w:t>
      </w:r>
    </w:p>
    <w:p w14:paraId="5A7F3F86" w14:textId="401081D0" w:rsidR="006354ED" w:rsidRPr="00902915" w:rsidRDefault="006354ED" w:rsidP="009029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70"/>
        <w:jc w:val="both"/>
      </w:pPr>
      <w:r w:rsidRPr="00902915">
        <w:t>Pretendentam jāsniedz Pasūtītājam balansēšanas pakalpojums un piedāvājumā norādītajā</w:t>
      </w:r>
      <w:r w:rsidR="00127187" w:rsidRPr="00902915">
        <w:t xml:space="preserve"> </w:t>
      </w:r>
      <w:r w:rsidRPr="00902915">
        <w:t xml:space="preserve">dabasgāzes cenā jāiekļauj balansēšanas pakalpojuma cena. </w:t>
      </w:r>
    </w:p>
    <w:p w14:paraId="424F4D87" w14:textId="3FA281F9" w:rsidR="00756F4E" w:rsidRPr="00902915" w:rsidRDefault="00756F4E" w:rsidP="00902915">
      <w:pPr>
        <w:pStyle w:val="ListParagraph"/>
        <w:numPr>
          <w:ilvl w:val="0"/>
          <w:numId w:val="5"/>
        </w:numPr>
        <w:spacing w:line="276" w:lineRule="auto"/>
        <w:ind w:right="170"/>
        <w:jc w:val="both"/>
      </w:pPr>
      <w:r w:rsidRPr="00902915">
        <w:t>Pretendentam jāsniedz informācija par atļautās maksimālās slodzes lielumu katrā Pasūtītāja gazificētajā objektā.</w:t>
      </w:r>
    </w:p>
    <w:p w14:paraId="27475652" w14:textId="31CB99CF" w:rsidR="006354ED" w:rsidRPr="00902915" w:rsidRDefault="006354ED" w:rsidP="009029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70"/>
        <w:jc w:val="both"/>
      </w:pPr>
      <w:r w:rsidRPr="00902915">
        <w:t>Pretendentam iepirkuma līgumā noteiktajā kārtībā atsevišķiem Pasūtītāja objektiem dabasgāzes</w:t>
      </w:r>
      <w:r w:rsidR="00B80756" w:rsidRPr="00902915">
        <w:t xml:space="preserve"> </w:t>
      </w:r>
      <w:r w:rsidRPr="00902915">
        <w:t>piegāde jāpārtrauc vai dabasgāze jāpiegādā jauniem Pasūtītāja objektiem</w:t>
      </w:r>
      <w:r w:rsidR="00D77401" w:rsidRPr="00902915">
        <w:t xml:space="preserve"> par Līgumā noteikto dabasgāzes cenu</w:t>
      </w:r>
      <w:r w:rsidR="002A4680" w:rsidRPr="00902915">
        <w:t>.</w:t>
      </w:r>
    </w:p>
    <w:p w14:paraId="76C74FA4" w14:textId="062B9556" w:rsidR="00CD6611" w:rsidRPr="00902915" w:rsidRDefault="006C6010" w:rsidP="0090291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170"/>
        <w:jc w:val="both"/>
      </w:pPr>
      <w:r w:rsidRPr="00902915">
        <w:t>Pasūtītāja tiesības iepirkt tādu dabasgāzes apjomu, kāds nepieciešams un samazināt vai palielināt Līgumā norādīto apjomu objektu ietvaros un</w:t>
      </w:r>
      <w:r w:rsidR="008E2209" w:rsidRPr="00902915">
        <w:t xml:space="preserve"> </w:t>
      </w:r>
      <w:r w:rsidRPr="00902915">
        <w:t>Pretendentam nav tiesību pieprasīt, lai Pasūtītājs Līguma darbības laikā nopirktu un</w:t>
      </w:r>
      <w:r w:rsidR="004F7284" w:rsidRPr="00902915">
        <w:t xml:space="preserve"> </w:t>
      </w:r>
      <w:r w:rsidRPr="00902915">
        <w:t>apmaksātu dabasgāzi Nolikumā minētajā prognozētajā piegādes apjomā.</w:t>
      </w:r>
    </w:p>
    <w:p w14:paraId="51A3EFE2" w14:textId="0390E01C" w:rsidR="00D57F8D" w:rsidRPr="00902915" w:rsidRDefault="00D57F8D" w:rsidP="00902915">
      <w:pPr>
        <w:pStyle w:val="Punkts"/>
        <w:numPr>
          <w:ilvl w:val="0"/>
          <w:numId w:val="5"/>
        </w:numPr>
        <w:tabs>
          <w:tab w:val="left" w:pos="426"/>
        </w:tabs>
        <w:spacing w:line="276" w:lineRule="auto"/>
        <w:ind w:right="170"/>
        <w:contextualSpacing/>
        <w:jc w:val="both"/>
        <w:rPr>
          <w:rFonts w:ascii="Times New Roman" w:hAnsi="Times New Roman"/>
          <w:b w:val="0"/>
          <w:sz w:val="24"/>
        </w:rPr>
      </w:pPr>
      <w:r w:rsidRPr="00902915">
        <w:rPr>
          <w:rFonts w:ascii="Times New Roman" w:hAnsi="Times New Roman"/>
          <w:b w:val="0"/>
          <w:sz w:val="24"/>
        </w:rPr>
        <w:t>Par dabasgāzes piegādes pārtraukumu sakarā ar plānotu dabasgāzes sistēmu atvienošanu</w:t>
      </w:r>
      <w:r w:rsidR="00034F8A" w:rsidRPr="00902915">
        <w:rPr>
          <w:rFonts w:ascii="Times New Roman" w:hAnsi="Times New Roman"/>
          <w:b w:val="0"/>
          <w:sz w:val="24"/>
        </w:rPr>
        <w:t xml:space="preserve"> </w:t>
      </w:r>
      <w:r w:rsidRPr="00902915">
        <w:rPr>
          <w:rFonts w:ascii="Times New Roman" w:hAnsi="Times New Roman"/>
          <w:b w:val="0"/>
          <w:sz w:val="24"/>
        </w:rPr>
        <w:t xml:space="preserve">Piegādātājs, ja šāda informācija ir tā rīcība, elektroniski nosūta paziņojumu Pasūtītājam uz līgumā norādīto kontaktpersonas elektroniskā pasta adresi, brīdina </w:t>
      </w:r>
      <w:r w:rsidR="00565F0E" w:rsidRPr="00902915">
        <w:rPr>
          <w:rFonts w:ascii="Times New Roman" w:hAnsi="Times New Roman"/>
          <w:b w:val="0"/>
          <w:sz w:val="24"/>
        </w:rPr>
        <w:t>Pasūtītāju</w:t>
      </w:r>
      <w:r w:rsidRPr="00902915">
        <w:rPr>
          <w:rFonts w:ascii="Times New Roman" w:hAnsi="Times New Roman"/>
          <w:b w:val="0"/>
          <w:sz w:val="24"/>
        </w:rPr>
        <w:t xml:space="preserve"> ne vēlāk kā 5 darba dienas iepriekš.</w:t>
      </w:r>
    </w:p>
    <w:p w14:paraId="570C6523" w14:textId="0EE01D23" w:rsidR="00123EFE" w:rsidRPr="00902915" w:rsidRDefault="00123EFE" w:rsidP="00902915">
      <w:pPr>
        <w:spacing w:line="276" w:lineRule="auto"/>
        <w:ind w:right="170"/>
        <w:jc w:val="both"/>
        <w:rPr>
          <w:rFonts w:ascii="Times New Roman" w:hAnsi="Times New Roman"/>
          <w:szCs w:val="24"/>
        </w:rPr>
      </w:pPr>
    </w:p>
    <w:sectPr w:rsidR="00123EFE" w:rsidRPr="009029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1" w15:restartNumberingAfterBreak="0">
    <w:nsid w:val="1B652668"/>
    <w:multiLevelType w:val="hybridMultilevel"/>
    <w:tmpl w:val="32707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37061"/>
    <w:multiLevelType w:val="hybridMultilevel"/>
    <w:tmpl w:val="44F27D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67A6B"/>
    <w:multiLevelType w:val="hybridMultilevel"/>
    <w:tmpl w:val="3B2EC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577D0"/>
    <w:multiLevelType w:val="hybridMultilevel"/>
    <w:tmpl w:val="3C84E0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D"/>
    <w:rsid w:val="00034F8A"/>
    <w:rsid w:val="000528A3"/>
    <w:rsid w:val="00074E6A"/>
    <w:rsid w:val="000C550B"/>
    <w:rsid w:val="00123EFE"/>
    <w:rsid w:val="00127187"/>
    <w:rsid w:val="001370C6"/>
    <w:rsid w:val="00156856"/>
    <w:rsid w:val="0016093D"/>
    <w:rsid w:val="00170E91"/>
    <w:rsid w:val="001876B0"/>
    <w:rsid w:val="001958F9"/>
    <w:rsid w:val="001D7747"/>
    <w:rsid w:val="001F46D6"/>
    <w:rsid w:val="00292F47"/>
    <w:rsid w:val="002A4680"/>
    <w:rsid w:val="002C00C0"/>
    <w:rsid w:val="002F1704"/>
    <w:rsid w:val="003000F4"/>
    <w:rsid w:val="00324D53"/>
    <w:rsid w:val="003315A2"/>
    <w:rsid w:val="00341218"/>
    <w:rsid w:val="00344136"/>
    <w:rsid w:val="00375629"/>
    <w:rsid w:val="003A53FD"/>
    <w:rsid w:val="003D5150"/>
    <w:rsid w:val="003E6DAF"/>
    <w:rsid w:val="004D6EA8"/>
    <w:rsid w:val="004F7284"/>
    <w:rsid w:val="00515029"/>
    <w:rsid w:val="005303D4"/>
    <w:rsid w:val="005313B1"/>
    <w:rsid w:val="00540816"/>
    <w:rsid w:val="00565F0E"/>
    <w:rsid w:val="00570A7D"/>
    <w:rsid w:val="00580D18"/>
    <w:rsid w:val="005C033B"/>
    <w:rsid w:val="006354ED"/>
    <w:rsid w:val="006B712E"/>
    <w:rsid w:val="006C6010"/>
    <w:rsid w:val="00726A46"/>
    <w:rsid w:val="00747608"/>
    <w:rsid w:val="0075095B"/>
    <w:rsid w:val="00756F4E"/>
    <w:rsid w:val="007617D8"/>
    <w:rsid w:val="007846A0"/>
    <w:rsid w:val="007D3CE6"/>
    <w:rsid w:val="007E78F3"/>
    <w:rsid w:val="008150BE"/>
    <w:rsid w:val="00854F4E"/>
    <w:rsid w:val="00867286"/>
    <w:rsid w:val="00877E4A"/>
    <w:rsid w:val="00884DA8"/>
    <w:rsid w:val="008C5CEF"/>
    <w:rsid w:val="008E2209"/>
    <w:rsid w:val="00902915"/>
    <w:rsid w:val="009668FC"/>
    <w:rsid w:val="009D3C7C"/>
    <w:rsid w:val="00A12891"/>
    <w:rsid w:val="00A8411C"/>
    <w:rsid w:val="00AA7409"/>
    <w:rsid w:val="00AF7613"/>
    <w:rsid w:val="00B80756"/>
    <w:rsid w:val="00B85BD8"/>
    <w:rsid w:val="00B90D14"/>
    <w:rsid w:val="00B94D4D"/>
    <w:rsid w:val="00CA5F67"/>
    <w:rsid w:val="00CD6611"/>
    <w:rsid w:val="00CE6118"/>
    <w:rsid w:val="00D376EF"/>
    <w:rsid w:val="00D43B87"/>
    <w:rsid w:val="00D57F8D"/>
    <w:rsid w:val="00D65E0F"/>
    <w:rsid w:val="00D7697B"/>
    <w:rsid w:val="00D77401"/>
    <w:rsid w:val="00E00FD8"/>
    <w:rsid w:val="00E407DB"/>
    <w:rsid w:val="00E65AA5"/>
    <w:rsid w:val="00EC724C"/>
    <w:rsid w:val="00F14C93"/>
    <w:rsid w:val="00F2007B"/>
    <w:rsid w:val="00F420B3"/>
    <w:rsid w:val="00F50B36"/>
    <w:rsid w:val="00F7534A"/>
    <w:rsid w:val="00F91F2E"/>
    <w:rsid w:val="00FA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28F4AE"/>
  <w15:chartTrackingRefBased/>
  <w15:docId w15:val="{2F78E86A-29E0-4FC8-8957-DED4C6B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ED"/>
    <w:pPr>
      <w:spacing w:after="0" w:line="240" w:lineRule="auto"/>
    </w:pPr>
    <w:rPr>
      <w:rFonts w:ascii="Arial" w:eastAsia="Times New Roman" w:hAnsi="Arial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H&amp;P List Paragraph Char,Normal bullet 2 Char,Bullet list Char,Colorful List - Accent 12 Char,2 Char"/>
    <w:link w:val="ListParagraph"/>
    <w:uiPriority w:val="34"/>
    <w:qFormat/>
    <w:locked/>
    <w:rsid w:val="006354E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aliases w:val="Strip,H&amp;P List Paragraph,Normal bullet 2,Bullet list,Colorful List - Accent 12,2"/>
    <w:basedOn w:val="Normal"/>
    <w:link w:val="ListParagraphChar"/>
    <w:uiPriority w:val="34"/>
    <w:qFormat/>
    <w:rsid w:val="006354ED"/>
    <w:pPr>
      <w:ind w:left="720"/>
      <w:contextualSpacing/>
    </w:pPr>
    <w:rPr>
      <w:rFonts w:ascii="Times New Roman" w:hAnsi="Times New Roman"/>
      <w:szCs w:val="24"/>
      <w:lang w:eastAsia="lv-LV"/>
    </w:rPr>
  </w:style>
  <w:style w:type="paragraph" w:customStyle="1" w:styleId="Apakpunkts">
    <w:name w:val="Apakšpunkts"/>
    <w:basedOn w:val="Normal"/>
    <w:rsid w:val="007846A0"/>
    <w:pPr>
      <w:numPr>
        <w:ilvl w:val="1"/>
        <w:numId w:val="2"/>
      </w:numPr>
    </w:pPr>
    <w:rPr>
      <w:b/>
      <w:sz w:val="20"/>
      <w:szCs w:val="24"/>
      <w:lang w:eastAsia="lv-LV"/>
    </w:rPr>
  </w:style>
  <w:style w:type="paragraph" w:customStyle="1" w:styleId="Punkts">
    <w:name w:val="Punkts"/>
    <w:basedOn w:val="Normal"/>
    <w:next w:val="Apakpunkts"/>
    <w:rsid w:val="007846A0"/>
    <w:pPr>
      <w:numPr>
        <w:numId w:val="2"/>
      </w:numPr>
    </w:pPr>
    <w:rPr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Normal"/>
    <w:rsid w:val="007846A0"/>
    <w:pPr>
      <w:numPr>
        <w:ilvl w:val="2"/>
        <w:numId w:val="2"/>
      </w:numPr>
      <w:jc w:val="both"/>
    </w:pPr>
    <w:rPr>
      <w:sz w:val="20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87</cp:revision>
  <dcterms:created xsi:type="dcterms:W3CDTF">2021-04-21T09:48:00Z</dcterms:created>
  <dcterms:modified xsi:type="dcterms:W3CDTF">2021-04-22T12:37:00Z</dcterms:modified>
</cp:coreProperties>
</file>