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7D00293C" w:rsidR="005D1BC8" w:rsidRPr="00BB40B2" w:rsidRDefault="005D1BC8" w:rsidP="00655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517471">
        <w:rPr>
          <w:rFonts w:ascii="Times New Roman" w:hAnsi="Times New Roman" w:cs="Times New Roman"/>
          <w:b/>
          <w:bCs/>
          <w:sz w:val="24"/>
          <w:szCs w:val="24"/>
        </w:rPr>
        <w:t xml:space="preserve"> UN PIEDĀVĀJUMU </w:t>
      </w:r>
      <w:r w:rsidR="00AA72C1">
        <w:rPr>
          <w:rFonts w:ascii="Times New Roman" w:hAnsi="Times New Roman" w:cs="Times New Roman"/>
          <w:b/>
          <w:bCs/>
          <w:sz w:val="24"/>
          <w:szCs w:val="24"/>
        </w:rPr>
        <w:t>VĒRTĒŠANAS KRITĒRIJI</w:t>
      </w:r>
    </w:p>
    <w:p w14:paraId="1B201215" w14:textId="070611D3" w:rsidR="00521553" w:rsidRDefault="004D6202" w:rsidP="00655C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D6202">
        <w:rPr>
          <w:rFonts w:ascii="Times New Roman" w:hAnsi="Times New Roman" w:cs="Times New Roman"/>
          <w:i/>
          <w:iCs/>
          <w:sz w:val="24"/>
          <w:szCs w:val="24"/>
        </w:rPr>
        <w:t>īkla komutatoru un maršrutētāju piegāde</w:t>
      </w:r>
    </w:p>
    <w:p w14:paraId="41703500" w14:textId="77777777" w:rsidR="00521553" w:rsidRDefault="00521553" w:rsidP="00655C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A79B44F" w:rsidR="005D1BC8" w:rsidRPr="00BB40B2" w:rsidRDefault="005D1BC8" w:rsidP="0065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AD1C8D">
        <w:rPr>
          <w:rFonts w:ascii="Times New Roman" w:hAnsi="Times New Roman" w:cs="Times New Roman"/>
          <w:sz w:val="24"/>
          <w:szCs w:val="24"/>
        </w:rPr>
        <w:t>2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2A91AED0" w:rsidR="005D1BC8" w:rsidRPr="00BB40B2" w:rsidRDefault="005D1BC8" w:rsidP="00655C88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1AD99BCF" w:rsidR="009213FC" w:rsidRPr="00BB40B2" w:rsidRDefault="00A36758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AD1C8D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32BC53FC" w:rsidR="009213FC" w:rsidRPr="00BB40B2" w:rsidRDefault="00A36758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4D6202">
              <w:rPr>
                <w:rFonts w:ascii="Times New Roman" w:hAnsi="Times New Roman" w:cs="Times New Roman"/>
                <w:b/>
                <w:sz w:val="24"/>
                <w:szCs w:val="24"/>
              </w:rPr>
              <w:t>piegādāta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655C88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65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465F5E" w14:textId="6A80CF89" w:rsidR="004D6202" w:rsidRPr="004D6202" w:rsidRDefault="004D6202" w:rsidP="00655C88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202">
        <w:rPr>
          <w:rFonts w:ascii="Times New Roman" w:hAnsi="Times New Roman" w:cs="Times New Roman"/>
          <w:bCs/>
          <w:sz w:val="24"/>
          <w:szCs w:val="24"/>
        </w:rPr>
        <w:t>turpmāk tekstā - pretendents</w:t>
      </w:r>
    </w:p>
    <w:p w14:paraId="3F9857CE" w14:textId="67ACE7D2" w:rsidR="005D1BC8" w:rsidRPr="00BB40B2" w:rsidRDefault="005D1BC8" w:rsidP="00655C88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6E78DE7" w14:textId="37F1FF91" w:rsidR="00BD3E41" w:rsidRDefault="00BD3E41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tai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tā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PVN maksātāju reģistra (ja persona ir PVN maksātāj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F456B9A" w14:textId="6003EA9F" w:rsidR="00BD3E41" w:rsidRPr="00513E0D" w:rsidRDefault="00BD3E41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iesniegsim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personām.</w:t>
      </w:r>
    </w:p>
    <w:p w14:paraId="753D9BDA" w14:textId="6A2808C9" w:rsidR="00BD3E41" w:rsidRPr="00513E0D" w:rsidRDefault="00BD3E41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u 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648EFE" w14:textId="4751E799" w:rsidR="00BD3E41" w:rsidRDefault="00BD3E41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F60F9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T</w:t>
      </w:r>
      <w:r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0908036D" w:rsidR="00BD3E41" w:rsidRPr="00BB40B2" w:rsidRDefault="00AA72C1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23A4CD0F" w:rsidR="00BD3E41" w:rsidRPr="00BB40B2" w:rsidRDefault="00AA72C1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BB40B2" w14:paraId="2DB1BD02" w14:textId="77777777" w:rsidTr="00AC2A4D">
        <w:trPr>
          <w:jc w:val="center"/>
        </w:trPr>
        <w:tc>
          <w:tcPr>
            <w:tcW w:w="5000" w:type="pct"/>
          </w:tcPr>
          <w:p w14:paraId="785F0A61" w14:textId="3D2B510E" w:rsidR="00BD3E41" w:rsidRPr="00BB40B2" w:rsidRDefault="00BD3E41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2E4E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BB40B2" w:rsidRDefault="00BD3E41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6ACC561" w14:textId="0AA09870" w:rsidR="00BD3E41" w:rsidRPr="00A91A5D" w:rsidRDefault="00BD3E41" w:rsidP="00655C88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A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60F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1A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210E9">
        <w:rPr>
          <w:rFonts w:ascii="Times New Roman" w:hAnsi="Times New Roman" w:cs="Times New Roman"/>
          <w:bCs/>
          <w:sz w:val="24"/>
          <w:szCs w:val="24"/>
        </w:rPr>
        <w:t>Pretendenta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pieredze 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līdzīgu </w:t>
      </w:r>
      <w:r w:rsidR="00F60F98">
        <w:rPr>
          <w:rFonts w:ascii="Times New Roman" w:hAnsi="Times New Roman" w:cs="Times New Roman"/>
          <w:bCs/>
          <w:sz w:val="24"/>
          <w:szCs w:val="24"/>
        </w:rPr>
        <w:t>piegāžu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7AF">
        <w:rPr>
          <w:rFonts w:ascii="Times New Roman" w:hAnsi="Times New Roman" w:cs="Times New Roman"/>
          <w:bCs/>
          <w:sz w:val="24"/>
          <w:szCs w:val="24"/>
        </w:rPr>
        <w:t>izpildē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(norādiet ne vairāk kā </w:t>
      </w:r>
      <w:r w:rsidR="007D4EA5">
        <w:rPr>
          <w:rFonts w:ascii="Times New Roman" w:hAnsi="Times New Roman" w:cs="Times New Roman"/>
          <w:bCs/>
          <w:sz w:val="24"/>
          <w:szCs w:val="24"/>
        </w:rPr>
        <w:t>3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atbilstošākos </w:t>
      </w:r>
      <w:r w:rsidR="005D3835">
        <w:rPr>
          <w:rFonts w:ascii="Times New Roman" w:hAnsi="Times New Roman" w:cs="Times New Roman"/>
          <w:bCs/>
          <w:sz w:val="24"/>
          <w:szCs w:val="24"/>
        </w:rPr>
        <w:t>izpildītos līgumus par iepirkuma priekšmetu</w:t>
      </w:r>
      <w:r w:rsidR="00507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>pēdējo 3 (trīs) gadu laikā):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960"/>
        <w:gridCol w:w="3128"/>
      </w:tblGrid>
      <w:tr w:rsidR="005D3835" w:rsidRPr="00A91A5D" w14:paraId="214778DC" w14:textId="77777777" w:rsidTr="005D3835">
        <w:trPr>
          <w:cantSplit/>
          <w:trHeight w:val="1153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885197" w14:textId="77777777" w:rsidR="005D3835" w:rsidRPr="00A91A5D" w:rsidRDefault="005D3835" w:rsidP="00655C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AEF5EE" w14:textId="783FB337" w:rsidR="005D3835" w:rsidRPr="00A91A5D" w:rsidRDefault="005D3835" w:rsidP="00655C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Līgumcena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1D90C3" w14:textId="2F4CF61C" w:rsidR="005D3835" w:rsidRPr="00A91A5D" w:rsidRDefault="005D3835" w:rsidP="00655C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gads</w:t>
            </w:r>
          </w:p>
        </w:tc>
      </w:tr>
      <w:tr w:rsidR="005D3835" w:rsidRPr="00A91A5D" w14:paraId="70C37BDC" w14:textId="77777777" w:rsidTr="00760383">
        <w:trPr>
          <w:trHeight w:val="2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58AD" w14:textId="2F3131EB" w:rsidR="005D3835" w:rsidRPr="00F80590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EE8" w14:textId="77777777" w:rsidR="005D3835" w:rsidRPr="00A91A5D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362E" w14:textId="77777777" w:rsidR="005D3835" w:rsidRPr="00A91A5D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4BC5" w14:textId="77777777" w:rsidR="005D3835" w:rsidRPr="00A91A5D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835" w:rsidRPr="00A91A5D" w14:paraId="2DECD091" w14:textId="77777777" w:rsidTr="00760383">
        <w:trPr>
          <w:trHeight w:val="2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A913" w14:textId="0B425647" w:rsidR="005D3835" w:rsidRPr="00F80590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606" w14:textId="77777777" w:rsidR="005D3835" w:rsidRPr="00A91A5D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0E64" w14:textId="77777777" w:rsidR="005D3835" w:rsidRPr="00A91A5D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CF9F" w14:textId="77777777" w:rsidR="005D3835" w:rsidRPr="00A91A5D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835" w:rsidRPr="00A91A5D" w14:paraId="2667C66F" w14:textId="77777777" w:rsidTr="00760383">
        <w:trPr>
          <w:trHeight w:val="2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A214A" w14:textId="62D8D7B4" w:rsidR="005D3835" w:rsidRPr="00F80590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34A" w14:textId="77777777" w:rsidR="005D3835" w:rsidRPr="00A91A5D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47955" w14:textId="77777777" w:rsidR="005D3835" w:rsidRPr="00A91A5D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F777E" w14:textId="77777777" w:rsidR="005D3835" w:rsidRPr="00A91A5D" w:rsidRDefault="005D3835" w:rsidP="00655C88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B001A3" w14:textId="77777777" w:rsidR="00517471" w:rsidRDefault="00517471" w:rsidP="00517471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469DD" w14:textId="2A19B7E1" w:rsidR="00BD3E41" w:rsidRPr="00BB40B2" w:rsidRDefault="00BD3E41" w:rsidP="00655C88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71A510C6" w14:textId="4D23E6C5" w:rsidR="00664AFF" w:rsidRDefault="00634723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4723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63472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Cenas piedāvājums ir norādīts </w:t>
      </w:r>
      <w:r w:rsidR="0023018E">
        <w:rPr>
          <w:rFonts w:ascii="Times New Roman" w:hAnsi="Times New Roman" w:cs="Times New Roman"/>
          <w:bCs/>
          <w:sz w:val="24"/>
          <w:szCs w:val="24"/>
          <w:lang w:eastAsia="ar-SA"/>
        </w:rPr>
        <w:t>Tehniskajā specifikācijā</w:t>
      </w:r>
      <w:r w:rsidR="000D1E4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FCCB571" w14:textId="503B0B78" w:rsidR="00634723" w:rsidRPr="005C3C29" w:rsidRDefault="007158EB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158EB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3018E">
        <w:rPr>
          <w:rFonts w:ascii="Times New Roman" w:hAnsi="Times New Roman" w:cs="Times New Roman"/>
          <w:bCs/>
          <w:sz w:val="24"/>
          <w:szCs w:val="24"/>
          <w:lang w:eastAsia="ar-SA"/>
        </w:rPr>
        <w:t>Piegādes maksimālais izpildes laika periods ir</w:t>
      </w:r>
      <w:r w:rsidR="00F75A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(norādīt dienās)</w:t>
      </w:r>
      <w:r w:rsidR="0023018E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</w:t>
      </w:r>
      <w:r w:rsidR="00F75AE2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23018E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6FE21885" w14:textId="498DD929" w:rsidR="007610E9" w:rsidRDefault="00634723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23018E">
        <w:rPr>
          <w:rFonts w:ascii="Times New Roman" w:hAnsi="Times New Roman" w:cs="Times New Roman"/>
          <w:bCs/>
          <w:sz w:val="24"/>
          <w:szCs w:val="24"/>
          <w:lang w:eastAsia="ar-SA"/>
        </w:rPr>
        <w:t>Garantijas laiks ir vismaz 24 mēneši no faktiskās piegādes dienas:</w:t>
      </w:r>
    </w:p>
    <w:p w14:paraId="28AA5585" w14:textId="390C28C8" w:rsidR="007610E9" w:rsidRDefault="00AA72C1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14685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18E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610E9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610E9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15344E3D" w14:textId="792CCB86" w:rsidR="007610E9" w:rsidRPr="005C3C29" w:rsidRDefault="00AA72C1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2073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E9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610E9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610E9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419C943B" w14:textId="2F8D96F4" w:rsidR="00E166E4" w:rsidRPr="005C3C29" w:rsidRDefault="007610E9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610E9">
        <w:rPr>
          <w:rFonts w:ascii="Times New Roman" w:hAnsi="Times New Roman" w:cs="Times New Roman"/>
          <w:bCs/>
          <w:sz w:val="24"/>
          <w:szCs w:val="24"/>
          <w:lang w:eastAsia="ar-SA"/>
        </w:rPr>
        <w:t>Ja atbilde uz jautājumu ir „</w:t>
      </w:r>
      <w:r w:rsidR="0023018E">
        <w:rPr>
          <w:rFonts w:ascii="Times New Roman" w:hAnsi="Times New Roman" w:cs="Times New Roman"/>
          <w:bCs/>
          <w:sz w:val="24"/>
          <w:szCs w:val="24"/>
          <w:lang w:eastAsia="ar-SA"/>
        </w:rPr>
        <w:t>Nē</w:t>
      </w:r>
      <w:r w:rsidRPr="007610E9">
        <w:rPr>
          <w:rFonts w:ascii="Times New Roman" w:hAnsi="Times New Roman" w:cs="Times New Roman"/>
          <w:bCs/>
          <w:sz w:val="24"/>
          <w:szCs w:val="24"/>
          <w:lang w:eastAsia="ar-SA"/>
        </w:rPr>
        <w:t>”, lūdz</w:t>
      </w:r>
      <w:r w:rsidR="00680598">
        <w:rPr>
          <w:rFonts w:ascii="Times New Roman" w:hAnsi="Times New Roman" w:cs="Times New Roman"/>
          <w:bCs/>
          <w:sz w:val="24"/>
          <w:szCs w:val="24"/>
          <w:lang w:eastAsia="ar-SA"/>
        </w:rPr>
        <w:t>am sniegt informāciju par pretendenta piedāvāto garantijas laika periodu no faktiskās piegādes dienas (mēnešos):_______________________________.</w:t>
      </w:r>
      <w:r w:rsidRPr="007610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B666CEB" w14:textId="491898EE" w:rsidR="00796B6C" w:rsidRPr="00BB40B2" w:rsidRDefault="00680598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96B6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96B6C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796B6C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655C88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50E1368B" w14:textId="25B4D22E" w:rsidR="00796B6C" w:rsidRPr="00BB40B2" w:rsidRDefault="00796B6C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80598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655C88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CACEAA5" w14:textId="317D163B" w:rsidR="0082599E" w:rsidRDefault="0082599E" w:rsidP="00655C88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AA72C1">
        <w:rPr>
          <w:rFonts w:ascii="Times New Roman" w:hAnsi="Times New Roman" w:cs="Times New Roman"/>
          <w:b/>
          <w:sz w:val="24"/>
          <w:szCs w:val="24"/>
        </w:rPr>
        <w:t>VĒRTĒŠANAS</w:t>
      </w:r>
      <w:r>
        <w:rPr>
          <w:rFonts w:ascii="Times New Roman" w:hAnsi="Times New Roman" w:cs="Times New Roman"/>
          <w:b/>
          <w:sz w:val="24"/>
          <w:szCs w:val="24"/>
        </w:rPr>
        <w:t xml:space="preserve"> KRITĒRIJI</w:t>
      </w:r>
    </w:p>
    <w:p w14:paraId="22E5DDC7" w14:textId="3BC7DF84" w:rsidR="00655C88" w:rsidRPr="00220480" w:rsidRDefault="0082599E" w:rsidP="00655C88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5.1. </w:t>
      </w:r>
      <w:r w:rsidR="00655C88" w:rsidRPr="00220480">
        <w:rPr>
          <w:rFonts w:ascii="Times New Roman" w:hAnsi="Times New Roman" w:cs="Times New Roman"/>
          <w:bCs/>
          <w:sz w:val="24"/>
          <w:szCs w:val="24"/>
        </w:rPr>
        <w:t>Piedāvājum</w:t>
      </w:r>
      <w:r w:rsidR="00AA72C1">
        <w:rPr>
          <w:rFonts w:ascii="Times New Roman" w:hAnsi="Times New Roman" w:cs="Times New Roman"/>
          <w:bCs/>
          <w:sz w:val="24"/>
          <w:szCs w:val="24"/>
        </w:rPr>
        <w:t>u vērtēšanas</w:t>
      </w:r>
      <w:bookmarkStart w:id="1" w:name="_GoBack"/>
      <w:bookmarkEnd w:id="1"/>
      <w:r w:rsidR="00655C88" w:rsidRPr="00220480">
        <w:rPr>
          <w:rFonts w:ascii="Times New Roman" w:hAnsi="Times New Roman" w:cs="Times New Roman"/>
          <w:bCs/>
          <w:sz w:val="24"/>
          <w:szCs w:val="24"/>
        </w:rPr>
        <w:t xml:space="preserve"> kritērijs ir saimnieciski visizdevīgākais piedāvājums. Saimnieciski visizdevīgākā piedāvājuma izvērtēšanas kritēriji un to skaitliskās vērtības: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655C88" w14:paraId="30FA20E9" w14:textId="77777777" w:rsidTr="00154053">
        <w:tc>
          <w:tcPr>
            <w:tcW w:w="6229" w:type="dxa"/>
            <w:gridSpan w:val="2"/>
            <w:vAlign w:val="center"/>
          </w:tcPr>
          <w:p w14:paraId="6779F0C9" w14:textId="77777777" w:rsidR="00655C88" w:rsidRDefault="00655C88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FC">
              <w:rPr>
                <w:rFonts w:ascii="Times New Roman" w:hAnsi="Times New Roman"/>
                <w:sz w:val="24"/>
                <w:szCs w:val="24"/>
              </w:rPr>
              <w:t>Saimnieciski visizdevīgākā piedāvājuma vērtēšanas kritēriji</w:t>
            </w:r>
          </w:p>
        </w:tc>
        <w:tc>
          <w:tcPr>
            <w:tcW w:w="3115" w:type="dxa"/>
            <w:vAlign w:val="center"/>
          </w:tcPr>
          <w:p w14:paraId="4C173286" w14:textId="77777777" w:rsidR="00655C88" w:rsidRDefault="00655C88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FC">
              <w:rPr>
                <w:rFonts w:ascii="Times New Roman" w:hAnsi="Times New Roman"/>
                <w:sz w:val="24"/>
                <w:szCs w:val="24"/>
              </w:rPr>
              <w:t>Maksimālā skaitliskā vērtība (punkti)</w:t>
            </w:r>
          </w:p>
        </w:tc>
      </w:tr>
      <w:tr w:rsidR="00655C88" w14:paraId="6DDE0F9B" w14:textId="77777777" w:rsidTr="00154053">
        <w:tc>
          <w:tcPr>
            <w:tcW w:w="562" w:type="dxa"/>
            <w:vAlign w:val="center"/>
          </w:tcPr>
          <w:p w14:paraId="06CD6982" w14:textId="77777777" w:rsidR="00655C88" w:rsidRPr="00E50C09" w:rsidRDefault="00655C88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C09"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5667" w:type="dxa"/>
            <w:vAlign w:val="center"/>
          </w:tcPr>
          <w:p w14:paraId="1155520F" w14:textId="0E3C72F4" w:rsidR="00655C88" w:rsidRDefault="00F75AE2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Pilnās piegādes laika periods (dienās) no līguma noslēgšanas dienas</w:t>
            </w:r>
          </w:p>
        </w:tc>
        <w:tc>
          <w:tcPr>
            <w:tcW w:w="3115" w:type="dxa"/>
            <w:vAlign w:val="center"/>
          </w:tcPr>
          <w:p w14:paraId="1139B4E9" w14:textId="589779F4" w:rsidR="00655C88" w:rsidRDefault="00517471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75AE2" w14:paraId="05CF8331" w14:textId="77777777" w:rsidTr="00154053">
        <w:tc>
          <w:tcPr>
            <w:tcW w:w="562" w:type="dxa"/>
            <w:vAlign w:val="center"/>
          </w:tcPr>
          <w:p w14:paraId="75D01086" w14:textId="06A73B6A" w:rsidR="00F75AE2" w:rsidRPr="00E50C09" w:rsidRDefault="00F75AE2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5667" w:type="dxa"/>
            <w:vAlign w:val="center"/>
          </w:tcPr>
          <w:p w14:paraId="4A16E016" w14:textId="18B22517" w:rsidR="00F75AE2" w:rsidRDefault="00F75AE2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Garantijas laika periods (</w:t>
            </w:r>
            <w:r w:rsidR="00517471">
              <w:rPr>
                <w:rFonts w:ascii="Times New Roman" w:hAnsi="Times New Roman"/>
                <w:sz w:val="24"/>
                <w:szCs w:val="24"/>
              </w:rPr>
              <w:t>mēnešos) no faktiskās preces piegādes dienas</w:t>
            </w:r>
          </w:p>
        </w:tc>
        <w:tc>
          <w:tcPr>
            <w:tcW w:w="3115" w:type="dxa"/>
            <w:vAlign w:val="center"/>
          </w:tcPr>
          <w:p w14:paraId="6A9F8C1F" w14:textId="7E9E45FF" w:rsidR="00F75AE2" w:rsidRDefault="00517471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5C88" w14:paraId="6675A513" w14:textId="77777777" w:rsidTr="00154053">
        <w:tc>
          <w:tcPr>
            <w:tcW w:w="562" w:type="dxa"/>
            <w:vAlign w:val="center"/>
          </w:tcPr>
          <w:p w14:paraId="7B0999A7" w14:textId="6A3E0A4F" w:rsidR="00655C88" w:rsidRPr="00E50C09" w:rsidRDefault="00655C88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C09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F75AE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7" w:type="dxa"/>
            <w:vAlign w:val="center"/>
          </w:tcPr>
          <w:p w14:paraId="3A588EAF" w14:textId="3D5337E4" w:rsidR="00655C88" w:rsidRDefault="00655C88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45E">
              <w:rPr>
                <w:rFonts w:ascii="Times New Roman" w:hAnsi="Times New Roman"/>
                <w:sz w:val="24"/>
                <w:szCs w:val="24"/>
              </w:rPr>
              <w:t xml:space="preserve">Cena par </w:t>
            </w:r>
            <w:r w:rsidR="00105334">
              <w:rPr>
                <w:rFonts w:ascii="Times New Roman" w:hAnsi="Times New Roman"/>
                <w:sz w:val="24"/>
                <w:szCs w:val="24"/>
              </w:rPr>
              <w:t>kopējo piegādes apmēru</w:t>
            </w:r>
            <w:r w:rsidRPr="00AD0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45E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AD045E">
              <w:rPr>
                <w:rFonts w:ascii="Times New Roman" w:hAnsi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3115" w:type="dxa"/>
            <w:vAlign w:val="center"/>
          </w:tcPr>
          <w:p w14:paraId="7266A284" w14:textId="52B94F08" w:rsidR="00655C88" w:rsidRDefault="00517471" w:rsidP="00655C8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5C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6C6D31C" w14:textId="6CAC95A0" w:rsidR="00655C88" w:rsidRPr="00BB40B2" w:rsidRDefault="00105334" w:rsidP="0010533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</w:t>
      </w:r>
      <w:r w:rsidR="00655C88" w:rsidRPr="00C754FC">
        <w:rPr>
          <w:rFonts w:ascii="Times New Roman" w:hAnsi="Times New Roman"/>
          <w:b/>
          <w:bCs/>
          <w:sz w:val="24"/>
          <w:szCs w:val="24"/>
        </w:rPr>
        <w:t>.</w:t>
      </w:r>
      <w:r w:rsidR="00655C88">
        <w:rPr>
          <w:rFonts w:ascii="Times New Roman" w:hAnsi="Times New Roman"/>
          <w:sz w:val="24"/>
          <w:szCs w:val="24"/>
        </w:rPr>
        <w:t> </w:t>
      </w:r>
      <w:r w:rsidR="00655C88" w:rsidRPr="00AA5544">
        <w:rPr>
          <w:rFonts w:ascii="Times New Roman" w:hAnsi="Times New Roman"/>
          <w:sz w:val="24"/>
          <w:szCs w:val="24"/>
        </w:rPr>
        <w:t xml:space="preserve">Par saimnieciski visizdevīgāko piedāvājumu </w:t>
      </w:r>
      <w:r w:rsidR="00655C88">
        <w:rPr>
          <w:rFonts w:ascii="Times New Roman" w:hAnsi="Times New Roman"/>
          <w:sz w:val="24"/>
          <w:szCs w:val="24"/>
        </w:rPr>
        <w:t xml:space="preserve">ir </w:t>
      </w:r>
      <w:r w:rsidR="00655C88" w:rsidRPr="00AA5544">
        <w:rPr>
          <w:rFonts w:ascii="Times New Roman" w:hAnsi="Times New Roman"/>
          <w:sz w:val="24"/>
          <w:szCs w:val="24"/>
        </w:rPr>
        <w:t>atzīs</w:t>
      </w:r>
      <w:r w:rsidR="00655C88">
        <w:rPr>
          <w:rFonts w:ascii="Times New Roman" w:hAnsi="Times New Roman"/>
          <w:sz w:val="24"/>
          <w:szCs w:val="24"/>
        </w:rPr>
        <w:t>tams</w:t>
      </w:r>
      <w:r w:rsidR="00655C88" w:rsidRPr="00AA5544">
        <w:rPr>
          <w:rFonts w:ascii="Times New Roman" w:hAnsi="Times New Roman"/>
          <w:sz w:val="24"/>
          <w:szCs w:val="24"/>
        </w:rPr>
        <w:t xml:space="preserve"> piedāvājum</w:t>
      </w:r>
      <w:r w:rsidR="00655C88">
        <w:rPr>
          <w:rFonts w:ascii="Times New Roman" w:hAnsi="Times New Roman"/>
          <w:sz w:val="24"/>
          <w:szCs w:val="24"/>
        </w:rPr>
        <w:t>s</w:t>
      </w:r>
      <w:r w:rsidR="00655C88" w:rsidRPr="00AA5544">
        <w:rPr>
          <w:rFonts w:ascii="Times New Roman" w:hAnsi="Times New Roman"/>
          <w:sz w:val="24"/>
          <w:szCs w:val="24"/>
        </w:rPr>
        <w:t xml:space="preserve">, kurš kopsummā būs ieguvis vislielāko punktu skaitu un, kurš atbilst visām </w:t>
      </w:r>
      <w:r w:rsidR="00655C88">
        <w:rPr>
          <w:rFonts w:ascii="Times New Roman" w:hAnsi="Times New Roman"/>
          <w:sz w:val="24"/>
          <w:szCs w:val="24"/>
        </w:rPr>
        <w:t>citām</w:t>
      </w:r>
      <w:r w:rsidR="00655C88" w:rsidRPr="00AA5544">
        <w:rPr>
          <w:rFonts w:ascii="Times New Roman" w:hAnsi="Times New Roman"/>
          <w:sz w:val="24"/>
          <w:szCs w:val="24"/>
        </w:rPr>
        <w:t xml:space="preserve"> prasībām. Ja vairāki piedāvājumi iegūst vienādu punktu skaitu, </w:t>
      </w:r>
      <w:r w:rsidR="00655C88">
        <w:rPr>
          <w:rFonts w:ascii="Times New Roman" w:hAnsi="Times New Roman"/>
          <w:sz w:val="24"/>
          <w:szCs w:val="24"/>
        </w:rPr>
        <w:t>ir</w:t>
      </w:r>
      <w:r w:rsidR="00655C88" w:rsidRPr="00AA5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C88" w:rsidRPr="00AA5544">
        <w:rPr>
          <w:rFonts w:ascii="Times New Roman" w:hAnsi="Times New Roman"/>
          <w:sz w:val="24"/>
          <w:szCs w:val="24"/>
        </w:rPr>
        <w:t>izv</w:t>
      </w:r>
      <w:r w:rsidR="00655C88">
        <w:rPr>
          <w:rFonts w:ascii="Times New Roman" w:hAnsi="Times New Roman"/>
          <w:sz w:val="24"/>
          <w:szCs w:val="24"/>
        </w:rPr>
        <w:t>ē</w:t>
      </w:r>
      <w:r w:rsidR="00655C88" w:rsidRPr="00AA5544">
        <w:rPr>
          <w:rFonts w:ascii="Times New Roman" w:hAnsi="Times New Roman"/>
          <w:sz w:val="24"/>
          <w:szCs w:val="24"/>
        </w:rPr>
        <w:t>la</w:t>
      </w:r>
      <w:r w:rsidR="00655C88">
        <w:rPr>
          <w:rFonts w:ascii="Times New Roman" w:hAnsi="Times New Roman"/>
          <w:sz w:val="24"/>
          <w:szCs w:val="24"/>
        </w:rPr>
        <w:t>ms</w:t>
      </w:r>
      <w:proofErr w:type="spellEnd"/>
      <w:r w:rsidR="00655C88" w:rsidRPr="00AA5544">
        <w:rPr>
          <w:rFonts w:ascii="Times New Roman" w:hAnsi="Times New Roman"/>
          <w:sz w:val="24"/>
          <w:szCs w:val="24"/>
        </w:rPr>
        <w:t xml:space="preserve"> tā </w:t>
      </w:r>
      <w:r w:rsidR="00655C88">
        <w:rPr>
          <w:rFonts w:ascii="Times New Roman" w:hAnsi="Times New Roman"/>
          <w:sz w:val="24"/>
          <w:szCs w:val="24"/>
        </w:rPr>
        <w:t>P</w:t>
      </w:r>
      <w:r w:rsidR="00655C88" w:rsidRPr="00AA5544">
        <w:rPr>
          <w:rFonts w:ascii="Times New Roman" w:hAnsi="Times New Roman"/>
          <w:sz w:val="24"/>
          <w:szCs w:val="24"/>
        </w:rPr>
        <w:t xml:space="preserve">retendenta piedāvājumu, kurš piedāvājis viszemāko kopējo līgumcenu </w:t>
      </w:r>
      <w:proofErr w:type="spellStart"/>
      <w:r w:rsidR="00655C88" w:rsidRPr="00A70902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55C88" w:rsidRPr="00AA5544">
        <w:rPr>
          <w:rFonts w:ascii="Times New Roman" w:hAnsi="Times New Roman"/>
          <w:sz w:val="24"/>
          <w:szCs w:val="24"/>
        </w:rPr>
        <w:t xml:space="preserve"> bez PVN.</w:t>
      </w:r>
    </w:p>
    <w:p w14:paraId="32918B99" w14:textId="2B078459" w:rsidR="0082599E" w:rsidRPr="00BB40B2" w:rsidRDefault="0082599E" w:rsidP="00655C88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E5B94" w14:textId="2BBBCB0F" w:rsidR="007D3757" w:rsidRPr="00BB40B2" w:rsidRDefault="007D3757" w:rsidP="00655C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7105" w14:textId="77777777" w:rsidR="0070461F" w:rsidRDefault="0070461F" w:rsidP="00F150DE">
      <w:pPr>
        <w:spacing w:after="0" w:line="240" w:lineRule="auto"/>
      </w:pPr>
      <w:r>
        <w:separator/>
      </w:r>
    </w:p>
  </w:endnote>
  <w:endnote w:type="continuationSeparator" w:id="0">
    <w:p w14:paraId="6063F371" w14:textId="77777777" w:rsidR="0070461F" w:rsidRDefault="0070461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32B4A" w14:textId="77777777" w:rsidR="0070461F" w:rsidRDefault="0070461F" w:rsidP="00F150DE">
      <w:pPr>
        <w:spacing w:after="0" w:line="240" w:lineRule="auto"/>
      </w:pPr>
      <w:r>
        <w:separator/>
      </w:r>
    </w:p>
  </w:footnote>
  <w:footnote w:type="continuationSeparator" w:id="0">
    <w:p w14:paraId="1F785471" w14:textId="77777777" w:rsidR="0070461F" w:rsidRDefault="0070461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05334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018E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1B61"/>
    <w:rsid w:val="004D24A0"/>
    <w:rsid w:val="004D2A89"/>
    <w:rsid w:val="004D6202"/>
    <w:rsid w:val="004F20AD"/>
    <w:rsid w:val="00501DE6"/>
    <w:rsid w:val="005071BE"/>
    <w:rsid w:val="00510D17"/>
    <w:rsid w:val="00513EC4"/>
    <w:rsid w:val="00515345"/>
    <w:rsid w:val="00517471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1EDF"/>
    <w:rsid w:val="005F4A7D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5C88"/>
    <w:rsid w:val="00656981"/>
    <w:rsid w:val="00660E62"/>
    <w:rsid w:val="00661585"/>
    <w:rsid w:val="00664177"/>
    <w:rsid w:val="00664AFF"/>
    <w:rsid w:val="00667684"/>
    <w:rsid w:val="00671806"/>
    <w:rsid w:val="0067355D"/>
    <w:rsid w:val="00680598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0461F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599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A1D51"/>
    <w:rsid w:val="00AA72C1"/>
    <w:rsid w:val="00AA7C3D"/>
    <w:rsid w:val="00AB2E19"/>
    <w:rsid w:val="00AB6678"/>
    <w:rsid w:val="00AC1134"/>
    <w:rsid w:val="00AC5C81"/>
    <w:rsid w:val="00AC6F6A"/>
    <w:rsid w:val="00AD05EA"/>
    <w:rsid w:val="00AD1C8D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540F3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418C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0F98"/>
    <w:rsid w:val="00F61B3E"/>
    <w:rsid w:val="00F65BF2"/>
    <w:rsid w:val="00F65CC1"/>
    <w:rsid w:val="00F75AE2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2efd33a-ec35-444a-b013-df773ebf2477"/>
    <ds:schemaRef ds:uri="d9579869-82f1-4f80-8f24-9589b63f6ba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924F9-A6D1-4F19-AE76-5A431EAD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23</cp:revision>
  <dcterms:created xsi:type="dcterms:W3CDTF">2021-11-13T07:20:00Z</dcterms:created>
  <dcterms:modified xsi:type="dcterms:W3CDTF">2022-01-13T10:41:00Z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