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52CA" w14:textId="663A81B9" w:rsidR="00EC1BA5" w:rsidRPr="00525C5F" w:rsidRDefault="00EC1BA5" w:rsidP="00390B8E">
      <w:pPr>
        <w:pStyle w:val="Heading2"/>
        <w:ind w:right="372"/>
        <w:jc w:val="right"/>
        <w:rPr>
          <w:rFonts w:eastAsia="Calibri"/>
          <w:i/>
          <w:lang w:val="lv-LV" w:eastAsia="lv-LV"/>
        </w:rPr>
      </w:pPr>
      <w:r w:rsidRPr="00E80785">
        <w:rPr>
          <w:lang w:val="lv-LV"/>
        </w:rPr>
        <w:t xml:space="preserve">    </w:t>
      </w:r>
    </w:p>
    <w:p w14:paraId="6EB70CAC" w14:textId="627A7ACE" w:rsidR="00ED287C" w:rsidRPr="008F56C0" w:rsidRDefault="00ED287C" w:rsidP="00D019CA">
      <w:pPr>
        <w:ind w:right="372"/>
        <w:rPr>
          <w:i/>
          <w:lang w:val="lv-LV"/>
        </w:rPr>
      </w:pPr>
      <w:r w:rsidRPr="008F56C0">
        <w:rPr>
          <w:i/>
          <w:lang w:val="lv-LV"/>
        </w:rPr>
        <w:t xml:space="preserve">Par </w:t>
      </w:r>
      <w:r w:rsidR="002E5BC5" w:rsidRPr="008F56C0">
        <w:rPr>
          <w:i/>
          <w:lang w:val="lv-LV"/>
        </w:rPr>
        <w:t>iepirkuma procedūras</w:t>
      </w:r>
      <w:r w:rsidRPr="008F56C0">
        <w:rPr>
          <w:i/>
          <w:lang w:val="lv-LV"/>
        </w:rPr>
        <w:t xml:space="preserve"> </w:t>
      </w:r>
    </w:p>
    <w:p w14:paraId="6E7DF1F2" w14:textId="37325465" w:rsidR="00C71D15" w:rsidRPr="008F56C0" w:rsidRDefault="00C71D15" w:rsidP="00D019CA">
      <w:pPr>
        <w:pStyle w:val="Caption"/>
        <w:ind w:right="372"/>
        <w:jc w:val="left"/>
        <w:rPr>
          <w:b w:val="0"/>
          <w:i/>
          <w:sz w:val="24"/>
          <w:szCs w:val="24"/>
        </w:rPr>
      </w:pPr>
      <w:r w:rsidRPr="008F56C0">
        <w:rPr>
          <w:b w:val="0"/>
          <w:i/>
          <w:sz w:val="24"/>
          <w:szCs w:val="24"/>
        </w:rPr>
        <w:t>“</w:t>
      </w:r>
      <w:proofErr w:type="spellStart"/>
      <w:r w:rsidR="00402CE9" w:rsidRPr="008F56C0">
        <w:rPr>
          <w:b w:val="0"/>
          <w:i/>
          <w:color w:val="000000"/>
          <w:sz w:val="24"/>
          <w:szCs w:val="24"/>
        </w:rPr>
        <w:t>Elektroautobusu</w:t>
      </w:r>
      <w:proofErr w:type="spellEnd"/>
      <w:r w:rsidR="00402CE9" w:rsidRPr="008F56C0">
        <w:rPr>
          <w:b w:val="0"/>
          <w:i/>
          <w:color w:val="000000"/>
          <w:sz w:val="24"/>
          <w:szCs w:val="24"/>
        </w:rPr>
        <w:t xml:space="preserve"> uzlādes stacijas infrastruktūras izbūve</w:t>
      </w:r>
      <w:r w:rsidRPr="008F56C0">
        <w:rPr>
          <w:b w:val="0"/>
          <w:i/>
          <w:sz w:val="24"/>
          <w:szCs w:val="24"/>
        </w:rPr>
        <w:t>”</w:t>
      </w:r>
    </w:p>
    <w:p w14:paraId="01E5FD02" w14:textId="4ECB3B61" w:rsidR="00ED287C" w:rsidRPr="008F56C0" w:rsidRDefault="00C71D15" w:rsidP="00D019CA">
      <w:pPr>
        <w:ind w:right="372"/>
        <w:rPr>
          <w:i/>
          <w:lang w:val="lv-LV"/>
        </w:rPr>
      </w:pPr>
      <w:r w:rsidRPr="008F56C0">
        <w:rPr>
          <w:i/>
          <w:lang w:val="lv-LV"/>
        </w:rPr>
        <w:t xml:space="preserve"> </w:t>
      </w:r>
      <w:r w:rsidR="00ED287C" w:rsidRPr="008F56C0">
        <w:rPr>
          <w:i/>
          <w:lang w:val="lv-LV"/>
        </w:rPr>
        <w:t>(ID Nr.RS/202</w:t>
      </w:r>
      <w:r w:rsidR="00C540E8" w:rsidRPr="008F56C0">
        <w:rPr>
          <w:i/>
          <w:lang w:val="lv-LV"/>
        </w:rPr>
        <w:t>2</w:t>
      </w:r>
      <w:r w:rsidR="00ED287C" w:rsidRPr="008F56C0">
        <w:rPr>
          <w:i/>
          <w:lang w:val="lv-LV"/>
        </w:rPr>
        <w:t>/</w:t>
      </w:r>
      <w:r w:rsidR="009950FF" w:rsidRPr="008F56C0">
        <w:rPr>
          <w:i/>
          <w:lang w:val="lv-LV"/>
        </w:rPr>
        <w:t>7</w:t>
      </w:r>
      <w:r w:rsidR="00964865">
        <w:rPr>
          <w:i/>
          <w:lang w:val="lv-LV"/>
        </w:rPr>
        <w:t>5</w:t>
      </w:r>
      <w:r w:rsidR="00ED287C" w:rsidRPr="008F56C0">
        <w:rPr>
          <w:i/>
          <w:lang w:val="lv-LV"/>
        </w:rPr>
        <w:t>) nolikuma prasībām</w:t>
      </w:r>
    </w:p>
    <w:p w14:paraId="6F27DAAA" w14:textId="77777777" w:rsidR="00ED287C" w:rsidRPr="00ED287C" w:rsidRDefault="00ED287C" w:rsidP="00D019CA">
      <w:pPr>
        <w:ind w:right="372"/>
        <w:jc w:val="both"/>
        <w:rPr>
          <w:lang w:val="lv-LV"/>
        </w:rPr>
      </w:pPr>
    </w:p>
    <w:p w14:paraId="66FC9AA7" w14:textId="77777777" w:rsidR="00ED287C" w:rsidRPr="00811234" w:rsidRDefault="00ED287C" w:rsidP="00D019CA">
      <w:pPr>
        <w:ind w:right="372" w:firstLine="426"/>
        <w:jc w:val="both"/>
        <w:rPr>
          <w:lang w:val="lv-LV"/>
        </w:rPr>
      </w:pPr>
      <w:r w:rsidRPr="00811234">
        <w:rPr>
          <w:lang w:val="lv-LV"/>
        </w:rPr>
        <w:t xml:space="preserve">Rīgas pašvaldības sabiedrības ar ierobežotu atbildību „Rīgas satiksme” Iepirkuma komisija (turpmāk – Pasūtītājs) no iespējamā piegādātāja ir saņēmusi vēstuli ar lūgumu sniegt skaidrojumu par nolikumā ietvertajām prasībām. </w:t>
      </w:r>
    </w:p>
    <w:p w14:paraId="03C5E2FF" w14:textId="77777777" w:rsidR="00ED287C" w:rsidRPr="00811234" w:rsidRDefault="00ED287C" w:rsidP="00D019CA">
      <w:pPr>
        <w:ind w:right="372"/>
        <w:jc w:val="both"/>
        <w:rPr>
          <w:lang w:val="lv-LV"/>
        </w:rPr>
      </w:pPr>
    </w:p>
    <w:p w14:paraId="7CF066A9" w14:textId="6BC5D04A" w:rsidR="00781934" w:rsidRPr="00781934" w:rsidRDefault="00C05968" w:rsidP="00D019CA">
      <w:pPr>
        <w:ind w:right="372"/>
        <w:jc w:val="both"/>
        <w:rPr>
          <w:i/>
          <w:iCs/>
          <w:lang w:val="lv-LV" w:eastAsia="lv-LV"/>
        </w:rPr>
      </w:pPr>
      <w:r>
        <w:rPr>
          <w:i/>
          <w:iCs/>
          <w:lang w:val="lv-LV" w:eastAsia="lv-LV"/>
        </w:rPr>
        <w:t>1</w:t>
      </w:r>
      <w:r w:rsidR="00781934" w:rsidRPr="00781934">
        <w:rPr>
          <w:i/>
          <w:iCs/>
          <w:lang w:val="lv-LV" w:eastAsia="lv-LV"/>
        </w:rPr>
        <w:t xml:space="preserve">.jautājums: </w:t>
      </w:r>
    </w:p>
    <w:p w14:paraId="470FE181" w14:textId="65B1E2DC" w:rsidR="00FF47AF" w:rsidRDefault="00FF47AF" w:rsidP="007A62A7">
      <w:pPr>
        <w:spacing w:after="160" w:line="259" w:lineRule="auto"/>
        <w:ind w:right="372"/>
        <w:contextualSpacing/>
        <w:jc w:val="both"/>
        <w:rPr>
          <w:rFonts w:eastAsiaTheme="minorHAnsi"/>
          <w:i/>
          <w:iCs/>
          <w:lang w:val="lv-LV"/>
        </w:rPr>
      </w:pPr>
      <w:r w:rsidRPr="007A62A7">
        <w:rPr>
          <w:rFonts w:eastAsiaTheme="minorHAnsi"/>
          <w:i/>
          <w:iCs/>
          <w:lang w:val="lv-LV"/>
        </w:rPr>
        <w:t xml:space="preserve">Lūdzam skaidrot dokumenta 4.4 Skaidrojošais apraksts.pdf punkta 3.ELEKTROUZLĀDES STACIJA (EUS) </w:t>
      </w:r>
      <w:r w:rsidRPr="00502B44">
        <w:rPr>
          <w:rFonts w:eastAsiaTheme="minorHAnsi"/>
          <w:i/>
          <w:iCs/>
          <w:lang w:val="lv-LV"/>
        </w:rPr>
        <w:t>apakšpunktā 3.2. Tehniskie parametri minēto teikumu “EUS tips tiks noskaidrots pēc RP SIA “Rīgas satiksme” atsevišķi izveidotā iepirkuma.” – kāpēc netiek izsludināts atsevišķs iepirkums elekt</w:t>
      </w:r>
      <w:r w:rsidR="007A62A7" w:rsidRPr="00502B44">
        <w:rPr>
          <w:rFonts w:eastAsiaTheme="minorHAnsi"/>
          <w:i/>
          <w:iCs/>
          <w:lang w:val="lv-LV"/>
        </w:rPr>
        <w:t>r</w:t>
      </w:r>
      <w:r w:rsidRPr="00502B44">
        <w:rPr>
          <w:rFonts w:eastAsiaTheme="minorHAnsi"/>
          <w:i/>
          <w:iCs/>
          <w:lang w:val="lv-LV"/>
        </w:rPr>
        <w:t>ouzlādes stacijām, ja dokumentācijā ir rakstīts, ka tas tiks darīts?</w:t>
      </w:r>
    </w:p>
    <w:p w14:paraId="7458FDF7" w14:textId="77777777" w:rsidR="00964865" w:rsidRPr="00502B44" w:rsidRDefault="00964865" w:rsidP="007A62A7">
      <w:pPr>
        <w:spacing w:after="160" w:line="259" w:lineRule="auto"/>
        <w:ind w:right="372"/>
        <w:contextualSpacing/>
        <w:jc w:val="both"/>
        <w:rPr>
          <w:rFonts w:eastAsiaTheme="minorHAnsi"/>
          <w:i/>
          <w:iCs/>
          <w:lang w:val="lv-LV"/>
        </w:rPr>
      </w:pPr>
    </w:p>
    <w:p w14:paraId="3808237C" w14:textId="77777777" w:rsidR="00964865" w:rsidRDefault="00E9346D" w:rsidP="00886A5A">
      <w:pPr>
        <w:spacing w:line="252" w:lineRule="auto"/>
        <w:ind w:right="372"/>
        <w:contextualSpacing/>
        <w:jc w:val="both"/>
        <w:rPr>
          <w:lang w:val="lv-LV" w:eastAsia="lv-LV"/>
        </w:rPr>
      </w:pPr>
      <w:r w:rsidRPr="00502B44">
        <w:rPr>
          <w:lang w:val="lv-LV" w:eastAsia="lv-LV"/>
        </w:rPr>
        <w:t xml:space="preserve">Atbilde: </w:t>
      </w:r>
    </w:p>
    <w:p w14:paraId="71BAC2F1" w14:textId="1513EA17" w:rsidR="00A13FCD" w:rsidRPr="00502B44" w:rsidRDefault="00886A5A" w:rsidP="00886A5A">
      <w:pPr>
        <w:spacing w:line="252" w:lineRule="auto"/>
        <w:ind w:right="372"/>
        <w:contextualSpacing/>
        <w:jc w:val="both"/>
        <w:rPr>
          <w:lang w:val="lv-LV"/>
        </w:rPr>
      </w:pPr>
      <w:r w:rsidRPr="00502B44">
        <w:rPr>
          <w:lang w:val="lv-LV"/>
        </w:rPr>
        <w:t xml:space="preserve">Informējam, ka saskaņā ar nolikumu, iepirkuma priekšmets ietver arī pašu </w:t>
      </w:r>
      <w:proofErr w:type="spellStart"/>
      <w:r w:rsidRPr="00502B44">
        <w:rPr>
          <w:lang w:val="lv-LV"/>
        </w:rPr>
        <w:t>elektroautobusu</w:t>
      </w:r>
      <w:proofErr w:type="spellEnd"/>
      <w:r w:rsidRPr="00502B44">
        <w:rPr>
          <w:lang w:val="lv-LV"/>
        </w:rPr>
        <w:t xml:space="preserve"> uzlādes iekārtu piegādi un iekārtām ir jāatbilst Uzlādes stacijas (iekārtu) tehniskajai specifikācijai, kas ir norādīta nolikuma pielikumā Nr.7. Cits iepirkums par minēto iekārtu piegādi netiks izsludināts. </w:t>
      </w:r>
    </w:p>
    <w:p w14:paraId="4D42E891" w14:textId="4C3B3E0E" w:rsidR="00886A5A" w:rsidRPr="00502B44" w:rsidRDefault="00886A5A" w:rsidP="00886A5A">
      <w:pPr>
        <w:spacing w:line="252" w:lineRule="auto"/>
        <w:ind w:right="372"/>
        <w:contextualSpacing/>
        <w:jc w:val="both"/>
        <w:rPr>
          <w:lang w:val="lv-LV"/>
        </w:rPr>
      </w:pPr>
    </w:p>
    <w:p w14:paraId="17C87B40" w14:textId="3ACF3243" w:rsidR="00886A5A" w:rsidRPr="00502B44" w:rsidRDefault="00886A5A" w:rsidP="00886A5A">
      <w:pPr>
        <w:spacing w:line="252" w:lineRule="auto"/>
        <w:ind w:right="372"/>
        <w:contextualSpacing/>
        <w:jc w:val="both"/>
        <w:rPr>
          <w:i/>
          <w:iCs/>
          <w:lang w:val="lv-LV"/>
        </w:rPr>
      </w:pPr>
      <w:r w:rsidRPr="00502B44">
        <w:rPr>
          <w:i/>
          <w:iCs/>
          <w:lang w:val="lv-LV"/>
        </w:rPr>
        <w:t>2.jautājums:</w:t>
      </w:r>
    </w:p>
    <w:p w14:paraId="2188CBB2" w14:textId="2B462F8E" w:rsidR="00CF0B5F" w:rsidRDefault="00CF0B5F" w:rsidP="00805C29">
      <w:pPr>
        <w:spacing w:line="252" w:lineRule="auto"/>
        <w:ind w:right="372"/>
        <w:jc w:val="both"/>
        <w:rPr>
          <w:i/>
          <w:iCs/>
          <w:lang w:val="lv-LV"/>
        </w:rPr>
      </w:pPr>
      <w:r w:rsidRPr="00502B44">
        <w:rPr>
          <w:i/>
          <w:iCs/>
          <w:lang w:val="lv-LV"/>
        </w:rPr>
        <w:t xml:space="preserve">Lūdzam skaidrot dokumenta 4.4 Skaidrojošais apraksts.pdf punkta 3.ELEKTROUZLĀDES STACIJA (EUS) apakšpunktā 3.2.4. minēto efektivitātes vērtību 92% atšķirību no dokumentā </w:t>
      </w:r>
      <w:proofErr w:type="spellStart"/>
      <w:r w:rsidRPr="00502B44">
        <w:rPr>
          <w:i/>
          <w:iCs/>
          <w:lang w:val="lv-LV"/>
        </w:rPr>
        <w:t>NOLIKUMS_elektrouzlādes</w:t>
      </w:r>
      <w:proofErr w:type="spellEnd"/>
      <w:r w:rsidRPr="00502B44">
        <w:rPr>
          <w:i/>
          <w:iCs/>
          <w:lang w:val="lv-LV"/>
        </w:rPr>
        <w:t xml:space="preserve"> punktu izbūve.docx Pielikuma 7, punkta 9.2 norādītās vērtības ≥ 0,95</w:t>
      </w:r>
      <w:r w:rsidR="004D6952" w:rsidRPr="00502B44">
        <w:rPr>
          <w:i/>
          <w:iCs/>
          <w:lang w:val="lv-LV"/>
        </w:rPr>
        <w:t>.</w:t>
      </w:r>
    </w:p>
    <w:p w14:paraId="3E9B1674" w14:textId="77777777" w:rsidR="00964865" w:rsidRPr="00502B44" w:rsidRDefault="00964865" w:rsidP="00805C29">
      <w:pPr>
        <w:spacing w:line="252" w:lineRule="auto"/>
        <w:ind w:right="372"/>
        <w:jc w:val="both"/>
        <w:rPr>
          <w:i/>
          <w:iCs/>
          <w:lang w:val="lv-LV"/>
        </w:rPr>
      </w:pPr>
    </w:p>
    <w:p w14:paraId="03B2BB32" w14:textId="77777777" w:rsidR="00964865" w:rsidRDefault="004D6952" w:rsidP="004D6952">
      <w:pPr>
        <w:pStyle w:val="Default"/>
        <w:ind w:right="372"/>
        <w:jc w:val="both"/>
        <w:rPr>
          <w:rFonts w:ascii="Times New Roman" w:hAnsi="Times New Roman" w:cs="Times New Roman"/>
          <w:color w:val="auto"/>
          <w:lang w:eastAsia="en-US"/>
        </w:rPr>
      </w:pPr>
      <w:r w:rsidRPr="00502B44">
        <w:rPr>
          <w:rFonts w:ascii="Times New Roman" w:hAnsi="Times New Roman" w:cs="Times New Roman"/>
          <w:color w:val="auto"/>
          <w:lang w:eastAsia="en-US"/>
        </w:rPr>
        <w:t xml:space="preserve">Atbilde: </w:t>
      </w:r>
    </w:p>
    <w:p w14:paraId="17FB2357" w14:textId="5EB93F00" w:rsidR="00CF0B5F" w:rsidRPr="004D6952" w:rsidRDefault="00CF0B5F" w:rsidP="004D6952">
      <w:pPr>
        <w:pStyle w:val="Default"/>
        <w:ind w:right="372"/>
        <w:jc w:val="both"/>
        <w:rPr>
          <w:rFonts w:ascii="Times New Roman" w:hAnsi="Times New Roman" w:cs="Times New Roman"/>
          <w:color w:val="auto"/>
          <w:lang w:eastAsia="en-US"/>
        </w:rPr>
      </w:pPr>
      <w:r w:rsidRPr="00502B44">
        <w:rPr>
          <w:rFonts w:ascii="Times New Roman" w:hAnsi="Times New Roman" w:cs="Times New Roman"/>
          <w:color w:val="auto"/>
          <w:lang w:eastAsia="en-US"/>
        </w:rPr>
        <w:t xml:space="preserve">Saskaņā ar Projektēšanas uzdevumu būvprojekta 4.sējumā “Elektroapgāde, ārēji tīkli” Skaidrojošā aprakstā </w:t>
      </w:r>
      <w:r w:rsidR="00301812" w:rsidRPr="00502B44">
        <w:rPr>
          <w:rFonts w:ascii="Times New Roman" w:hAnsi="Times New Roman" w:cs="Times New Roman"/>
          <w:color w:val="auto"/>
          <w:lang w:eastAsia="en-US"/>
        </w:rPr>
        <w:t xml:space="preserve">3.2. </w:t>
      </w:r>
      <w:r w:rsidRPr="00502B44">
        <w:rPr>
          <w:rFonts w:ascii="Times New Roman" w:hAnsi="Times New Roman" w:cs="Times New Roman"/>
          <w:color w:val="auto"/>
          <w:lang w:eastAsia="en-US"/>
        </w:rPr>
        <w:t xml:space="preserve">punktā </w:t>
      </w:r>
      <w:r w:rsidRPr="00502B44">
        <w:rPr>
          <w:rFonts w:ascii="Times New Roman" w:hAnsi="Times New Roman" w:cs="Times New Roman"/>
          <w:i/>
          <w:iCs/>
          <w:color w:val="auto"/>
          <w:lang w:eastAsia="en-US"/>
        </w:rPr>
        <w:t>Tehniskie parametri</w:t>
      </w:r>
      <w:r w:rsidRPr="00502B44">
        <w:rPr>
          <w:rFonts w:ascii="Times New Roman" w:hAnsi="Times New Roman" w:cs="Times New Roman"/>
          <w:color w:val="auto"/>
          <w:lang w:eastAsia="en-US"/>
        </w:rPr>
        <w:t xml:space="preserve"> tiek norādīti</w:t>
      </w:r>
      <w:r w:rsidRPr="004D6952">
        <w:rPr>
          <w:rFonts w:ascii="Times New Roman" w:hAnsi="Times New Roman" w:cs="Times New Roman"/>
          <w:color w:val="auto"/>
          <w:lang w:eastAsia="en-US"/>
        </w:rPr>
        <w:t xml:space="preserve"> vispārīgie norādījumi un pamatkritēriji uzlādes iekārtu izvēlei un tehnisko datu izvērtēšanai. Par precīzām un pareizām uzskatīt Nolikuma 7. pielikumā </w:t>
      </w:r>
      <w:r w:rsidRPr="004D6952">
        <w:rPr>
          <w:rFonts w:ascii="Times New Roman" w:hAnsi="Times New Roman" w:cs="Times New Roman"/>
          <w:i/>
          <w:iCs/>
          <w:color w:val="auto"/>
          <w:lang w:eastAsia="en-US"/>
        </w:rPr>
        <w:t>Uzlādes stacijas tehniskā specifikācija</w:t>
      </w:r>
      <w:r w:rsidRPr="004D6952">
        <w:rPr>
          <w:rFonts w:ascii="Times New Roman" w:hAnsi="Times New Roman" w:cs="Times New Roman"/>
          <w:color w:val="auto"/>
          <w:lang w:eastAsia="en-US"/>
        </w:rPr>
        <w:t xml:space="preserve"> norādītās prasības.</w:t>
      </w:r>
    </w:p>
    <w:p w14:paraId="39C809C2" w14:textId="77777777" w:rsidR="00886A5A" w:rsidRPr="004D6952" w:rsidRDefault="00886A5A" w:rsidP="004D6952">
      <w:pPr>
        <w:spacing w:line="252" w:lineRule="auto"/>
        <w:ind w:right="372"/>
        <w:contextualSpacing/>
        <w:jc w:val="both"/>
      </w:pPr>
    </w:p>
    <w:p w14:paraId="40C29DBA" w14:textId="688F220A" w:rsidR="00A13FCD" w:rsidRPr="00D74002" w:rsidRDefault="00805C29" w:rsidP="005B7C15">
      <w:pPr>
        <w:spacing w:before="60" w:after="60"/>
        <w:ind w:right="372"/>
        <w:jc w:val="both"/>
        <w:rPr>
          <w:i/>
          <w:iCs/>
          <w:lang w:val="lv-LV" w:eastAsia="lv-LV"/>
        </w:rPr>
      </w:pPr>
      <w:r w:rsidRPr="00D74002">
        <w:rPr>
          <w:i/>
          <w:iCs/>
          <w:lang w:val="lv-LV" w:eastAsia="lv-LV"/>
        </w:rPr>
        <w:t>3.jautājums:</w:t>
      </w:r>
    </w:p>
    <w:p w14:paraId="0EA656EF" w14:textId="7AC4189F" w:rsidR="00D74002" w:rsidRDefault="00D74002" w:rsidP="00D74002">
      <w:pPr>
        <w:spacing w:line="252" w:lineRule="auto"/>
        <w:ind w:right="372"/>
        <w:jc w:val="both"/>
        <w:rPr>
          <w:i/>
          <w:iCs/>
          <w:lang w:val="lv-LV"/>
        </w:rPr>
      </w:pPr>
      <w:r w:rsidRPr="00D74002">
        <w:rPr>
          <w:i/>
          <w:iCs/>
          <w:lang w:val="lv-LV"/>
        </w:rPr>
        <w:t xml:space="preserve">Lūdzam skaidrot dokumenta 4.4 Skaidrojošais apraksts.pdf punkta 3.ELEKTROUZLĀDES STACIJA (EUS) apakšpunktā 3.2.10. minētā parametra vērtības OCPP 1.6 atšķirību no dokumentā </w:t>
      </w:r>
      <w:proofErr w:type="spellStart"/>
      <w:r w:rsidRPr="00D74002">
        <w:rPr>
          <w:i/>
          <w:iCs/>
          <w:lang w:val="lv-LV"/>
        </w:rPr>
        <w:t>NOLIKUMS_elektrouzlādes</w:t>
      </w:r>
      <w:proofErr w:type="spellEnd"/>
      <w:r w:rsidRPr="00D74002">
        <w:rPr>
          <w:i/>
          <w:iCs/>
          <w:lang w:val="lv-LV"/>
        </w:rPr>
        <w:t xml:space="preserve"> punktu izbūve.docx Pielikuma 7, punkta 7.1 norādītā parametra vērtības OCPP 2.0.1.</w:t>
      </w:r>
    </w:p>
    <w:p w14:paraId="4FF17316" w14:textId="77777777" w:rsidR="00964865" w:rsidRPr="00D74002" w:rsidRDefault="00964865" w:rsidP="00D74002">
      <w:pPr>
        <w:spacing w:line="252" w:lineRule="auto"/>
        <w:ind w:right="372"/>
        <w:jc w:val="both"/>
        <w:rPr>
          <w:i/>
          <w:iCs/>
          <w:lang w:val="lv-LV"/>
        </w:rPr>
      </w:pPr>
    </w:p>
    <w:p w14:paraId="33215626" w14:textId="77777777" w:rsidR="00964865" w:rsidRDefault="00D74002" w:rsidP="00404047">
      <w:pPr>
        <w:ind w:right="372"/>
        <w:jc w:val="both"/>
        <w:rPr>
          <w:lang w:val="lv-LV"/>
        </w:rPr>
      </w:pPr>
      <w:r>
        <w:rPr>
          <w:lang w:val="lv-LV"/>
        </w:rPr>
        <w:t xml:space="preserve">Atbilde: </w:t>
      </w:r>
    </w:p>
    <w:p w14:paraId="05584ACC" w14:textId="20F2B5CA" w:rsidR="00404047" w:rsidRPr="00740A47" w:rsidRDefault="00964865" w:rsidP="00404047">
      <w:pPr>
        <w:ind w:right="372"/>
        <w:jc w:val="both"/>
        <w:rPr>
          <w:lang w:val="lv-LV"/>
        </w:rPr>
      </w:pPr>
      <w:r>
        <w:rPr>
          <w:lang w:val="lv-LV"/>
        </w:rPr>
        <w:t>I</w:t>
      </w:r>
      <w:r w:rsidR="00404047">
        <w:rPr>
          <w:lang w:val="lv-LV"/>
        </w:rPr>
        <w:t xml:space="preserve">nformējam, ka nolikumā tiks veikti grozījumi, lūdzam sekot informācijai tīmekļvietnē </w:t>
      </w:r>
      <w:hyperlink r:id="rId12" w:history="1">
        <w:r w:rsidR="00404047" w:rsidRPr="005C0E8F">
          <w:rPr>
            <w:rStyle w:val="Hyperlink"/>
            <w:lang w:val="lv-LV"/>
          </w:rPr>
          <w:t>www.eis.gov.lv</w:t>
        </w:r>
      </w:hyperlink>
      <w:r w:rsidR="00404047">
        <w:rPr>
          <w:lang w:val="lv-LV"/>
        </w:rPr>
        <w:t xml:space="preserve"> un </w:t>
      </w:r>
      <w:hyperlink r:id="rId13" w:history="1">
        <w:r w:rsidR="00404047" w:rsidRPr="005C0E8F">
          <w:rPr>
            <w:rStyle w:val="Hyperlink"/>
            <w:lang w:val="lv-LV"/>
          </w:rPr>
          <w:t>www.rigassatiksme.lv</w:t>
        </w:r>
      </w:hyperlink>
      <w:r w:rsidR="00404047">
        <w:rPr>
          <w:lang w:val="lv-LV"/>
        </w:rPr>
        <w:t xml:space="preserve">. </w:t>
      </w:r>
    </w:p>
    <w:p w14:paraId="5619D8DC" w14:textId="38A77618" w:rsidR="00805C29" w:rsidRDefault="00805C29" w:rsidP="005B7C15">
      <w:pPr>
        <w:spacing w:before="60" w:after="60"/>
        <w:ind w:right="372"/>
        <w:jc w:val="both"/>
        <w:rPr>
          <w:lang w:val="lv-LV"/>
        </w:rPr>
      </w:pPr>
    </w:p>
    <w:p w14:paraId="0B6A5967" w14:textId="09F4805D" w:rsidR="00390B8E" w:rsidRDefault="00390B8E" w:rsidP="005B7C15">
      <w:pPr>
        <w:spacing w:before="60" w:after="60"/>
        <w:ind w:right="372"/>
        <w:jc w:val="both"/>
        <w:rPr>
          <w:lang w:val="lv-LV"/>
        </w:rPr>
      </w:pPr>
    </w:p>
    <w:p w14:paraId="03ED2F41" w14:textId="77777777" w:rsidR="00390B8E" w:rsidRPr="00A13FCD" w:rsidRDefault="00390B8E" w:rsidP="005B7C15">
      <w:pPr>
        <w:spacing w:before="60" w:after="60"/>
        <w:ind w:right="372"/>
        <w:jc w:val="both"/>
        <w:rPr>
          <w:lang w:val="lv-LV"/>
        </w:rPr>
      </w:pPr>
    </w:p>
    <w:p w14:paraId="295F3CDF" w14:textId="12DFAC9F" w:rsidR="00E9346D" w:rsidRPr="00055946" w:rsidRDefault="00404047" w:rsidP="00D019CA">
      <w:pPr>
        <w:ind w:right="372"/>
        <w:jc w:val="both"/>
        <w:rPr>
          <w:i/>
          <w:iCs/>
          <w:lang w:val="lv-LV"/>
        </w:rPr>
      </w:pPr>
      <w:r w:rsidRPr="00055946">
        <w:rPr>
          <w:i/>
          <w:iCs/>
          <w:lang w:val="lv-LV"/>
        </w:rPr>
        <w:lastRenderedPageBreak/>
        <w:t xml:space="preserve">4.jautājums: </w:t>
      </w:r>
    </w:p>
    <w:p w14:paraId="05BA9EC5" w14:textId="77777777" w:rsidR="000828CE" w:rsidRPr="000828CE" w:rsidRDefault="000828CE" w:rsidP="000828CE">
      <w:pPr>
        <w:spacing w:line="252" w:lineRule="auto"/>
        <w:ind w:right="372"/>
        <w:jc w:val="both"/>
        <w:rPr>
          <w:i/>
          <w:iCs/>
          <w:lang w:val="lv-LV"/>
        </w:rPr>
      </w:pPr>
      <w:r w:rsidRPr="000828CE">
        <w:rPr>
          <w:i/>
          <w:iCs/>
          <w:lang w:val="lv-LV"/>
        </w:rPr>
        <w:t xml:space="preserve">Dokumenta 4.4 Skaidrojošais apraksts.pdf punkta 3.ELEKTROUZLĀDES STACIJA (EUS) apakšpunktā 3.3. Vadība un kontrole minēta jaudas monitoringa sistēmas uzstādīšana – lūdzam skaidrot kāpēc nekas par šo sistēmu nav minēts </w:t>
      </w:r>
      <w:proofErr w:type="spellStart"/>
      <w:r w:rsidRPr="000828CE">
        <w:rPr>
          <w:i/>
          <w:iCs/>
          <w:lang w:val="lv-LV"/>
        </w:rPr>
        <w:t>dokumNOLIKUMS_elektrouzlādes</w:t>
      </w:r>
      <w:proofErr w:type="spellEnd"/>
      <w:r w:rsidRPr="000828CE">
        <w:rPr>
          <w:i/>
          <w:iCs/>
          <w:lang w:val="lv-LV"/>
        </w:rPr>
        <w:t xml:space="preserve"> punktu izbūve.docx Pielikumā 7 pie uzlādes stacijas tehniskās specifikācijas?</w:t>
      </w:r>
    </w:p>
    <w:p w14:paraId="40C5E401" w14:textId="1A34D2E3" w:rsidR="000828CE" w:rsidRDefault="000828CE" w:rsidP="00384947">
      <w:pPr>
        <w:ind w:right="374"/>
        <w:jc w:val="both"/>
        <w:rPr>
          <w:rFonts w:eastAsiaTheme="minorHAnsi"/>
          <w:i/>
          <w:iCs/>
          <w:lang w:val="lv-LV"/>
        </w:rPr>
      </w:pPr>
      <w:r w:rsidRPr="000828CE">
        <w:rPr>
          <w:rFonts w:eastAsiaTheme="minorHAnsi"/>
          <w:i/>
          <w:iCs/>
          <w:lang w:val="lv-LV"/>
        </w:rPr>
        <w:t xml:space="preserve">Vai šis tiek attiecināts uz Pielikuma 7 apakšpunktu “7.5 Iekārtas vadība Nodrošina </w:t>
      </w:r>
      <w:proofErr w:type="spellStart"/>
      <w:r w:rsidRPr="000828CE">
        <w:rPr>
          <w:rFonts w:eastAsiaTheme="minorHAnsi"/>
          <w:i/>
          <w:iCs/>
          <w:lang w:val="lv-LV"/>
        </w:rPr>
        <w:t>pieslēgumu</w:t>
      </w:r>
      <w:proofErr w:type="spellEnd"/>
      <w:r w:rsidRPr="000828CE">
        <w:rPr>
          <w:rFonts w:eastAsiaTheme="minorHAnsi"/>
          <w:i/>
          <w:iCs/>
          <w:lang w:val="lv-LV"/>
        </w:rPr>
        <w:t xml:space="preserve"> RS uzlādes tīkla vadības un monitoringa sistēmai.” un Rīgas satiksmes vadības un monitoringa sistēma nodrošinās 3.ELEKTROUZLĀDES STACIJA (EUS)  apakšpunktā 3.3. Vadība un kontrole  un 3.2.11. apakšpunktos minēto funkcionalitāti?</w:t>
      </w:r>
      <w:r w:rsidRPr="00502B44">
        <w:rPr>
          <w:rFonts w:eastAsiaTheme="minorHAnsi"/>
          <w:i/>
          <w:iCs/>
          <w:lang w:val="lv-LV"/>
        </w:rPr>
        <w:t xml:space="preserve">  </w:t>
      </w:r>
      <w:r w:rsidRPr="000828CE">
        <w:rPr>
          <w:rFonts w:eastAsiaTheme="minorHAnsi"/>
          <w:i/>
          <w:iCs/>
          <w:lang w:val="lv-LV"/>
        </w:rPr>
        <w:t xml:space="preserve">Ja jā, tad 3.3 un 3.2.11. apakšpunktā minētās sistēmas nav jāiekļauj piedāvājumā? </w:t>
      </w:r>
      <w:r w:rsidRPr="00502B44">
        <w:rPr>
          <w:rFonts w:eastAsiaTheme="minorHAnsi"/>
          <w:i/>
          <w:iCs/>
          <w:lang w:val="lv-LV"/>
        </w:rPr>
        <w:t xml:space="preserve"> </w:t>
      </w:r>
      <w:r w:rsidRPr="000828CE">
        <w:rPr>
          <w:rFonts w:eastAsiaTheme="minorHAnsi"/>
          <w:i/>
          <w:iCs/>
          <w:lang w:val="lv-LV"/>
        </w:rPr>
        <w:t xml:space="preserve">Kāds būs saziņas veids ar Rīgas satiksmes vadības un monitoringa sistēmu – OCCP (versija)? </w:t>
      </w:r>
    </w:p>
    <w:p w14:paraId="778B1365" w14:textId="77777777" w:rsidR="00964865" w:rsidRPr="000828CE" w:rsidRDefault="00964865" w:rsidP="00384947">
      <w:pPr>
        <w:ind w:right="374"/>
        <w:jc w:val="both"/>
        <w:rPr>
          <w:rFonts w:eastAsiaTheme="minorHAnsi"/>
          <w:i/>
          <w:iCs/>
          <w:lang w:val="lv-LV"/>
        </w:rPr>
      </w:pPr>
    </w:p>
    <w:p w14:paraId="6BE34A51" w14:textId="77777777" w:rsidR="00964865" w:rsidRDefault="00055946" w:rsidP="00384947">
      <w:pPr>
        <w:ind w:right="374"/>
        <w:jc w:val="both"/>
        <w:rPr>
          <w:rFonts w:eastAsiaTheme="minorHAnsi"/>
          <w:lang w:val="lv-LV"/>
        </w:rPr>
      </w:pPr>
      <w:r w:rsidRPr="00502B44">
        <w:rPr>
          <w:rFonts w:eastAsiaTheme="minorHAnsi"/>
          <w:lang w:val="lv-LV"/>
        </w:rPr>
        <w:t>Atbilde:</w:t>
      </w:r>
    </w:p>
    <w:p w14:paraId="6AB02105" w14:textId="391B5B2A" w:rsidR="000828CE" w:rsidRDefault="00964865" w:rsidP="00964865">
      <w:pPr>
        <w:ind w:right="374"/>
        <w:jc w:val="both"/>
        <w:rPr>
          <w:rFonts w:eastAsiaTheme="minorHAnsi"/>
          <w:lang w:val="lv-LV"/>
        </w:rPr>
      </w:pPr>
      <w:r>
        <w:rPr>
          <w:rFonts w:eastAsiaTheme="minorHAnsi"/>
          <w:lang w:val="lv-LV"/>
        </w:rPr>
        <w:t>P</w:t>
      </w:r>
      <w:r w:rsidR="00384947" w:rsidRPr="00502B44">
        <w:rPr>
          <w:rFonts w:eastAsiaTheme="minorHAnsi"/>
          <w:lang w:val="lv-LV"/>
        </w:rPr>
        <w:t>askaidrojam, ka m</w:t>
      </w:r>
      <w:r w:rsidR="000828CE" w:rsidRPr="000828CE">
        <w:rPr>
          <w:rFonts w:eastAsiaTheme="minorHAnsi"/>
          <w:lang w:val="lv-LV"/>
        </w:rPr>
        <w:t>onitoringa sistēma ir izstrādes stadijā un pretendentam būs jānodrošina integrācija un datu apmaiņa ar šo sistēmu Pasūtītāja iekšējā datu tīklā. Pasūtītāja izmantotā sistēma ir bāzēta uz atvērtā koda tehnoloģijām (</w:t>
      </w:r>
      <w:proofErr w:type="spellStart"/>
      <w:r w:rsidR="000828CE" w:rsidRPr="000828CE">
        <w:rPr>
          <w:rFonts w:eastAsiaTheme="minorHAnsi"/>
          <w:lang w:val="lv-LV"/>
        </w:rPr>
        <w:t>PostgreSQL</w:t>
      </w:r>
      <w:proofErr w:type="spellEnd"/>
      <w:r w:rsidR="000828CE" w:rsidRPr="000828CE">
        <w:rPr>
          <w:rFonts w:eastAsiaTheme="minorHAnsi"/>
          <w:lang w:val="lv-LV"/>
        </w:rPr>
        <w:t xml:space="preserve"> un </w:t>
      </w:r>
      <w:proofErr w:type="spellStart"/>
      <w:r w:rsidR="000828CE" w:rsidRPr="000828CE">
        <w:rPr>
          <w:rFonts w:eastAsiaTheme="minorHAnsi"/>
          <w:lang w:val="lv-LV"/>
        </w:rPr>
        <w:t>Python</w:t>
      </w:r>
      <w:proofErr w:type="spellEnd"/>
      <w:r w:rsidR="000828CE" w:rsidRPr="000828CE">
        <w:rPr>
          <w:rFonts w:eastAsiaTheme="minorHAnsi"/>
          <w:lang w:val="lv-LV"/>
        </w:rPr>
        <w:t>). Tā kā protokolam ir savietojamība ar OCPP 1.6, tad integrācija jāveic balstoties uz OCPP 2.0.1, ņemot vērā arī savietojamība ar Pasūtītāja jau esošajām OCPP 1.6 standarta iekārtām.</w:t>
      </w:r>
    </w:p>
    <w:p w14:paraId="69853C09" w14:textId="77777777" w:rsidR="00964865" w:rsidRPr="00964865" w:rsidRDefault="00964865" w:rsidP="00964865">
      <w:pPr>
        <w:ind w:right="374"/>
        <w:jc w:val="both"/>
        <w:rPr>
          <w:rFonts w:eastAsiaTheme="minorHAnsi"/>
          <w:lang w:val="lv-LV"/>
        </w:rPr>
      </w:pPr>
    </w:p>
    <w:p w14:paraId="22E98029" w14:textId="1EC811B8" w:rsidR="00A1794F" w:rsidRPr="00502B44" w:rsidRDefault="00A1794F" w:rsidP="0011759A">
      <w:pPr>
        <w:rPr>
          <w:rFonts w:eastAsiaTheme="minorHAnsi"/>
          <w:i/>
          <w:iCs/>
          <w:lang w:val="lv-LV"/>
        </w:rPr>
      </w:pPr>
      <w:r w:rsidRPr="00502B44">
        <w:rPr>
          <w:rFonts w:eastAsiaTheme="minorHAnsi"/>
          <w:i/>
          <w:iCs/>
          <w:lang w:val="lv-LV"/>
        </w:rPr>
        <w:t>5.jautājums:</w:t>
      </w:r>
    </w:p>
    <w:p w14:paraId="5FE6BF59" w14:textId="77777777" w:rsidR="0021594E" w:rsidRPr="0021594E" w:rsidRDefault="0021594E" w:rsidP="0011759A">
      <w:pPr>
        <w:ind w:right="372"/>
        <w:jc w:val="both"/>
        <w:rPr>
          <w:i/>
          <w:iCs/>
          <w:lang w:val="lv-LV"/>
        </w:rPr>
      </w:pPr>
      <w:r w:rsidRPr="0021594E">
        <w:rPr>
          <w:i/>
          <w:iCs/>
          <w:lang w:val="lv-LV"/>
        </w:rPr>
        <w:t xml:space="preserve">Lūdzam skaidrot dokumenta </w:t>
      </w:r>
      <w:proofErr w:type="spellStart"/>
      <w:r w:rsidRPr="0021594E">
        <w:rPr>
          <w:i/>
          <w:iCs/>
          <w:lang w:val="lv-LV"/>
        </w:rPr>
        <w:t>NOLIKUMS_elektrouzlādes</w:t>
      </w:r>
      <w:proofErr w:type="spellEnd"/>
      <w:r w:rsidRPr="0021594E">
        <w:rPr>
          <w:i/>
          <w:iCs/>
          <w:lang w:val="lv-LV"/>
        </w:rPr>
        <w:t xml:space="preserve"> punktu izbūve.docx Pielikuma 7 (</w:t>
      </w:r>
      <w:proofErr w:type="spellStart"/>
      <w:r w:rsidRPr="0021594E">
        <w:rPr>
          <w:i/>
          <w:iCs/>
          <w:lang w:val="lv-LV"/>
        </w:rPr>
        <w:t>lpp</w:t>
      </w:r>
      <w:proofErr w:type="spellEnd"/>
      <w:r w:rsidRPr="0021594E">
        <w:rPr>
          <w:i/>
          <w:iCs/>
          <w:lang w:val="lv-LV"/>
        </w:rPr>
        <w:t xml:space="preserve"> 22) teikumu “Iekārtai jābūt aprīkotai ar tās darbības nodrošināšanai un vadībai nepieciešamo programmatūru.” – kāda programmatūra, tā ir kā tās operētājsistēma vai papildus ārēja programmatūra tās/to pārvaldīšanai?</w:t>
      </w:r>
    </w:p>
    <w:p w14:paraId="324792BA" w14:textId="77777777" w:rsidR="0021594E" w:rsidRPr="0021594E" w:rsidRDefault="0021594E" w:rsidP="0011759A">
      <w:pPr>
        <w:spacing w:line="252" w:lineRule="auto"/>
        <w:ind w:left="720" w:right="372"/>
        <w:jc w:val="both"/>
        <w:rPr>
          <w:rFonts w:eastAsiaTheme="minorHAnsi"/>
          <w:lang w:val="lv-LV"/>
        </w:rPr>
      </w:pPr>
    </w:p>
    <w:p w14:paraId="0443133A" w14:textId="77777777" w:rsidR="00964865" w:rsidRDefault="0021594E" w:rsidP="0011759A">
      <w:pPr>
        <w:spacing w:line="252" w:lineRule="auto"/>
        <w:ind w:right="372"/>
        <w:jc w:val="both"/>
        <w:rPr>
          <w:rFonts w:eastAsiaTheme="minorHAnsi"/>
          <w:lang w:val="lv-LV"/>
        </w:rPr>
      </w:pPr>
      <w:r w:rsidRPr="0021594E">
        <w:rPr>
          <w:rFonts w:eastAsiaTheme="minorHAnsi"/>
          <w:lang w:val="lv-LV"/>
        </w:rPr>
        <w:t>Atbilde:</w:t>
      </w:r>
    </w:p>
    <w:p w14:paraId="3F4E9360" w14:textId="1C45404F" w:rsidR="0021594E" w:rsidRPr="0021594E" w:rsidRDefault="00964865" w:rsidP="0011759A">
      <w:pPr>
        <w:spacing w:line="252" w:lineRule="auto"/>
        <w:ind w:right="372"/>
        <w:jc w:val="both"/>
        <w:rPr>
          <w:rFonts w:eastAsiaTheme="minorHAnsi"/>
          <w:lang w:val="lv-LV"/>
        </w:rPr>
      </w:pPr>
      <w:r>
        <w:rPr>
          <w:rFonts w:eastAsiaTheme="minorHAnsi"/>
          <w:lang w:val="lv-LV"/>
        </w:rPr>
        <w:t>P</w:t>
      </w:r>
      <w:r w:rsidR="00502B44" w:rsidRPr="00502B44">
        <w:rPr>
          <w:rFonts w:eastAsiaTheme="minorHAnsi"/>
          <w:lang w:val="lv-LV"/>
        </w:rPr>
        <w:t>askaidrojam, ka t</w:t>
      </w:r>
      <w:r w:rsidR="0021594E" w:rsidRPr="0021594E">
        <w:rPr>
          <w:rFonts w:eastAsiaTheme="minorHAnsi"/>
          <w:lang w:val="lv-LV"/>
        </w:rPr>
        <w:t>ā ir kā iekārtas operētājsistēma, kas nodrošina iekārtas pārvaldību</w:t>
      </w:r>
      <w:r w:rsidR="0011759A" w:rsidRPr="00502B44">
        <w:rPr>
          <w:rFonts w:eastAsiaTheme="minorHAnsi"/>
          <w:lang w:val="lv-LV"/>
        </w:rPr>
        <w:t>,  k</w:t>
      </w:r>
      <w:r w:rsidR="0021594E" w:rsidRPr="0021594E">
        <w:rPr>
          <w:rFonts w:eastAsiaTheme="minorHAnsi"/>
          <w:lang w:val="lv-LV"/>
        </w:rPr>
        <w:t>ā arī pretendentam jānodrošina programmatūras atjaunošana uz jaunāko industrijas OCPP standartu pēc iekārtas sertifikācijas procesa veikšanas.</w:t>
      </w:r>
    </w:p>
    <w:p w14:paraId="447896D4" w14:textId="77777777" w:rsidR="0021594E" w:rsidRPr="0021594E" w:rsidRDefault="0021594E" w:rsidP="0021594E">
      <w:pPr>
        <w:rPr>
          <w:rFonts w:ascii="Calibri" w:eastAsiaTheme="minorHAnsi" w:hAnsi="Calibri" w:cs="Calibri"/>
          <w:sz w:val="20"/>
          <w:szCs w:val="20"/>
          <w:lang w:val="lv-LV" w:eastAsia="lv-LV"/>
        </w:rPr>
      </w:pPr>
    </w:p>
    <w:p w14:paraId="7C5C8227" w14:textId="77777777" w:rsidR="00A1794F" w:rsidRPr="000828CE" w:rsidRDefault="00A1794F" w:rsidP="000828CE">
      <w:pPr>
        <w:spacing w:after="160" w:line="252" w:lineRule="auto"/>
        <w:rPr>
          <w:rFonts w:ascii="Calibri" w:eastAsiaTheme="minorHAnsi" w:hAnsi="Calibri" w:cs="Calibri"/>
          <w:sz w:val="22"/>
          <w:szCs w:val="22"/>
          <w:lang w:val="lv-LV"/>
        </w:rPr>
      </w:pPr>
    </w:p>
    <w:p w14:paraId="7054CEC5" w14:textId="64AF98E6" w:rsidR="00ED287C" w:rsidRPr="00ED287C" w:rsidRDefault="00ED287C" w:rsidP="00D019CA">
      <w:pPr>
        <w:ind w:right="372"/>
        <w:jc w:val="both"/>
        <w:outlineLvl w:val="0"/>
        <w:rPr>
          <w:lang w:val="lv-LV"/>
        </w:rPr>
      </w:pPr>
      <w:r w:rsidRPr="00ED287C">
        <w:rPr>
          <w:lang w:val="lv-LV"/>
        </w:rPr>
        <w:t xml:space="preserve">Iepirkumu komisijas priekšsēdētāja                                                                          </w:t>
      </w:r>
      <w:r w:rsidR="00DF0270">
        <w:rPr>
          <w:lang w:val="lv-LV"/>
        </w:rPr>
        <w:t xml:space="preserve"> </w:t>
      </w:r>
      <w:r w:rsidR="006A6145">
        <w:rPr>
          <w:lang w:val="lv-LV"/>
        </w:rPr>
        <w:t xml:space="preserve"> </w:t>
      </w:r>
      <w:r w:rsidR="0061319C">
        <w:rPr>
          <w:lang w:val="lv-LV"/>
        </w:rPr>
        <w:t xml:space="preserve">       </w:t>
      </w:r>
      <w:r w:rsidRPr="00ED287C">
        <w:rPr>
          <w:lang w:val="lv-LV"/>
        </w:rPr>
        <w:t xml:space="preserve"> </w:t>
      </w:r>
      <w:r w:rsidR="00483476">
        <w:rPr>
          <w:lang w:val="lv-LV"/>
        </w:rPr>
        <w:t>Inta Novika</w:t>
      </w:r>
    </w:p>
    <w:p w14:paraId="55ADFC89" w14:textId="77777777" w:rsidR="00684FF7" w:rsidRPr="00E80785" w:rsidRDefault="00684FF7" w:rsidP="00D019CA">
      <w:pPr>
        <w:ind w:right="372"/>
        <w:jc w:val="both"/>
        <w:rPr>
          <w:rFonts w:ascii="Times New Roman Bold" w:hAnsi="Times New Roman Bold"/>
          <w:lang w:val="lv-LV"/>
        </w:rPr>
      </w:pPr>
    </w:p>
    <w:sectPr w:rsidR="00684FF7" w:rsidRPr="00E80785" w:rsidSect="00713AD3">
      <w:headerReference w:type="even" r:id="rId14"/>
      <w:headerReference w:type="default" r:id="rId15"/>
      <w:headerReference w:type="first" r:id="rId16"/>
      <w:pgSz w:w="11900" w:h="16840" w:code="9"/>
      <w:pgMar w:top="1134" w:right="567" w:bottom="851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31B5" w14:textId="77777777" w:rsidR="00D5087E" w:rsidRDefault="00D5087E">
      <w:r>
        <w:separator/>
      </w:r>
    </w:p>
  </w:endnote>
  <w:endnote w:type="continuationSeparator" w:id="0">
    <w:p w14:paraId="16C62B91" w14:textId="77777777" w:rsidR="00D5087E" w:rsidRDefault="00D5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D783" w14:textId="77777777" w:rsidR="00D5087E" w:rsidRDefault="00D5087E">
      <w:r>
        <w:separator/>
      </w:r>
    </w:p>
  </w:footnote>
  <w:footnote w:type="continuationSeparator" w:id="0">
    <w:p w14:paraId="6AA97F03" w14:textId="77777777" w:rsidR="00D5087E" w:rsidRDefault="00D50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5EA3D9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642D4B1D" w:rsidR="001B6FD9" w:rsidRDefault="00390B8E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>03.01.2023.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E96CAE"/>
    <w:multiLevelType w:val="multilevel"/>
    <w:tmpl w:val="18EEB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A4636"/>
    <w:multiLevelType w:val="multilevel"/>
    <w:tmpl w:val="913C3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9A4B21"/>
    <w:multiLevelType w:val="hybridMultilevel"/>
    <w:tmpl w:val="43BABE98"/>
    <w:lvl w:ilvl="0" w:tplc="DEDC1E3C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E36B07"/>
    <w:multiLevelType w:val="hybridMultilevel"/>
    <w:tmpl w:val="97065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72B1F"/>
    <w:multiLevelType w:val="hybridMultilevel"/>
    <w:tmpl w:val="2C245FB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D6C111E"/>
    <w:multiLevelType w:val="multilevel"/>
    <w:tmpl w:val="B644B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"/>
  </w:num>
  <w:num w:numId="5">
    <w:abstractNumId w:val="8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2"/>
  </w:num>
  <w:num w:numId="11">
    <w:abstractNumId w:val="14"/>
  </w:num>
  <w:num w:numId="12">
    <w:abstractNumId w:val="5"/>
  </w:num>
  <w:num w:numId="13">
    <w:abstractNumId w:val="10"/>
  </w:num>
  <w:num w:numId="14">
    <w:abstractNumId w:val="13"/>
  </w:num>
  <w:num w:numId="15">
    <w:abstractNumId w:val="9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107AF"/>
    <w:rsid w:val="000116BA"/>
    <w:rsid w:val="00011A1E"/>
    <w:rsid w:val="00012860"/>
    <w:rsid w:val="0001357B"/>
    <w:rsid w:val="0001453B"/>
    <w:rsid w:val="00014AAA"/>
    <w:rsid w:val="0004076F"/>
    <w:rsid w:val="0004286D"/>
    <w:rsid w:val="00044AEE"/>
    <w:rsid w:val="000513F6"/>
    <w:rsid w:val="000525F0"/>
    <w:rsid w:val="00052CD7"/>
    <w:rsid w:val="00055946"/>
    <w:rsid w:val="000604EE"/>
    <w:rsid w:val="000616A3"/>
    <w:rsid w:val="00063833"/>
    <w:rsid w:val="00072933"/>
    <w:rsid w:val="000828CE"/>
    <w:rsid w:val="0008411B"/>
    <w:rsid w:val="000B0105"/>
    <w:rsid w:val="000B6FD1"/>
    <w:rsid w:val="000C2044"/>
    <w:rsid w:val="000C2F69"/>
    <w:rsid w:val="000D371C"/>
    <w:rsid w:val="000D6732"/>
    <w:rsid w:val="000E1AA8"/>
    <w:rsid w:val="000E35C8"/>
    <w:rsid w:val="000E35F8"/>
    <w:rsid w:val="000E7E1F"/>
    <w:rsid w:val="000F4D1B"/>
    <w:rsid w:val="0011759A"/>
    <w:rsid w:val="00122A4B"/>
    <w:rsid w:val="00127A43"/>
    <w:rsid w:val="00143E88"/>
    <w:rsid w:val="00145341"/>
    <w:rsid w:val="00182883"/>
    <w:rsid w:val="00185A7E"/>
    <w:rsid w:val="00191138"/>
    <w:rsid w:val="001A4C62"/>
    <w:rsid w:val="001A6133"/>
    <w:rsid w:val="001A6A27"/>
    <w:rsid w:val="001A72BC"/>
    <w:rsid w:val="001B000D"/>
    <w:rsid w:val="001B2AD7"/>
    <w:rsid w:val="001B6718"/>
    <w:rsid w:val="001B6FD9"/>
    <w:rsid w:val="001C0A83"/>
    <w:rsid w:val="001C1653"/>
    <w:rsid w:val="001C5053"/>
    <w:rsid w:val="002001E4"/>
    <w:rsid w:val="002136C8"/>
    <w:rsid w:val="0021594E"/>
    <w:rsid w:val="002222DE"/>
    <w:rsid w:val="00233FCE"/>
    <w:rsid w:val="00234157"/>
    <w:rsid w:val="00234C11"/>
    <w:rsid w:val="002410DE"/>
    <w:rsid w:val="00250C8B"/>
    <w:rsid w:val="002519F8"/>
    <w:rsid w:val="00262171"/>
    <w:rsid w:val="0026220C"/>
    <w:rsid w:val="00263228"/>
    <w:rsid w:val="002671CE"/>
    <w:rsid w:val="00274245"/>
    <w:rsid w:val="002747E5"/>
    <w:rsid w:val="002B1A94"/>
    <w:rsid w:val="002C178C"/>
    <w:rsid w:val="002C786C"/>
    <w:rsid w:val="002D303C"/>
    <w:rsid w:val="002E10DC"/>
    <w:rsid w:val="002E43A6"/>
    <w:rsid w:val="002E5BC5"/>
    <w:rsid w:val="002E786C"/>
    <w:rsid w:val="00300D5F"/>
    <w:rsid w:val="003014F9"/>
    <w:rsid w:val="00301812"/>
    <w:rsid w:val="00301EF1"/>
    <w:rsid w:val="003130A2"/>
    <w:rsid w:val="00325A6F"/>
    <w:rsid w:val="00333E82"/>
    <w:rsid w:val="003351CC"/>
    <w:rsid w:val="00335EEB"/>
    <w:rsid w:val="00336D5E"/>
    <w:rsid w:val="0034617A"/>
    <w:rsid w:val="0035193C"/>
    <w:rsid w:val="0036064C"/>
    <w:rsid w:val="00361C55"/>
    <w:rsid w:val="00364BA7"/>
    <w:rsid w:val="00365003"/>
    <w:rsid w:val="00365370"/>
    <w:rsid w:val="00375769"/>
    <w:rsid w:val="00384947"/>
    <w:rsid w:val="00384C24"/>
    <w:rsid w:val="003877B2"/>
    <w:rsid w:val="00390AA0"/>
    <w:rsid w:val="00390B8E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4047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F01"/>
    <w:rsid w:val="004D636B"/>
    <w:rsid w:val="004D6952"/>
    <w:rsid w:val="004E3581"/>
    <w:rsid w:val="004F098D"/>
    <w:rsid w:val="004F0DA4"/>
    <w:rsid w:val="004F29CC"/>
    <w:rsid w:val="004F581B"/>
    <w:rsid w:val="00502B44"/>
    <w:rsid w:val="00514C32"/>
    <w:rsid w:val="00517B44"/>
    <w:rsid w:val="00521B07"/>
    <w:rsid w:val="0052354F"/>
    <w:rsid w:val="0052581A"/>
    <w:rsid w:val="00525C5F"/>
    <w:rsid w:val="00526FFA"/>
    <w:rsid w:val="0054525F"/>
    <w:rsid w:val="0056186C"/>
    <w:rsid w:val="00570E1F"/>
    <w:rsid w:val="005710D9"/>
    <w:rsid w:val="00573C21"/>
    <w:rsid w:val="00574553"/>
    <w:rsid w:val="00576258"/>
    <w:rsid w:val="005764D6"/>
    <w:rsid w:val="00576EBE"/>
    <w:rsid w:val="005A0903"/>
    <w:rsid w:val="005B1FDE"/>
    <w:rsid w:val="005B7C15"/>
    <w:rsid w:val="005C6EEA"/>
    <w:rsid w:val="005D3F37"/>
    <w:rsid w:val="005D47D5"/>
    <w:rsid w:val="005E3B0A"/>
    <w:rsid w:val="005F3ACE"/>
    <w:rsid w:val="00605FE2"/>
    <w:rsid w:val="006075F6"/>
    <w:rsid w:val="0061319C"/>
    <w:rsid w:val="00620886"/>
    <w:rsid w:val="006223E9"/>
    <w:rsid w:val="00624E1C"/>
    <w:rsid w:val="006312F4"/>
    <w:rsid w:val="00632A53"/>
    <w:rsid w:val="006339F1"/>
    <w:rsid w:val="006414CC"/>
    <w:rsid w:val="00654B52"/>
    <w:rsid w:val="00663534"/>
    <w:rsid w:val="00675848"/>
    <w:rsid w:val="006765C4"/>
    <w:rsid w:val="00684FF7"/>
    <w:rsid w:val="006874A7"/>
    <w:rsid w:val="006968E4"/>
    <w:rsid w:val="006A3C1B"/>
    <w:rsid w:val="006A6145"/>
    <w:rsid w:val="006A672C"/>
    <w:rsid w:val="006B0D98"/>
    <w:rsid w:val="006B52BC"/>
    <w:rsid w:val="006B5782"/>
    <w:rsid w:val="006C4115"/>
    <w:rsid w:val="006D3BDA"/>
    <w:rsid w:val="006E03D2"/>
    <w:rsid w:val="00706549"/>
    <w:rsid w:val="00712459"/>
    <w:rsid w:val="00713AD3"/>
    <w:rsid w:val="0071685A"/>
    <w:rsid w:val="00720501"/>
    <w:rsid w:val="0073257F"/>
    <w:rsid w:val="00732D57"/>
    <w:rsid w:val="00735447"/>
    <w:rsid w:val="00737061"/>
    <w:rsid w:val="00740A47"/>
    <w:rsid w:val="00741397"/>
    <w:rsid w:val="0075033F"/>
    <w:rsid w:val="00756CAE"/>
    <w:rsid w:val="00761DC2"/>
    <w:rsid w:val="007666D6"/>
    <w:rsid w:val="00780537"/>
    <w:rsid w:val="00781423"/>
    <w:rsid w:val="00781934"/>
    <w:rsid w:val="007875D1"/>
    <w:rsid w:val="00792BCA"/>
    <w:rsid w:val="007A34BE"/>
    <w:rsid w:val="007A62A7"/>
    <w:rsid w:val="007B1AFB"/>
    <w:rsid w:val="007B3E19"/>
    <w:rsid w:val="007C7D70"/>
    <w:rsid w:val="007D161A"/>
    <w:rsid w:val="007D343F"/>
    <w:rsid w:val="007D4DAC"/>
    <w:rsid w:val="007D62F7"/>
    <w:rsid w:val="007E1B98"/>
    <w:rsid w:val="007F411B"/>
    <w:rsid w:val="00800A08"/>
    <w:rsid w:val="00803136"/>
    <w:rsid w:val="00803A1A"/>
    <w:rsid w:val="00805C29"/>
    <w:rsid w:val="008100AA"/>
    <w:rsid w:val="00811234"/>
    <w:rsid w:val="0082594E"/>
    <w:rsid w:val="00825FA6"/>
    <w:rsid w:val="00830C0F"/>
    <w:rsid w:val="008324A5"/>
    <w:rsid w:val="00832A03"/>
    <w:rsid w:val="00847BEB"/>
    <w:rsid w:val="008533C8"/>
    <w:rsid w:val="00857D3F"/>
    <w:rsid w:val="00872B40"/>
    <w:rsid w:val="00886A5A"/>
    <w:rsid w:val="008A1BCE"/>
    <w:rsid w:val="008A3C61"/>
    <w:rsid w:val="008C1996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12FF0"/>
    <w:rsid w:val="0091748D"/>
    <w:rsid w:val="00933542"/>
    <w:rsid w:val="00940141"/>
    <w:rsid w:val="00940EF4"/>
    <w:rsid w:val="0094369A"/>
    <w:rsid w:val="00956FC7"/>
    <w:rsid w:val="00964865"/>
    <w:rsid w:val="00964FE8"/>
    <w:rsid w:val="00975730"/>
    <w:rsid w:val="00982FA2"/>
    <w:rsid w:val="00983AFB"/>
    <w:rsid w:val="00984992"/>
    <w:rsid w:val="009950FF"/>
    <w:rsid w:val="00996DDD"/>
    <w:rsid w:val="009A3987"/>
    <w:rsid w:val="009B03BA"/>
    <w:rsid w:val="009B2B03"/>
    <w:rsid w:val="009B6D80"/>
    <w:rsid w:val="009C289F"/>
    <w:rsid w:val="009D1FF6"/>
    <w:rsid w:val="009D4658"/>
    <w:rsid w:val="009E2111"/>
    <w:rsid w:val="009E75C3"/>
    <w:rsid w:val="00A075D3"/>
    <w:rsid w:val="00A13FCD"/>
    <w:rsid w:val="00A14F6B"/>
    <w:rsid w:val="00A1794F"/>
    <w:rsid w:val="00A23EA6"/>
    <w:rsid w:val="00A25856"/>
    <w:rsid w:val="00A26288"/>
    <w:rsid w:val="00A3285A"/>
    <w:rsid w:val="00A42309"/>
    <w:rsid w:val="00A43418"/>
    <w:rsid w:val="00A435F3"/>
    <w:rsid w:val="00A470A8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5EB4"/>
    <w:rsid w:val="00B17037"/>
    <w:rsid w:val="00B20B4D"/>
    <w:rsid w:val="00B36E79"/>
    <w:rsid w:val="00B40C08"/>
    <w:rsid w:val="00B45069"/>
    <w:rsid w:val="00B549CB"/>
    <w:rsid w:val="00B6333C"/>
    <w:rsid w:val="00B67B48"/>
    <w:rsid w:val="00B84DE7"/>
    <w:rsid w:val="00B90E98"/>
    <w:rsid w:val="00BA3806"/>
    <w:rsid w:val="00BB402A"/>
    <w:rsid w:val="00BC2049"/>
    <w:rsid w:val="00BC2E48"/>
    <w:rsid w:val="00BC6127"/>
    <w:rsid w:val="00BE279A"/>
    <w:rsid w:val="00BE5EC0"/>
    <w:rsid w:val="00BE690F"/>
    <w:rsid w:val="00BE69EA"/>
    <w:rsid w:val="00BE6EB3"/>
    <w:rsid w:val="00BF56E0"/>
    <w:rsid w:val="00BF7D80"/>
    <w:rsid w:val="00C05968"/>
    <w:rsid w:val="00C10D35"/>
    <w:rsid w:val="00C20551"/>
    <w:rsid w:val="00C234E1"/>
    <w:rsid w:val="00C27E7A"/>
    <w:rsid w:val="00C3119D"/>
    <w:rsid w:val="00C31C54"/>
    <w:rsid w:val="00C4109D"/>
    <w:rsid w:val="00C52E8C"/>
    <w:rsid w:val="00C540E8"/>
    <w:rsid w:val="00C653CC"/>
    <w:rsid w:val="00C71D15"/>
    <w:rsid w:val="00C82B02"/>
    <w:rsid w:val="00C91D95"/>
    <w:rsid w:val="00C950CD"/>
    <w:rsid w:val="00CA0385"/>
    <w:rsid w:val="00CA2F6D"/>
    <w:rsid w:val="00CA73ED"/>
    <w:rsid w:val="00CB3ACB"/>
    <w:rsid w:val="00CB7671"/>
    <w:rsid w:val="00CC5B28"/>
    <w:rsid w:val="00CD01E0"/>
    <w:rsid w:val="00CD1D0F"/>
    <w:rsid w:val="00CE03A1"/>
    <w:rsid w:val="00CF0B5F"/>
    <w:rsid w:val="00D019CA"/>
    <w:rsid w:val="00D05222"/>
    <w:rsid w:val="00D317EC"/>
    <w:rsid w:val="00D34A22"/>
    <w:rsid w:val="00D35504"/>
    <w:rsid w:val="00D35507"/>
    <w:rsid w:val="00D408A4"/>
    <w:rsid w:val="00D43D83"/>
    <w:rsid w:val="00D5087E"/>
    <w:rsid w:val="00D54443"/>
    <w:rsid w:val="00D56440"/>
    <w:rsid w:val="00D74002"/>
    <w:rsid w:val="00D77F55"/>
    <w:rsid w:val="00D81F1C"/>
    <w:rsid w:val="00D838D0"/>
    <w:rsid w:val="00D86507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D93"/>
    <w:rsid w:val="00E00F55"/>
    <w:rsid w:val="00E030A1"/>
    <w:rsid w:val="00E064E9"/>
    <w:rsid w:val="00E42D5D"/>
    <w:rsid w:val="00E43013"/>
    <w:rsid w:val="00E47F88"/>
    <w:rsid w:val="00E50CF3"/>
    <w:rsid w:val="00E718B5"/>
    <w:rsid w:val="00E71B3D"/>
    <w:rsid w:val="00E71DD0"/>
    <w:rsid w:val="00E80785"/>
    <w:rsid w:val="00E842ED"/>
    <w:rsid w:val="00E867A2"/>
    <w:rsid w:val="00E874EE"/>
    <w:rsid w:val="00E9092A"/>
    <w:rsid w:val="00E9346D"/>
    <w:rsid w:val="00E934DF"/>
    <w:rsid w:val="00E959CF"/>
    <w:rsid w:val="00EA303A"/>
    <w:rsid w:val="00EB089E"/>
    <w:rsid w:val="00EB1274"/>
    <w:rsid w:val="00EC1BA5"/>
    <w:rsid w:val="00ED0F5E"/>
    <w:rsid w:val="00ED1C42"/>
    <w:rsid w:val="00ED287C"/>
    <w:rsid w:val="00EE2231"/>
    <w:rsid w:val="00EE4C25"/>
    <w:rsid w:val="00F00E4E"/>
    <w:rsid w:val="00F01C15"/>
    <w:rsid w:val="00F16EDA"/>
    <w:rsid w:val="00F213A8"/>
    <w:rsid w:val="00F2385E"/>
    <w:rsid w:val="00F321BF"/>
    <w:rsid w:val="00F428CF"/>
    <w:rsid w:val="00F627F4"/>
    <w:rsid w:val="00F631D4"/>
    <w:rsid w:val="00F63849"/>
    <w:rsid w:val="00F717A2"/>
    <w:rsid w:val="00F74039"/>
    <w:rsid w:val="00F92ACD"/>
    <w:rsid w:val="00F96A7A"/>
    <w:rsid w:val="00FB4415"/>
    <w:rsid w:val="00FC00B7"/>
    <w:rsid w:val="00FC48B6"/>
    <w:rsid w:val="00FF20A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aliases w:val="2,Buletai,Bullet 1,Bullet EY,ERP-List Paragraph,List Paragraph Red,List Paragraph11,List Paragraph111,List Paragraph2,List Paragraph21,List Paragraph3,Numbering,Paragraph,Sąrašo pastraipa1,Use Case List Paragraph,Virsraksti,lp1,Syle 1,Str"/>
    <w:basedOn w:val="Normal"/>
    <w:link w:val="ListParagraphChar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character" w:customStyle="1" w:styleId="ListParagraphChar">
    <w:name w:val="List Paragraph Char"/>
    <w:aliases w:val="2 Char,Buletai Char,Bullet 1 Char,Bullet EY Char,ERP-List Paragraph Char,List Paragraph Red Char,List Paragraph11 Char,List Paragraph111 Char,List Paragraph2 Char,List Paragraph21 Char,List Paragraph3 Char,Numbering Char,lp1 Char"/>
    <w:basedOn w:val="DefaultParagraphFont"/>
    <w:link w:val="ListParagraph"/>
    <w:uiPriority w:val="34"/>
    <w:locked/>
    <w:rsid w:val="00800A08"/>
    <w:rPr>
      <w:rFonts w:ascii="Calibri" w:eastAsiaTheme="minorHAnsi" w:hAnsi="Calibri" w:cs="Calibri"/>
      <w:sz w:val="22"/>
      <w:szCs w:val="22"/>
      <w:lang w:val="lv-LV" w:eastAsia="en-US"/>
    </w:rPr>
  </w:style>
  <w:style w:type="paragraph" w:customStyle="1" w:styleId="Default">
    <w:name w:val="Default"/>
    <w:basedOn w:val="Normal"/>
    <w:rsid w:val="00D838D0"/>
    <w:pPr>
      <w:autoSpaceDE w:val="0"/>
      <w:autoSpaceDN w:val="0"/>
    </w:pPr>
    <w:rPr>
      <w:rFonts w:ascii="Calibri" w:eastAsiaTheme="minorHAnsi" w:hAnsi="Calibri" w:cs="Calibri"/>
      <w:color w:val="00000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igassatiksme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is.gov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4" ma:contentTypeDescription="Izveidot jaunu dokumentu." ma:contentTypeScope="" ma:versionID="47bc4d23e6e89d08bf103af1bf1f3636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7c9b32087357acebd80bf72872b61896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268ED-A1FA-4D1B-96EB-C6092ACE0F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2ECC6-9ED6-46F1-AC58-979260C05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2023-01-03T13:55:00Z</dcterms:created>
  <dcterms:modified xsi:type="dcterms:W3CDTF">2023-01-03T13:55:00Z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