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51F1" w14:textId="611F28F0" w:rsidR="00654B35" w:rsidRPr="00D82918" w:rsidRDefault="00D82918" w:rsidP="00D82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918">
        <w:rPr>
          <w:rFonts w:ascii="Times New Roman" w:hAnsi="Times New Roman" w:cs="Times New Roman"/>
          <w:b/>
          <w:bCs/>
          <w:sz w:val="28"/>
          <w:szCs w:val="28"/>
        </w:rPr>
        <w:t>Informācija pretendentiem</w:t>
      </w:r>
    </w:p>
    <w:p w14:paraId="23135D2D" w14:textId="38EA3C3F" w:rsidR="00D82918" w:rsidRDefault="00D82918"/>
    <w:p w14:paraId="0D161FDF" w14:textId="24D15F77" w:rsidR="00D82918" w:rsidRDefault="00D82918"/>
    <w:p w14:paraId="550B82BC" w14:textId="77777777" w:rsidR="00D82918" w:rsidRDefault="00D82918" w:rsidP="00D82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Informējam, ka sakarā ar veiktajiem labojumiem būvprojekta EST un ELT/RAA daļu būvdarbu apjomos un būvizstrādājumu daudzumos, par pareizām uzskatīt Lokālajās tāmēs Nr.3-2 </w:t>
      </w:r>
      <w:r>
        <w:rPr>
          <w:rFonts w:ascii="Times New Roman" w:hAnsi="Times New Roman" w:cs="Times New Roman"/>
          <w:i/>
          <w:iCs/>
          <w:sz w:val="24"/>
          <w:szCs w:val="24"/>
        </w:rPr>
        <w:t>Elektronisko sakaru inženiertīkli (ārējās)</w:t>
      </w:r>
      <w:r>
        <w:rPr>
          <w:rFonts w:ascii="Times New Roman" w:hAnsi="Times New Roman" w:cs="Times New Roman"/>
          <w:sz w:val="24"/>
          <w:szCs w:val="24"/>
        </w:rPr>
        <w:t xml:space="preserve">, Nr.3-3 </w:t>
      </w:r>
      <w:r>
        <w:rPr>
          <w:rFonts w:ascii="Times New Roman" w:hAnsi="Times New Roman" w:cs="Times New Roman"/>
          <w:i/>
          <w:iCs/>
          <w:sz w:val="24"/>
          <w:szCs w:val="24"/>
        </w:rPr>
        <w:t>Ārējie  elektrības tīkli</w:t>
      </w:r>
      <w:r>
        <w:rPr>
          <w:rFonts w:ascii="Times New Roman" w:hAnsi="Times New Roman" w:cs="Times New Roman"/>
          <w:sz w:val="24"/>
          <w:szCs w:val="24"/>
        </w:rPr>
        <w:t xml:space="preserve"> un Nr.3-4 </w:t>
      </w:r>
      <w:r>
        <w:rPr>
          <w:rFonts w:ascii="Times New Roman" w:hAnsi="Times New Roman" w:cs="Times New Roman"/>
          <w:i/>
          <w:iCs/>
          <w:sz w:val="24"/>
          <w:szCs w:val="24"/>
        </w:rPr>
        <w:t>Releju aizsardzības un automātikas daļa</w:t>
      </w:r>
      <w:r>
        <w:rPr>
          <w:rFonts w:ascii="Times New Roman" w:hAnsi="Times New Roman" w:cs="Times New Roman"/>
          <w:sz w:val="24"/>
          <w:szCs w:val="24"/>
        </w:rPr>
        <w:t xml:space="preserve"> esošās pozīcijas un tajās norādītos būvdarbu apjomus un būvizstrādājumu daudzumus, kā arī Būvdarbu kopsavilkumu, kas apstiprināti ar 2023.gada 5.janvāra grozījumiem iepirkuma procedūras  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Elektroautobusu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uzlādes stacijas infrastruktūras izbūve</w:t>
      </w:r>
      <w:r>
        <w:rPr>
          <w:rFonts w:ascii="Times New Roman" w:hAnsi="Times New Roman" w:cs="Times New Roman"/>
          <w:sz w:val="24"/>
          <w:szCs w:val="24"/>
        </w:rPr>
        <w:t>” (ID Nr.RS/2022/75)  nolikumā.</w:t>
      </w:r>
    </w:p>
    <w:p w14:paraId="0F482D94" w14:textId="77777777" w:rsidR="00D82918" w:rsidRDefault="00D82918"/>
    <w:sectPr w:rsidR="00D829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18"/>
    <w:rsid w:val="00654B35"/>
    <w:rsid w:val="00D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4D45E"/>
  <w15:chartTrackingRefBased/>
  <w15:docId w15:val="{9420FE20-EA2A-4EF8-926E-8C4937A7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Kamisarova</dc:creator>
  <cp:keywords/>
  <dc:description/>
  <cp:lastModifiedBy>Alena Kamisarova</cp:lastModifiedBy>
  <cp:revision>1</cp:revision>
  <dcterms:created xsi:type="dcterms:W3CDTF">2023-01-05T07:04:00Z</dcterms:created>
  <dcterms:modified xsi:type="dcterms:W3CDTF">2023-01-05T07:06:00Z</dcterms:modified>
</cp:coreProperties>
</file>